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DC8DA" w14:textId="77777777" w:rsidR="009C45D0" w:rsidRPr="00D70549" w:rsidRDefault="009C45D0" w:rsidP="009C45D0">
      <w:pPr>
        <w:spacing w:before="240" w:after="240"/>
        <w:jc w:val="center"/>
        <w:rPr>
          <w:rFonts w:ascii="Times New Roman" w:hAnsi="Times New Roman" w:cs="Times New Roman"/>
          <w:sz w:val="28"/>
          <w:szCs w:val="28"/>
        </w:rPr>
      </w:pPr>
      <w:r w:rsidRPr="00D25B1E">
        <w:rPr>
          <w:rFonts w:ascii="Times New Roman" w:hAnsi="Times New Roman" w:cs="Times New Roman"/>
          <w:b/>
          <w:sz w:val="28"/>
          <w:szCs w:val="28"/>
        </w:rPr>
        <w:t>Low quality genotype data is not appropriate for family-based analyses</w:t>
      </w:r>
    </w:p>
    <w:p w14:paraId="17DF349B" w14:textId="77777777" w:rsidR="009C45D0" w:rsidRPr="00D44D7C" w:rsidRDefault="009C45D0" w:rsidP="009C45D0">
      <w:pPr>
        <w:jc w:val="center"/>
        <w:rPr>
          <w:rFonts w:ascii="Times New Roman" w:hAnsi="Times New Roman" w:cs="Times New Roman"/>
          <w:iCs/>
        </w:rPr>
      </w:pPr>
      <w:r>
        <w:rPr>
          <w:rFonts w:ascii="Times New Roman" w:hAnsi="Times New Roman" w:cs="Times New Roman"/>
        </w:rPr>
        <w:t>Mahdi Mir</w:t>
      </w:r>
      <w:r w:rsidRPr="00D44D7C">
        <w:rPr>
          <w:rFonts w:ascii="Times New Roman" w:hAnsi="Times New Roman" w:cs="Times New Roman"/>
          <w:vertAlign w:val="superscript"/>
        </w:rPr>
        <w:t>1</w:t>
      </w:r>
      <w:r>
        <w:rPr>
          <w:rFonts w:ascii="Times New Roman" w:hAnsi="Times New Roman" w:cs="Times New Roman"/>
        </w:rPr>
        <w:t>, Tammy Tan</w:t>
      </w:r>
      <w:r w:rsidRPr="00D44D7C">
        <w:rPr>
          <w:rFonts w:ascii="Times New Roman" w:hAnsi="Times New Roman" w:cs="Times New Roman"/>
          <w:vertAlign w:val="superscript"/>
        </w:rPr>
        <w:t>2</w:t>
      </w:r>
      <w:r>
        <w:rPr>
          <w:rFonts w:ascii="Times New Roman" w:hAnsi="Times New Roman" w:cs="Times New Roman"/>
        </w:rPr>
        <w:t>,</w:t>
      </w:r>
      <w:r w:rsidRPr="00AD50A8">
        <w:rPr>
          <w:rFonts w:ascii="Times New Roman" w:hAnsi="Times New Roman" w:cs="Times New Roman"/>
          <w:i/>
        </w:rPr>
        <w:t xml:space="preserve"> </w:t>
      </w:r>
      <w:r>
        <w:rPr>
          <w:rFonts w:ascii="Times New Roman" w:hAnsi="Times New Roman" w:cs="Times New Roman"/>
          <w:iCs/>
        </w:rPr>
        <w:softHyphen/>
        <w:t>Patrick Turley</w:t>
      </w:r>
      <w:r>
        <w:rPr>
          <w:rFonts w:ascii="Times New Roman" w:hAnsi="Times New Roman" w:cs="Times New Roman"/>
          <w:iCs/>
          <w:vertAlign w:val="superscript"/>
        </w:rPr>
        <w:t>3,4</w:t>
      </w:r>
      <w:r>
        <w:rPr>
          <w:rFonts w:ascii="Times New Roman" w:hAnsi="Times New Roman" w:cs="Times New Roman"/>
          <w:iCs/>
        </w:rPr>
        <w:t xml:space="preserve">, </w:t>
      </w:r>
      <w:r w:rsidRPr="00AD50A8">
        <w:rPr>
          <w:rFonts w:ascii="Times New Roman" w:hAnsi="Times New Roman" w:cs="Times New Roman"/>
        </w:rPr>
        <w:t>Daniel J. Benjamin</w:t>
      </w:r>
      <w:r w:rsidRPr="00D44D7C">
        <w:rPr>
          <w:rFonts w:ascii="Times New Roman" w:hAnsi="Times New Roman" w:cs="Times New Roman"/>
          <w:vertAlign w:val="superscript"/>
        </w:rPr>
        <w:t>1,</w:t>
      </w:r>
      <w:r>
        <w:rPr>
          <w:rFonts w:ascii="Times New Roman" w:hAnsi="Times New Roman" w:cs="Times New Roman"/>
          <w:vertAlign w:val="superscript"/>
        </w:rPr>
        <w:t>2,5</w:t>
      </w:r>
      <w:r w:rsidRPr="00AD50A8">
        <w:rPr>
          <w:rFonts w:ascii="Times New Roman" w:hAnsi="Times New Roman" w:cs="Times New Roman"/>
        </w:rPr>
        <w:t>, and</w:t>
      </w:r>
      <w:r>
        <w:rPr>
          <w:rFonts w:ascii="Times New Roman" w:hAnsi="Times New Roman" w:cs="Times New Roman"/>
        </w:rPr>
        <w:t xml:space="preserve"> </w:t>
      </w:r>
      <w:r w:rsidRPr="00AD50A8">
        <w:rPr>
          <w:rFonts w:ascii="Times New Roman" w:hAnsi="Times New Roman" w:cs="Times New Roman"/>
        </w:rPr>
        <w:t>Alexande</w:t>
      </w:r>
      <w:r>
        <w:rPr>
          <w:rFonts w:ascii="Times New Roman" w:hAnsi="Times New Roman" w:cs="Times New Roman"/>
        </w:rPr>
        <w:t>r</w:t>
      </w:r>
      <w:r w:rsidRPr="00AD50A8">
        <w:rPr>
          <w:rFonts w:ascii="Times New Roman" w:hAnsi="Times New Roman" w:cs="Times New Roman"/>
        </w:rPr>
        <w:t xml:space="preserve"> </w:t>
      </w:r>
      <w:r>
        <w:rPr>
          <w:rFonts w:ascii="Times New Roman" w:hAnsi="Times New Roman" w:cs="Times New Roman"/>
        </w:rPr>
        <w:t>Strudwick</w:t>
      </w:r>
      <w:r w:rsidRPr="00AD50A8">
        <w:rPr>
          <w:rFonts w:ascii="Times New Roman" w:hAnsi="Times New Roman" w:cs="Times New Roman"/>
        </w:rPr>
        <w:t xml:space="preserve"> Young</w:t>
      </w:r>
      <w:r>
        <w:rPr>
          <w:rFonts w:ascii="Times New Roman" w:hAnsi="Times New Roman" w:cs="Times New Roman"/>
          <w:vertAlign w:val="superscript"/>
        </w:rPr>
        <w:t>1</w:t>
      </w:r>
      <w:r w:rsidRPr="00D44D7C">
        <w:rPr>
          <w:rFonts w:ascii="Times New Roman" w:hAnsi="Times New Roman" w:cs="Times New Roman"/>
          <w:vertAlign w:val="superscript"/>
        </w:rPr>
        <w:t>,</w:t>
      </w:r>
      <w:r>
        <w:rPr>
          <w:rFonts w:ascii="Times New Roman" w:hAnsi="Times New Roman" w:cs="Times New Roman"/>
          <w:vertAlign w:val="superscript"/>
        </w:rPr>
        <w:t>5</w:t>
      </w:r>
    </w:p>
    <w:p w14:paraId="68F1D6E1" w14:textId="77777777" w:rsidR="009C45D0" w:rsidRPr="00D70549" w:rsidRDefault="009C45D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1</m:t>
            </m:r>
          </m:sup>
        </m:sSup>
      </m:oMath>
      <w:r w:rsidRPr="00D70549">
        <w:rPr>
          <w:rFonts w:ascii="Times New Roman" w:hAnsi="Times New Roman" w:cs="Times New Roman"/>
          <w:sz w:val="18"/>
          <w:szCs w:val="18"/>
        </w:rPr>
        <w:t>UCLA Anderson School of Management, Los Angeles, CA, USA</w:t>
      </w:r>
    </w:p>
    <w:p w14:paraId="20CD54E6" w14:textId="77777777" w:rsidR="009C45D0" w:rsidRDefault="009C45D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2</m:t>
            </m:r>
          </m:sup>
        </m:sSup>
      </m:oMath>
      <w:r w:rsidRPr="00D70549">
        <w:rPr>
          <w:rFonts w:ascii="Times New Roman" w:hAnsi="Times New Roman" w:cs="Times New Roman"/>
          <w:sz w:val="18"/>
          <w:szCs w:val="18"/>
        </w:rPr>
        <w:t>National Bureau of Economic Research, Cambridge, MA, USA</w:t>
      </w:r>
    </w:p>
    <w:p w14:paraId="003EC942" w14:textId="77777777" w:rsidR="009C45D0" w:rsidRDefault="009C45D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3</m:t>
            </m:r>
          </m:sup>
        </m:sSup>
      </m:oMath>
      <w:r w:rsidRPr="00144A3D">
        <w:rPr>
          <w:rFonts w:ascii="Times New Roman" w:hAnsi="Times New Roman" w:cs="Times New Roman"/>
          <w:sz w:val="18"/>
          <w:szCs w:val="18"/>
        </w:rPr>
        <w:t>Department of Economics, University of Southern California, Los Angeles, CA, USA</w:t>
      </w:r>
    </w:p>
    <w:p w14:paraId="03BBAA51" w14:textId="77777777" w:rsidR="009C45D0" w:rsidRPr="00D70549" w:rsidRDefault="009C45D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4</m:t>
            </m:r>
          </m:sup>
        </m:sSup>
      </m:oMath>
      <w:r w:rsidRPr="00144A3D">
        <w:rPr>
          <w:rFonts w:ascii="Times New Roman" w:hAnsi="Times New Roman" w:cs="Times New Roman"/>
          <w:sz w:val="18"/>
          <w:szCs w:val="18"/>
        </w:rPr>
        <w:t>Center for Economic and Social Research, University of Southern California, Los Angeles, CA, USA</w:t>
      </w:r>
    </w:p>
    <w:p w14:paraId="505AABED" w14:textId="470FEAFF" w:rsidR="00C92A7D" w:rsidRPr="00796E46" w:rsidRDefault="009C45D0" w:rsidP="00796E46">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5</m:t>
            </m:r>
          </m:sup>
        </m:sSup>
      </m:oMath>
      <w:r w:rsidRPr="00D70549">
        <w:rPr>
          <w:rFonts w:ascii="Times New Roman" w:hAnsi="Times New Roman" w:cs="Times New Roman"/>
          <w:sz w:val="18"/>
          <w:szCs w:val="18"/>
        </w:rPr>
        <w:t>UCLA Department of Human Genetics, David Geffen School of Medicine, Los Angeles, CA, USA</w:t>
      </w:r>
    </w:p>
    <w:p w14:paraId="3BF52569" w14:textId="77777777" w:rsidR="009C45D0" w:rsidRDefault="009C45D0"/>
    <w:p w14:paraId="5EF93225" w14:textId="2AB87277" w:rsidR="009C45D0" w:rsidRDefault="009C45D0">
      <w:pPr>
        <w:rPr>
          <w:rFonts w:ascii="Times New Roman" w:hAnsi="Times New Roman" w:cs="Times New Roman"/>
          <w:b/>
          <w:sz w:val="28"/>
          <w:szCs w:val="28"/>
        </w:rPr>
      </w:pPr>
      <w:r w:rsidRPr="009C45D0">
        <w:rPr>
          <w:rFonts w:ascii="Times New Roman" w:hAnsi="Times New Roman" w:cs="Times New Roman"/>
          <w:b/>
          <w:sz w:val="28"/>
          <w:szCs w:val="28"/>
        </w:rPr>
        <w:t>Introduction</w:t>
      </w:r>
    </w:p>
    <w:p w14:paraId="3F4A99DD" w14:textId="77777777" w:rsidR="002A7EDC" w:rsidRDefault="009C45D0" w:rsidP="002A7EDC">
      <w:pPr>
        <w:spacing w:before="360"/>
        <w:rPr>
          <w:rFonts w:ascii="Times New Roman" w:hAnsi="Times New Roman" w:cs="Times New Roman"/>
          <w:bCs/>
          <w:sz w:val="22"/>
          <w:szCs w:val="22"/>
        </w:rPr>
      </w:pPr>
      <w:r w:rsidRPr="005D220A">
        <w:rPr>
          <w:rFonts w:ascii="Times New Roman" w:hAnsi="Times New Roman" w:cs="Times New Roman"/>
          <w:bCs/>
          <w:sz w:val="22"/>
          <w:szCs w:val="22"/>
        </w:rPr>
        <w:t xml:space="preserve">Family-based analyses have become an important part of human genetic analyses, especially for socio-economic and </w:t>
      </w:r>
      <w:r w:rsidRPr="005D220A">
        <w:rPr>
          <w:rFonts w:ascii="Times New Roman" w:hAnsi="Times New Roman" w:cs="Times New Roman"/>
          <w:bCs/>
          <w:sz w:val="22"/>
          <w:szCs w:val="22"/>
        </w:rPr>
        <w:t>behavioral</w:t>
      </w:r>
      <w:r w:rsidRPr="005D220A">
        <w:rPr>
          <w:rFonts w:ascii="Times New Roman" w:hAnsi="Times New Roman" w:cs="Times New Roman"/>
          <w:bCs/>
          <w:sz w:val="22"/>
          <w:szCs w:val="22"/>
        </w:rPr>
        <w:t xml:space="preserve"> phenotypes.  Family-based analyses use random genetic variation within families to remove confounding from population stratification and to separate out direct genetic effects (effects of variants in an individual on that individual) from indirect genetic effects (effects of variants in an individual on another individual mediated through the environment).</w:t>
      </w:r>
      <w:r>
        <w:rPr>
          <w:rFonts w:ascii="Times New Roman" w:hAnsi="Times New Roman" w:cs="Times New Roman"/>
          <w:bCs/>
          <w:sz w:val="22"/>
          <w:szCs w:val="22"/>
        </w:rPr>
        <w:t xml:space="preserve"> </w:t>
      </w:r>
      <w:r w:rsidRPr="009C45D0">
        <w:rPr>
          <w:rFonts w:ascii="Times New Roman" w:hAnsi="Times New Roman" w:cs="Times New Roman"/>
          <w:bCs/>
          <w:sz w:val="22"/>
          <w:szCs w:val="22"/>
        </w:rPr>
        <w:t>The underlying principle relies on relationships between relatives’ genotypes due to segregation of genetic material during meiosis.</w:t>
      </w:r>
      <w:r>
        <w:rPr>
          <w:rFonts w:ascii="Times New Roman" w:hAnsi="Times New Roman" w:cs="Times New Roman"/>
          <w:bCs/>
          <w:sz w:val="22"/>
          <w:szCs w:val="22"/>
        </w:rPr>
        <w:t xml:space="preserve"> </w:t>
      </w:r>
      <w:r w:rsidRPr="005D220A">
        <w:rPr>
          <w:rFonts w:ascii="Times New Roman" w:hAnsi="Times New Roman" w:cs="Times New Roman"/>
          <w:bCs/>
          <w:sz w:val="22"/>
          <w:szCs w:val="22"/>
        </w:rPr>
        <w:t xml:space="preserve">Family-based genome-wide association studies (FGWASs) — which use parental genotypes as control variables — and sib-GWAS — which use sibling genotypes as control variables — have been proposed as solutions to the confounding issues known to affect standard GWAS designs and downstream applications </w:t>
      </w:r>
      <w:r w:rsidRPr="005D220A">
        <w:rPr>
          <w:rFonts w:ascii="Times New Roman" w:hAnsi="Times New Roman" w:cs="Times New Roman"/>
          <w:bCs/>
          <w:sz w:val="22"/>
          <w:szCs w:val="22"/>
        </w:rPr>
        <w:t>including</w:t>
      </w:r>
      <w:r w:rsidRPr="005D220A">
        <w:rPr>
          <w:rFonts w:ascii="Times New Roman" w:hAnsi="Times New Roman" w:cs="Times New Roman"/>
          <w:bCs/>
          <w:sz w:val="22"/>
          <w:szCs w:val="22"/>
        </w:rPr>
        <w:t xml:space="preserve"> estimation of heritability and genetic correlation, Mendelian randomization, and inferences of natural selection.</w:t>
      </w:r>
    </w:p>
    <w:p w14:paraId="0B07A077" w14:textId="47205ADD" w:rsidR="00AD1F5F" w:rsidRPr="002A7EDC" w:rsidRDefault="009C45D0" w:rsidP="002A7EDC">
      <w:pPr>
        <w:spacing w:before="360"/>
        <w:rPr>
          <w:rFonts w:ascii="Times New Roman" w:hAnsi="Times New Roman" w:cs="Times New Roman"/>
          <w:bCs/>
          <w:sz w:val="22"/>
          <w:szCs w:val="22"/>
        </w:rPr>
      </w:pPr>
      <w:r w:rsidRPr="009C45D0">
        <w:rPr>
          <w:rFonts w:ascii="Times New Roman" w:hAnsi="Times New Roman" w:cs="Times New Roman"/>
          <w:bCs/>
          <w:sz w:val="22"/>
          <w:szCs w:val="22"/>
        </w:rPr>
        <w:t>While FGWAS has favorable theoretical properties, issues arising from imperfections in real-world genotype data have not been thoroughly explored. Most GWAS</w:t>
      </w:r>
      <w:r>
        <w:rPr>
          <w:rFonts w:ascii="Times New Roman" w:hAnsi="Times New Roman" w:cs="Times New Roman"/>
          <w:bCs/>
          <w:sz w:val="22"/>
          <w:szCs w:val="22"/>
        </w:rPr>
        <w:t xml:space="preserve"> studies use imputed data</w:t>
      </w:r>
      <w:r w:rsidR="00C40D10">
        <w:rPr>
          <w:rFonts w:ascii="Times New Roman" w:hAnsi="Times New Roman" w:cs="Times New Roman"/>
          <w:bCs/>
          <w:sz w:val="22"/>
          <w:szCs w:val="22"/>
        </w:rPr>
        <w:t>.</w:t>
      </w:r>
      <w:r>
        <w:rPr>
          <w:rFonts w:ascii="Times New Roman" w:hAnsi="Times New Roman" w:cs="Times New Roman"/>
          <w:bCs/>
          <w:sz w:val="22"/>
          <w:szCs w:val="22"/>
        </w:rPr>
        <w:t xml:space="preserve"> </w:t>
      </w:r>
      <w:r w:rsidR="00C40D10">
        <w:rPr>
          <w:rFonts w:ascii="Times New Roman" w:hAnsi="Times New Roman" w:cs="Times New Roman"/>
          <w:bCs/>
          <w:sz w:val="22"/>
          <w:szCs w:val="22"/>
        </w:rPr>
        <w:t xml:space="preserve">The </w:t>
      </w:r>
      <w:r w:rsidR="00AD1F5F">
        <w:rPr>
          <w:rFonts w:ascii="Times New Roman" w:hAnsi="Times New Roman" w:cs="Times New Roman"/>
          <w:bCs/>
          <w:sz w:val="22"/>
          <w:szCs w:val="22"/>
        </w:rPr>
        <w:t xml:space="preserve">data </w:t>
      </w:r>
      <w:r w:rsidRPr="009C45D0">
        <w:rPr>
          <w:rFonts w:ascii="Times New Roman" w:hAnsi="Times New Roman" w:cs="Times New Roman"/>
          <w:bCs/>
          <w:sz w:val="22"/>
          <w:szCs w:val="22"/>
        </w:rPr>
        <w:t>is derived from genotyping array data — which measures genotypes at an incomplete set of variants — followed by imputation from a panel of reference haplotypes with more complete genome sequencing data. The imputation methods work by finding closely related sequences in the reference panel and using the reference haplotypes to fill in the genotypes at the positions not directly observed on the genotyping array. The output of imputation methods typically consists of a probability distribution over genotypes, from which the most likely genotype (‘</w:t>
      </w:r>
      <w:proofErr w:type="gramStart"/>
      <w:r w:rsidRPr="009C45D0">
        <w:rPr>
          <w:rFonts w:ascii="Times New Roman" w:hAnsi="Times New Roman" w:cs="Times New Roman"/>
          <w:bCs/>
          <w:sz w:val="22"/>
          <w:szCs w:val="22"/>
        </w:rPr>
        <w:t>hard-call</w:t>
      </w:r>
      <w:proofErr w:type="gramEnd"/>
      <w:r w:rsidRPr="009C45D0">
        <w:rPr>
          <w:rFonts w:ascii="Times New Roman" w:hAnsi="Times New Roman" w:cs="Times New Roman"/>
          <w:bCs/>
          <w:sz w:val="22"/>
          <w:szCs w:val="22"/>
        </w:rPr>
        <w:t>’) or the expected genotype (‘dosage’) is used for downstream analyses. Imputation methods also provide a quality metric (INFO score or R</w:t>
      </w:r>
      <w:r>
        <w:rPr>
          <w:rFonts w:ascii="Times New Roman" w:hAnsi="Times New Roman" w:cs="Times New Roman"/>
          <w:bCs/>
          <w:sz w:val="22"/>
          <w:szCs w:val="22"/>
        </w:rPr>
        <w:t>2</w:t>
      </w:r>
      <w:r w:rsidRPr="009C45D0">
        <w:rPr>
          <w:rFonts w:ascii="Times New Roman" w:hAnsi="Times New Roman" w:cs="Times New Roman"/>
          <w:bCs/>
          <w:sz w:val="22"/>
          <w:szCs w:val="22"/>
        </w:rPr>
        <w:t>) that estimates the fraction of genotype variation the imputation has recovered.</w:t>
      </w:r>
      <w:r w:rsidR="00AD1F5F" w:rsidRPr="00AD1F5F">
        <w:rPr>
          <w:rFonts w:asciiTheme="majorBidi" w:hAnsiTheme="majorBidi" w:cstheme="majorBidi"/>
        </w:rPr>
        <w:t xml:space="preserve"> </w:t>
      </w:r>
    </w:p>
    <w:p w14:paraId="2A439A21" w14:textId="4E827710" w:rsidR="00AD1F5F" w:rsidRPr="00AD1F5F" w:rsidRDefault="00AD1F5F" w:rsidP="009C45D0">
      <w:pPr>
        <w:spacing w:before="360"/>
        <w:rPr>
          <w:rFonts w:ascii="Times New Roman" w:hAnsi="Times New Roman" w:cs="Times New Roman"/>
          <w:b/>
          <w:sz w:val="28"/>
          <w:szCs w:val="28"/>
        </w:rPr>
      </w:pPr>
      <w:r w:rsidRPr="00AD1F5F">
        <w:rPr>
          <w:rFonts w:ascii="Times New Roman" w:hAnsi="Times New Roman" w:cs="Times New Roman"/>
          <w:b/>
          <w:sz w:val="28"/>
          <w:szCs w:val="28"/>
        </w:rPr>
        <w:t>Results</w:t>
      </w:r>
    </w:p>
    <w:p w14:paraId="125703A3" w14:textId="63BE8C06" w:rsidR="00AD1F5F" w:rsidRPr="00C40D10" w:rsidRDefault="00AD1F5F" w:rsidP="00AD1F5F">
      <w:pPr>
        <w:spacing w:before="360"/>
        <w:rPr>
          <w:rFonts w:ascii="Times New Roman" w:hAnsi="Times New Roman" w:cs="Times New Roman"/>
          <w:bCs/>
          <w:sz w:val="22"/>
          <w:szCs w:val="22"/>
        </w:rPr>
      </w:pPr>
      <w:r w:rsidRPr="00C40D10">
        <w:rPr>
          <w:rFonts w:ascii="Times New Roman" w:hAnsi="Times New Roman" w:cs="Times New Roman"/>
          <w:bCs/>
          <w:sz w:val="22"/>
          <w:szCs w:val="22"/>
        </w:rPr>
        <w:t xml:space="preserve">Imputation is </w:t>
      </w:r>
      <w:r w:rsidRPr="00C40D10">
        <w:rPr>
          <w:rFonts w:ascii="Times New Roman" w:hAnsi="Times New Roman" w:cs="Times New Roman"/>
          <w:bCs/>
          <w:sz w:val="22"/>
          <w:szCs w:val="22"/>
        </w:rPr>
        <w:t xml:space="preserve">a process that does not consider family relations in the GWAS sample. </w:t>
      </w:r>
      <w:r w:rsidR="00383279" w:rsidRPr="00C40D10">
        <w:rPr>
          <w:rFonts w:ascii="Times New Roman" w:hAnsi="Times New Roman" w:cs="Times New Roman"/>
          <w:bCs/>
          <w:sz w:val="22"/>
          <w:szCs w:val="22"/>
        </w:rPr>
        <w:t>Thus,</w:t>
      </w:r>
      <w:r w:rsidRPr="00C40D10">
        <w:rPr>
          <w:rFonts w:ascii="Times New Roman" w:hAnsi="Times New Roman" w:cs="Times New Roman"/>
          <w:bCs/>
          <w:sz w:val="22"/>
          <w:szCs w:val="22"/>
        </w:rPr>
        <w:t xml:space="preserve"> imputed genotypes — especially those of low quality — may not preserve the expected properties of family data, potentially leading to misleading results.</w:t>
      </w:r>
    </w:p>
    <w:p w14:paraId="22D4AA3E" w14:textId="6BE6CE6B" w:rsidR="009C45D0" w:rsidRPr="00C40D10" w:rsidRDefault="00AD1F5F">
      <w:pPr>
        <w:rPr>
          <w:rFonts w:ascii="Times New Roman" w:hAnsi="Times New Roman" w:cs="Times New Roman"/>
          <w:bCs/>
          <w:sz w:val="22"/>
          <w:szCs w:val="22"/>
        </w:rPr>
      </w:pPr>
      <w:r w:rsidRPr="00C40D10">
        <w:rPr>
          <w:rFonts w:ascii="Times New Roman" w:hAnsi="Times New Roman" w:cs="Times New Roman"/>
          <w:bCs/>
          <w:sz w:val="22"/>
          <w:szCs w:val="22"/>
        </w:rPr>
        <w:t>To examine this, we analyzed 19,290 sibling pairs and 5,324 parent-offspring pairs from the UK Biobank. We found that correlations between first-degree relatives’ imputed genotypes decreased below the theoretical expectation with imputation quality (measured by INFO score with values between 0 and 1): for imputed SNPs (MAF&gt;1%) with INFO scores between 0.30–0.31, the mean correlation between siblings was 0.437 (S.E.=0.001) for genotype dosages and 0.376 (S.E.=0.001) for hard-calls, lower than the expected correlation of 0.5. Even at INFO scores of 0.96–0.97, the correlation remained below 0.5 (P=1.6x10⁻⁴) for hard-call genotypes. Similar results were obtained for parent-offspring genotype correlations.</w:t>
      </w:r>
    </w:p>
    <w:p w14:paraId="054A88B6" w14:textId="77777777" w:rsidR="00092F4B" w:rsidRDefault="00092F4B">
      <w:pPr>
        <w:rPr>
          <w:rFonts w:asciiTheme="majorBidi" w:hAnsiTheme="majorBidi" w:cstheme="majorBidi"/>
        </w:rPr>
      </w:pPr>
    </w:p>
    <w:p w14:paraId="0EBC882F" w14:textId="3AD474D5" w:rsidR="00092F4B" w:rsidRDefault="00092F4B" w:rsidP="00092F4B">
      <w:pPr>
        <w:rPr>
          <w:rFonts w:asciiTheme="majorBidi" w:hAnsiTheme="majorBidi" w:cstheme="majorBidi"/>
          <w:lang w:bidi="fa-IR"/>
        </w:rPr>
      </w:pPr>
      <w:r>
        <w:rPr>
          <w:rFonts w:asciiTheme="majorBidi" w:hAnsiTheme="majorBidi" w:cstheme="majorBidi"/>
          <w:noProof/>
          <w:lang w:bidi="fa-IR"/>
        </w:rPr>
        <w:drawing>
          <wp:inline distT="0" distB="0" distL="0" distR="0" wp14:anchorId="0392E207" wp14:editId="0064E13A">
            <wp:extent cx="5943600" cy="4909820"/>
            <wp:effectExtent l="0" t="0" r="0" b="5080"/>
            <wp:docPr id="21975248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52489" name="Picture 1" descr="A graph of different colored line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14:paraId="5BD8840D" w14:textId="6FAB7F01" w:rsidR="00092F4B" w:rsidRPr="00092F4B" w:rsidRDefault="00092F4B" w:rsidP="00092F4B">
      <w:pPr>
        <w:pStyle w:val="Caption"/>
        <w:jc w:val="center"/>
        <w:rPr>
          <w:rFonts w:ascii="Times New Roman" w:hAnsi="Times New Roman" w:cs="Times New Roman"/>
          <w:b/>
          <w:bCs/>
        </w:rPr>
      </w:pPr>
      <w:r w:rsidRPr="00D25B1E">
        <w:rPr>
          <w:rFonts w:ascii="Times New Roman" w:hAnsi="Times New Roman" w:cs="Times New Roman"/>
          <w:b/>
          <w:bCs/>
        </w:rPr>
        <w:t xml:space="preserve">Figure </w:t>
      </w:r>
      <w:r w:rsidRPr="00D25B1E">
        <w:rPr>
          <w:rFonts w:ascii="Times New Roman" w:hAnsi="Times New Roman" w:cs="Times New Roman"/>
          <w:b/>
          <w:bCs/>
        </w:rPr>
        <w:fldChar w:fldCharType="begin"/>
      </w:r>
      <w:r w:rsidRPr="00D25B1E">
        <w:rPr>
          <w:rFonts w:ascii="Times New Roman" w:hAnsi="Times New Roman" w:cs="Times New Roman"/>
          <w:b/>
          <w:bCs/>
        </w:rPr>
        <w:instrText xml:space="preserve"> SEQ Figure \* ARABIC </w:instrText>
      </w:r>
      <w:r w:rsidRPr="00D25B1E">
        <w:rPr>
          <w:rFonts w:ascii="Times New Roman" w:hAnsi="Times New Roman" w:cs="Times New Roman"/>
          <w:b/>
          <w:bCs/>
        </w:rPr>
        <w:fldChar w:fldCharType="separate"/>
      </w:r>
      <w:r w:rsidR="00874845">
        <w:rPr>
          <w:rFonts w:ascii="Times New Roman" w:hAnsi="Times New Roman" w:cs="Times New Roman"/>
          <w:b/>
          <w:bCs/>
          <w:noProof/>
        </w:rPr>
        <w:t>1</w:t>
      </w:r>
      <w:r w:rsidRPr="00D25B1E">
        <w:rPr>
          <w:rFonts w:ascii="Times New Roman" w:hAnsi="Times New Roman" w:cs="Times New Roman"/>
          <w:b/>
          <w:bCs/>
        </w:rPr>
        <w:fldChar w:fldCharType="end"/>
      </w:r>
      <w:r w:rsidRPr="00D25B1E">
        <w:rPr>
          <w:rFonts w:ascii="Times New Roman" w:hAnsi="Times New Roman" w:cs="Times New Roman"/>
          <w:b/>
          <w:bCs/>
        </w:rPr>
        <w:t>. Correlations between relatives’ genotypes as a function of imputation quality</w:t>
      </w:r>
      <w:r>
        <w:rPr>
          <w:rFonts w:ascii="Times New Roman" w:hAnsi="Times New Roman" w:cs="Times New Roman"/>
          <w:b/>
          <w:bCs/>
        </w:rPr>
        <w:t xml:space="preserve"> (INFO score)</w:t>
      </w:r>
      <w:r w:rsidRPr="00D25B1E">
        <w:rPr>
          <w:rFonts w:ascii="Times New Roman" w:hAnsi="Times New Roman" w:cs="Times New Roman"/>
          <w:b/>
          <w:bCs/>
        </w:rPr>
        <w:t>.</w:t>
      </w:r>
      <w:r w:rsidRPr="00D25B1E">
        <w:rPr>
          <w:rFonts w:ascii="Times New Roman" w:hAnsi="Times New Roman" w:cs="Times New Roman"/>
        </w:rPr>
        <w:t xml:space="preserve"> </w:t>
      </w:r>
      <w:r>
        <w:rPr>
          <w:rFonts w:ascii="Times New Roman" w:hAnsi="Times New Roman" w:cs="Times New Roman"/>
        </w:rPr>
        <w:t>W</w:t>
      </w:r>
      <w:r w:rsidRPr="00D25B1E">
        <w:rPr>
          <w:rFonts w:ascii="Times New Roman" w:hAnsi="Times New Roman" w:cs="Times New Roman"/>
        </w:rPr>
        <w:t>e show the mean correlation</w:t>
      </w:r>
      <w:r>
        <w:rPr>
          <w:rFonts w:ascii="Times New Roman" w:hAnsi="Times New Roman" w:cs="Times New Roman"/>
        </w:rPr>
        <w:t xml:space="preserve"> from 1000 SNPs</w:t>
      </w:r>
      <w:r w:rsidRPr="00D25B1E">
        <w:rPr>
          <w:rFonts w:ascii="Times New Roman" w:hAnsi="Times New Roman" w:cs="Times New Roman"/>
        </w:rPr>
        <w:t xml:space="preserve"> in each </w:t>
      </w:r>
      <w:r>
        <w:rPr>
          <w:rFonts w:ascii="Times New Roman" w:hAnsi="Times New Roman" w:cs="Times New Roman"/>
        </w:rPr>
        <w:t xml:space="preserve">INFO score </w:t>
      </w:r>
      <w:r w:rsidRPr="00D25B1E">
        <w:rPr>
          <w:rFonts w:ascii="Times New Roman" w:hAnsi="Times New Roman" w:cs="Times New Roman"/>
        </w:rPr>
        <w:t xml:space="preserve">bin along with its 95% confidence interval for both imputed dosages (expected genotype given genotype probabilities) and imputed hard-call genotypes (most likely genotype). </w:t>
      </w:r>
      <w:r>
        <w:rPr>
          <w:rFonts w:ascii="Times New Roman" w:hAnsi="Times New Roman" w:cs="Times New Roman"/>
        </w:rPr>
        <w:t>Results from 5,324 parent-offspring pairs and 19,290 sibling pairs from the white British subsample of the UK Biobank.</w:t>
      </w:r>
    </w:p>
    <w:p w14:paraId="67E492C7" w14:textId="77777777" w:rsidR="00290A7D" w:rsidRDefault="00290A7D" w:rsidP="00290A7D">
      <w:pPr>
        <w:rPr>
          <w:rFonts w:ascii="Times New Roman" w:hAnsi="Times New Roman" w:cs="Times New Roman"/>
          <w:bCs/>
          <w:sz w:val="22"/>
          <w:szCs w:val="22"/>
        </w:rPr>
      </w:pPr>
    </w:p>
    <w:p w14:paraId="2413F7AE" w14:textId="3A86FEAA" w:rsidR="00290A7D" w:rsidRPr="00290A7D" w:rsidRDefault="00290A7D" w:rsidP="00290A7D">
      <w:pPr>
        <w:rPr>
          <w:rFonts w:ascii="Times New Roman" w:hAnsi="Times New Roman" w:cs="Times New Roman"/>
          <w:bCs/>
          <w:sz w:val="22"/>
          <w:szCs w:val="22"/>
        </w:rPr>
      </w:pPr>
      <w:r w:rsidRPr="00290A7D">
        <w:rPr>
          <w:rFonts w:ascii="Times New Roman" w:hAnsi="Times New Roman" w:cs="Times New Roman"/>
          <w:bCs/>
          <w:sz w:val="22"/>
          <w:szCs w:val="22"/>
        </w:rPr>
        <w:t>In a separate analysis, we regressed the difference between siblings’ genotypes, derived from whole-genome sequencing (WGS) data in the UKB, onto the difference from imputed data</w:t>
      </w:r>
      <w:r>
        <w:rPr>
          <w:rFonts w:ascii="Times New Roman" w:hAnsi="Times New Roman" w:cs="Times New Roman"/>
          <w:bCs/>
          <w:sz w:val="22"/>
          <w:szCs w:val="22"/>
        </w:rPr>
        <w:t xml:space="preserve"> </w:t>
      </w:r>
      <m:oMath>
        <m:d>
          <m:dPr>
            <m:ctrlPr>
              <w:rPr>
                <w:rFonts w:ascii="Cambria Math" w:hAnsi="Cambria Math" w:cstheme="majorBidi"/>
                <w:bCs/>
                <w:sz w:val="22"/>
                <w:szCs w:val="22"/>
              </w:rPr>
            </m:ctrlPr>
          </m:dPr>
          <m:e>
            <m:sSub>
              <m:sSubPr>
                <m:ctrlPr>
                  <w:rPr>
                    <w:rFonts w:ascii="Cambria Math" w:hAnsi="Cambria Math" w:cstheme="majorBidi"/>
                    <w:bCs/>
                    <w:sz w:val="22"/>
                    <w:szCs w:val="22"/>
                  </w:rPr>
                </m:ctrlPr>
              </m:sSubPr>
              <m:e>
                <m:r>
                  <w:rPr>
                    <w:rFonts w:ascii="Cambria Math" w:hAnsi="Cambria Math" w:cstheme="majorBidi"/>
                    <w:sz w:val="22"/>
                    <w:szCs w:val="22"/>
                  </w:rPr>
                  <m:t>g</m:t>
                </m:r>
              </m:e>
              <m:sub>
                <m:r>
                  <w:rPr>
                    <w:rFonts w:ascii="Cambria Math" w:hAnsi="Cambria Math" w:cstheme="majorBidi"/>
                    <w:sz w:val="22"/>
                    <w:szCs w:val="22"/>
                  </w:rPr>
                  <m:t>i</m:t>
                </m:r>
                <m:r>
                  <m:rPr>
                    <m:sty m:val="p"/>
                  </m:rPr>
                  <w:rPr>
                    <w:rFonts w:ascii="Cambria Math" w:hAnsi="Cambria Math" w:cstheme="majorBidi"/>
                    <w:sz w:val="22"/>
                    <w:szCs w:val="22"/>
                  </w:rPr>
                  <m:t>1</m:t>
                </m:r>
              </m:sub>
            </m:sSub>
            <m:r>
              <m:rPr>
                <m:sty m:val="p"/>
              </m:rPr>
              <w:rPr>
                <w:rFonts w:ascii="Cambria Math" w:hAnsi="Cambria Math" w:cstheme="majorBidi"/>
                <w:sz w:val="22"/>
                <w:szCs w:val="22"/>
              </w:rPr>
              <m:t> –</m:t>
            </m:r>
            <m:sSub>
              <m:sSubPr>
                <m:ctrlPr>
                  <w:rPr>
                    <w:rFonts w:ascii="Cambria Math" w:hAnsi="Cambria Math" w:cstheme="majorBidi"/>
                    <w:bCs/>
                    <w:sz w:val="22"/>
                    <w:szCs w:val="22"/>
                  </w:rPr>
                </m:ctrlPr>
              </m:sSubPr>
              <m:e>
                <m:r>
                  <w:rPr>
                    <w:rFonts w:ascii="Cambria Math" w:hAnsi="Cambria Math" w:cstheme="majorBidi"/>
                    <w:sz w:val="22"/>
                    <w:szCs w:val="22"/>
                  </w:rPr>
                  <m:t>g</m:t>
                </m:r>
              </m:e>
              <m:sub>
                <m:r>
                  <w:rPr>
                    <w:rFonts w:ascii="Cambria Math" w:hAnsi="Cambria Math" w:cstheme="majorBidi"/>
                    <w:sz w:val="22"/>
                    <w:szCs w:val="22"/>
                  </w:rPr>
                  <m:t>i</m:t>
                </m:r>
                <m:r>
                  <m:rPr>
                    <m:sty m:val="p"/>
                  </m:rPr>
                  <w:rPr>
                    <w:rFonts w:ascii="Cambria Math" w:hAnsi="Cambria Math" w:cstheme="majorBidi"/>
                    <w:sz w:val="22"/>
                    <w:szCs w:val="22"/>
                  </w:rPr>
                  <m:t>2</m:t>
                </m:r>
              </m:sub>
            </m:sSub>
            <m:r>
              <m:rPr>
                <m:sty m:val="p"/>
              </m:rPr>
              <w:rPr>
                <w:rFonts w:ascii="Cambria Math" w:hAnsi="Cambria Math" w:cstheme="majorBidi"/>
                <w:sz w:val="22"/>
                <w:szCs w:val="22"/>
              </w:rPr>
              <m:t>∼</m:t>
            </m:r>
            <m:acc>
              <m:accPr>
                <m:ctrlPr>
                  <w:rPr>
                    <w:rFonts w:ascii="Cambria Math" w:hAnsi="Cambria Math" w:cstheme="majorBidi"/>
                    <w:bCs/>
                    <w:sz w:val="22"/>
                    <w:szCs w:val="22"/>
                  </w:rPr>
                </m:ctrlPr>
              </m:accPr>
              <m:e>
                <m:sSub>
                  <m:sSubPr>
                    <m:ctrlPr>
                      <w:rPr>
                        <w:rFonts w:ascii="Cambria Math" w:hAnsi="Cambria Math" w:cstheme="majorBidi"/>
                        <w:bCs/>
                        <w:sz w:val="22"/>
                        <w:szCs w:val="22"/>
                      </w:rPr>
                    </m:ctrlPr>
                  </m:sSubPr>
                  <m:e>
                    <m:r>
                      <w:rPr>
                        <w:rFonts w:ascii="Cambria Math" w:hAnsi="Cambria Math" w:cstheme="majorBidi"/>
                        <w:sz w:val="22"/>
                        <w:szCs w:val="22"/>
                      </w:rPr>
                      <m:t>g</m:t>
                    </m:r>
                  </m:e>
                  <m:sub>
                    <m:r>
                      <m:rPr>
                        <m:sty m:val="p"/>
                      </m:rPr>
                      <w:rPr>
                        <w:rFonts w:ascii="Cambria Math" w:hAnsi="Cambria Math" w:cstheme="majorBidi"/>
                        <w:sz w:val="22"/>
                        <w:szCs w:val="22"/>
                      </w:rPr>
                      <m:t>i1</m:t>
                    </m:r>
                  </m:sub>
                </m:sSub>
              </m:e>
            </m:acc>
            <m:r>
              <m:rPr>
                <m:sty m:val="p"/>
              </m:rPr>
              <w:rPr>
                <w:rFonts w:ascii="Cambria Math" w:hAnsi="Cambria Math" w:cstheme="majorBidi"/>
                <w:sz w:val="22"/>
                <w:szCs w:val="22"/>
              </w:rPr>
              <m:t>-</m:t>
            </m:r>
            <m:acc>
              <m:accPr>
                <m:ctrlPr>
                  <w:rPr>
                    <w:rFonts w:ascii="Cambria Math" w:hAnsi="Cambria Math" w:cstheme="majorBidi"/>
                    <w:bCs/>
                    <w:sz w:val="22"/>
                    <w:szCs w:val="22"/>
                  </w:rPr>
                </m:ctrlPr>
              </m:accPr>
              <m:e>
                <m:sSub>
                  <m:sSubPr>
                    <m:ctrlPr>
                      <w:rPr>
                        <w:rFonts w:ascii="Cambria Math" w:hAnsi="Cambria Math" w:cstheme="majorBidi"/>
                        <w:bCs/>
                        <w:sz w:val="22"/>
                        <w:szCs w:val="22"/>
                      </w:rPr>
                    </m:ctrlPr>
                  </m:sSubPr>
                  <m:e>
                    <m:r>
                      <w:rPr>
                        <w:rFonts w:ascii="Cambria Math" w:hAnsi="Cambria Math" w:cstheme="majorBidi"/>
                        <w:sz w:val="22"/>
                        <w:szCs w:val="22"/>
                      </w:rPr>
                      <m:t>g</m:t>
                    </m:r>
                  </m:e>
                  <m:sub>
                    <m:r>
                      <m:rPr>
                        <m:sty m:val="p"/>
                      </m:rPr>
                      <w:rPr>
                        <w:rFonts w:ascii="Cambria Math" w:hAnsi="Cambria Math" w:cstheme="majorBidi"/>
                        <w:sz w:val="22"/>
                        <w:szCs w:val="22"/>
                      </w:rPr>
                      <m:t>i2</m:t>
                    </m:r>
                  </m:sub>
                </m:sSub>
              </m:e>
            </m:acc>
          </m:e>
        </m:d>
        <m:r>
          <m:rPr>
            <m:lit/>
            <m:sty m:val="p"/>
          </m:rPr>
          <w:rPr>
            <w:rFonts w:ascii="Cambria Math" w:hAnsi="Cambria Math" w:cstheme="majorBidi"/>
            <w:sz w:val="22"/>
            <w:szCs w:val="22"/>
          </w:rPr>
          <m:t>)</m:t>
        </m:r>
      </m:oMath>
      <w:r>
        <w:rPr>
          <w:rFonts w:ascii="Times New Roman" w:hAnsi="Times New Roman" w:cs="Times New Roman"/>
          <w:bCs/>
          <w:sz w:val="22"/>
          <w:szCs w:val="22"/>
        </w:rPr>
        <w:t xml:space="preserve">. </w:t>
      </w:r>
      <w:r w:rsidRPr="00290A7D">
        <w:rPr>
          <w:rFonts w:ascii="Times New Roman" w:hAnsi="Times New Roman" w:cs="Times New Roman"/>
          <w:bCs/>
          <w:sz w:val="22"/>
          <w:szCs w:val="22"/>
        </w:rPr>
        <w:t>Theoretically, we would expect an intercept</w:t>
      </w:r>
      <w:r>
        <w:rPr>
          <w:rFonts w:ascii="Times New Roman" w:hAnsi="Times New Roman" w:cs="Times New Roman"/>
          <w:bCs/>
          <w:sz w:val="22"/>
          <w:szCs w:val="22"/>
        </w:rPr>
        <w:t xml:space="preserve"> </w:t>
      </w:r>
      <w:r w:rsidRPr="00290A7D">
        <w:rPr>
          <w:rFonts w:ascii="Times New Roman" w:hAnsi="Times New Roman" w:cs="Times New Roman"/>
          <w:bCs/>
          <w:sz w:val="22"/>
          <w:szCs w:val="22"/>
        </w:rPr>
        <w:t xml:space="preserve">of zero and a slope of one.  </w:t>
      </w:r>
    </w:p>
    <w:p w14:paraId="2D118210" w14:textId="77777777" w:rsidR="00290A7D" w:rsidRPr="00290A7D" w:rsidRDefault="00290A7D" w:rsidP="00290A7D">
      <w:pPr>
        <w:rPr>
          <w:rFonts w:ascii="Times New Roman" w:hAnsi="Times New Roman" w:cs="Times New Roman"/>
          <w:bCs/>
          <w:sz w:val="22"/>
          <w:szCs w:val="22"/>
        </w:rPr>
      </w:pPr>
    </w:p>
    <w:p w14:paraId="13B76DF7" w14:textId="77777777" w:rsidR="00290A7D" w:rsidRPr="00290A7D" w:rsidRDefault="00290A7D" w:rsidP="00290A7D">
      <w:pPr>
        <w:rPr>
          <w:rFonts w:ascii="Times New Roman" w:hAnsi="Times New Roman" w:cs="Times New Roman"/>
          <w:bCs/>
          <w:sz w:val="22"/>
          <w:szCs w:val="22"/>
        </w:rPr>
      </w:pPr>
      <w:r w:rsidRPr="00290A7D">
        <w:rPr>
          <w:rFonts w:ascii="Times New Roman" w:hAnsi="Times New Roman" w:cs="Times New Roman"/>
          <w:bCs/>
          <w:sz w:val="22"/>
          <w:szCs w:val="22"/>
        </w:rPr>
        <w:t xml:space="preserve">Figure 2 illustrates the distribution of the intercepts and slopes from these regressions for individual SNPs. The results indicate significant deviations from theoretical expectations for both high- and low-quality imputed SNPs, with the deviations being more pronounced for low-quality imputed genotypes.  </w:t>
      </w:r>
    </w:p>
    <w:p w14:paraId="7F026183" w14:textId="77777777" w:rsidR="00290A7D" w:rsidRPr="00290A7D" w:rsidRDefault="00290A7D" w:rsidP="00290A7D">
      <w:pPr>
        <w:rPr>
          <w:rFonts w:ascii="Times New Roman" w:hAnsi="Times New Roman" w:cs="Times New Roman"/>
          <w:bCs/>
          <w:sz w:val="22"/>
          <w:szCs w:val="22"/>
        </w:rPr>
      </w:pPr>
    </w:p>
    <w:p w14:paraId="484A79F1" w14:textId="1963D50E" w:rsidR="00290A7D" w:rsidRPr="00290A7D" w:rsidRDefault="00290A7D" w:rsidP="00290A7D">
      <w:pPr>
        <w:rPr>
          <w:rFonts w:ascii="Times New Roman" w:hAnsi="Times New Roman" w:cs="Times New Roman"/>
          <w:bCs/>
          <w:sz w:val="22"/>
          <w:szCs w:val="22"/>
        </w:rPr>
      </w:pPr>
      <w:r w:rsidRPr="00290A7D">
        <w:rPr>
          <w:rFonts w:ascii="Times New Roman" w:hAnsi="Times New Roman" w:cs="Times New Roman"/>
          <w:bCs/>
          <w:sz w:val="22"/>
          <w:szCs w:val="22"/>
        </w:rPr>
        <w:t>For high-quality imputed genotypes (68 SNPs with a mean info score of 96.6%), the average slope estimate is 95.7% (mean S.E. = 0.0015, mean P = 0.0146). In contrast, for low-quality imputed SNPs (46 SNPs with a mean info score of 31.2%), the mean slope estimate is only 6.2% (mean S.E. = 0.0142, mean P = 0.0090).</w:t>
      </w:r>
    </w:p>
    <w:p w14:paraId="0B52CF4B" w14:textId="77777777" w:rsidR="00874845" w:rsidRDefault="00745EDA" w:rsidP="00874845">
      <w:pPr>
        <w:keepNext/>
        <w:jc w:val="center"/>
      </w:pPr>
      <w:r>
        <w:rPr>
          <w:rFonts w:asciiTheme="majorBidi" w:hAnsiTheme="majorBidi" w:cstheme="majorBidi"/>
          <w:noProof/>
        </w:rPr>
        <w:lastRenderedPageBreak/>
        <w:drawing>
          <wp:inline distT="0" distB="0" distL="0" distR="0" wp14:anchorId="349A4F43" wp14:editId="24614937">
            <wp:extent cx="5943600" cy="5152390"/>
            <wp:effectExtent l="0" t="0" r="0" b="3810"/>
            <wp:docPr id="750376081"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76081" name="Picture 2" descr="A screenshot of a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152390"/>
                    </a:xfrm>
                    <a:prstGeom prst="rect">
                      <a:avLst/>
                    </a:prstGeom>
                  </pic:spPr>
                </pic:pic>
              </a:graphicData>
            </a:graphic>
          </wp:inline>
        </w:drawing>
      </w:r>
    </w:p>
    <w:p w14:paraId="6ED57A24" w14:textId="3CEC9C17" w:rsidR="002019C9" w:rsidRDefault="00874845" w:rsidP="002019C9">
      <w:pPr>
        <w:pStyle w:val="Caption"/>
        <w:jc w:val="center"/>
        <w:rPr>
          <w:rFonts w:asciiTheme="majorBidi" w:eastAsiaTheme="minorEastAsia" w:hAnsiTheme="majorBidi" w:cstheme="majorBidi"/>
        </w:rPr>
      </w:pPr>
      <w:r>
        <w:t xml:space="preserve">Figure </w:t>
      </w:r>
      <w:r>
        <w:fldChar w:fldCharType="begin"/>
      </w:r>
      <w:r>
        <w:instrText xml:space="preserve"> SEQ Figure \* ARABIC </w:instrText>
      </w:r>
      <w:r>
        <w:fldChar w:fldCharType="separate"/>
      </w:r>
      <w:r>
        <w:rPr>
          <w:noProof/>
        </w:rPr>
        <w:t>2</w:t>
      </w:r>
      <w:r>
        <w:fldChar w:fldCharType="end"/>
      </w:r>
      <w:r>
        <w:t xml:space="preserve">. The distribution of intercept and the slope for the regression of </w:t>
      </w:r>
      <m:oMath>
        <m:sSub>
          <m:sSubPr>
            <m:ctrlPr>
              <w:rPr>
                <w:rFonts w:ascii="Cambria Math" w:hAnsi="Cambria Math" w:cstheme="majorBidi"/>
              </w:rPr>
            </m:ctrlPr>
          </m:sSubPr>
          <m:e>
            <m:r>
              <w:rPr>
                <w:rFonts w:ascii="Cambria Math" w:hAnsi="Cambria Math" w:cstheme="majorBidi"/>
              </w:rPr>
              <m:t>g</m:t>
            </m:r>
          </m:e>
          <m:sub>
            <m:r>
              <w:rPr>
                <w:rFonts w:ascii="Cambria Math" w:hAnsi="Cambria Math" w:cstheme="majorBidi"/>
              </w:rPr>
              <m:t>i1</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g</m:t>
            </m:r>
          </m:e>
          <m:sub>
            <m:r>
              <w:rPr>
                <w:rFonts w:ascii="Cambria Math" w:hAnsi="Cambria Math" w:cstheme="majorBidi"/>
              </w:rPr>
              <m:t>i2</m:t>
            </m:r>
          </m:sub>
        </m:sSub>
      </m:oMath>
      <w:r>
        <w:rPr>
          <w:rFonts w:asciiTheme="majorBidi" w:eastAsiaTheme="minorEastAsia" w:hAnsiTheme="majorBidi" w:cstheme="majorBidi"/>
          <w:iCs w:val="0"/>
        </w:rPr>
        <w:t xml:space="preserve"> </w:t>
      </w:r>
      <w:r>
        <w:rPr>
          <w:rFonts w:asciiTheme="majorBidi" w:hAnsiTheme="majorBidi" w:cstheme="majorBidi"/>
        </w:rPr>
        <w:t xml:space="preserve">onto </w:t>
      </w:r>
      <w:r w:rsidRPr="00626594">
        <w:rPr>
          <w:rFonts w:asciiTheme="majorBidi" w:hAnsiTheme="majorBidi" w:cstheme="majorBidi"/>
        </w:rPr>
        <w:t xml:space="preserve"> </w:t>
      </w:r>
      <m:oMath>
        <m:sSub>
          <m:sSubPr>
            <m:ctrlPr>
              <w:rPr>
                <w:rFonts w:ascii="Cambria Math" w:hAnsi="Cambria Math" w:cstheme="majorBidi"/>
              </w:rPr>
            </m:ctrlPr>
          </m:sSubPr>
          <m:e>
            <m:acc>
              <m:accPr>
                <m:chr m:val="ˆ"/>
                <m:ctrlPr>
                  <w:rPr>
                    <w:rFonts w:ascii="Cambria Math" w:hAnsi="Cambria Math" w:cstheme="majorBidi"/>
                  </w:rPr>
                </m:ctrlPr>
              </m:accPr>
              <m:e>
                <m:r>
                  <w:rPr>
                    <w:rFonts w:ascii="Cambria Math" w:hAnsi="Cambria Math" w:cstheme="majorBidi"/>
                  </w:rPr>
                  <m:t>g</m:t>
                </m:r>
              </m:e>
            </m:acc>
          </m:e>
          <m:sub>
            <m:r>
              <w:rPr>
                <w:rFonts w:ascii="Cambria Math" w:hAnsi="Cambria Math" w:cstheme="majorBidi"/>
              </w:rPr>
              <m:t>i1</m:t>
            </m:r>
          </m:sub>
        </m:sSub>
        <m:r>
          <w:rPr>
            <w:rFonts w:ascii="Cambria Math" w:hAnsi="Cambria Math" w:cstheme="majorBidi"/>
          </w:rPr>
          <m:t>-</m:t>
        </m:r>
        <m:sSub>
          <m:sSubPr>
            <m:ctrlPr>
              <w:rPr>
                <w:rFonts w:ascii="Cambria Math" w:hAnsi="Cambria Math" w:cstheme="majorBidi"/>
              </w:rPr>
            </m:ctrlPr>
          </m:sSubPr>
          <m:e>
            <m:acc>
              <m:accPr>
                <m:chr m:val="ˆ"/>
                <m:ctrlPr>
                  <w:rPr>
                    <w:rFonts w:ascii="Cambria Math" w:hAnsi="Cambria Math" w:cstheme="majorBidi"/>
                  </w:rPr>
                </m:ctrlPr>
              </m:accPr>
              <m:e>
                <m:r>
                  <w:rPr>
                    <w:rFonts w:ascii="Cambria Math" w:hAnsi="Cambria Math" w:cstheme="majorBidi"/>
                  </w:rPr>
                  <m:t>g</m:t>
                </m:r>
              </m:e>
            </m:acc>
          </m:e>
          <m:sub>
            <m:r>
              <w:rPr>
                <w:rFonts w:ascii="Cambria Math" w:hAnsi="Cambria Math" w:cstheme="majorBidi"/>
              </w:rPr>
              <m:t>i2</m:t>
            </m:r>
          </m:sub>
        </m:sSub>
      </m:oMath>
      <w:r>
        <w:rPr>
          <w:rFonts w:asciiTheme="majorBidi" w:eastAsiaTheme="minorEastAsia" w:hAnsiTheme="majorBidi" w:cstheme="majorBidi"/>
        </w:rPr>
        <w:t>.</w:t>
      </w:r>
    </w:p>
    <w:p w14:paraId="4429289D" w14:textId="77777777" w:rsidR="002019C9" w:rsidRPr="002019C9" w:rsidRDefault="002019C9" w:rsidP="002019C9"/>
    <w:p w14:paraId="1456125D" w14:textId="03669189" w:rsidR="002019C9" w:rsidRPr="002A7EDC" w:rsidRDefault="002019C9" w:rsidP="002019C9">
      <w:pPr>
        <w:keepNext/>
        <w:rPr>
          <w:rFonts w:ascii="Times New Roman" w:hAnsi="Times New Roman" w:cs="Times New Roman"/>
          <w:bCs/>
          <w:sz w:val="22"/>
          <w:szCs w:val="22"/>
        </w:rPr>
      </w:pPr>
      <w:r w:rsidRPr="002A7EDC">
        <w:rPr>
          <w:rFonts w:ascii="Times New Roman" w:hAnsi="Times New Roman" w:cs="Times New Roman"/>
          <w:bCs/>
          <w:sz w:val="22"/>
          <w:szCs w:val="22"/>
        </w:rPr>
        <w:t>We also conducted a straightforward analysis by regressing the WGS-derived genotype of 19,0</w:t>
      </w:r>
      <w:r w:rsidRPr="002A7EDC">
        <w:rPr>
          <w:rFonts w:ascii="Times New Roman" w:hAnsi="Times New Roman" w:cs="Times New Roman"/>
          <w:bCs/>
          <w:sz w:val="22"/>
          <w:szCs w:val="22"/>
        </w:rPr>
        <w:t>52</w:t>
      </w:r>
      <w:r w:rsidRPr="002A7EDC">
        <w:rPr>
          <w:rFonts w:ascii="Times New Roman" w:hAnsi="Times New Roman" w:cs="Times New Roman"/>
          <w:bCs/>
          <w:sz w:val="22"/>
          <w:szCs w:val="22"/>
        </w:rPr>
        <w:t xml:space="preserve"> White British individuals onto their imputed genotype at the same SNP. To avoid dependence between observations, we included only one sibling from each sib pair in the UKB data. We then plotted the INFO scores against the </w:t>
      </w:r>
      <w:r w:rsidRPr="002A7EDC">
        <w:rPr>
          <w:rFonts w:ascii="Times New Roman" w:hAnsi="Times New Roman" w:cs="Times New Roman"/>
          <w:bCs/>
          <w:sz w:val="22"/>
          <w:szCs w:val="22"/>
        </w:rPr>
        <w:t>R2</w:t>
      </w:r>
      <w:r w:rsidRPr="002A7EDC">
        <w:rPr>
          <w:rFonts w:ascii="Times New Roman" w:hAnsi="Times New Roman" w:cs="Times New Roman"/>
          <w:bCs/>
          <w:sz w:val="22"/>
          <w:szCs w:val="22"/>
        </w:rPr>
        <w:t xml:space="preserve"> values from the fitted models.  </w:t>
      </w:r>
    </w:p>
    <w:p w14:paraId="450B36B4" w14:textId="77777777" w:rsidR="002019C9" w:rsidRPr="002A7EDC" w:rsidRDefault="002019C9" w:rsidP="002019C9">
      <w:pPr>
        <w:keepNext/>
        <w:rPr>
          <w:rFonts w:ascii="Times New Roman" w:hAnsi="Times New Roman" w:cs="Times New Roman"/>
          <w:bCs/>
          <w:sz w:val="22"/>
          <w:szCs w:val="22"/>
        </w:rPr>
      </w:pPr>
    </w:p>
    <w:p w14:paraId="51E91D1C" w14:textId="4028590E" w:rsidR="002019C9" w:rsidRPr="002A7EDC" w:rsidRDefault="002019C9" w:rsidP="002019C9">
      <w:pPr>
        <w:keepNext/>
        <w:rPr>
          <w:rFonts w:ascii="Times New Roman" w:hAnsi="Times New Roman" w:cs="Times New Roman"/>
          <w:bCs/>
          <w:sz w:val="22"/>
          <w:szCs w:val="22"/>
        </w:rPr>
      </w:pPr>
      <w:r w:rsidRPr="002A7EDC">
        <w:rPr>
          <w:rFonts w:ascii="Times New Roman" w:hAnsi="Times New Roman" w:cs="Times New Roman"/>
          <w:bCs/>
          <w:sz w:val="22"/>
          <w:szCs w:val="22"/>
        </w:rPr>
        <w:t xml:space="preserve">Figure 3 presents the relationship between the INFO score and the </w:t>
      </w:r>
      <w:r w:rsidRPr="002A7EDC">
        <w:rPr>
          <w:rFonts w:ascii="Times New Roman" w:hAnsi="Times New Roman" w:cs="Times New Roman"/>
          <w:bCs/>
          <w:sz w:val="22"/>
          <w:szCs w:val="22"/>
        </w:rPr>
        <w:t xml:space="preserve">R2 </w:t>
      </w:r>
      <w:r w:rsidRPr="002A7EDC">
        <w:rPr>
          <w:rFonts w:ascii="Times New Roman" w:hAnsi="Times New Roman" w:cs="Times New Roman"/>
          <w:bCs/>
          <w:sz w:val="22"/>
          <w:szCs w:val="22"/>
        </w:rPr>
        <w:t xml:space="preserve">between imputed and WGS data. The results indicate that the INFO score is highly unreliable—rather than matching the expected </w:t>
      </w:r>
      <w:r w:rsidRPr="002A7EDC">
        <w:rPr>
          <w:rFonts w:ascii="Times New Roman" w:hAnsi="Times New Roman" w:cs="Times New Roman"/>
          <w:bCs/>
          <w:sz w:val="22"/>
          <w:szCs w:val="22"/>
        </w:rPr>
        <w:t xml:space="preserve">R2, </w:t>
      </w:r>
      <w:r w:rsidRPr="002A7EDC">
        <w:rPr>
          <w:rFonts w:ascii="Times New Roman" w:hAnsi="Times New Roman" w:cs="Times New Roman"/>
          <w:bCs/>
          <w:sz w:val="22"/>
          <w:szCs w:val="22"/>
        </w:rPr>
        <w:t xml:space="preserve">the actual </w:t>
      </w:r>
      <w:r w:rsidRPr="002A7EDC">
        <w:rPr>
          <w:rFonts w:ascii="Times New Roman" w:hAnsi="Times New Roman" w:cs="Times New Roman"/>
          <w:bCs/>
          <w:sz w:val="22"/>
          <w:szCs w:val="22"/>
        </w:rPr>
        <w:t xml:space="preserve">R2 </w:t>
      </w:r>
      <w:r w:rsidRPr="002A7EDC">
        <w:rPr>
          <w:rFonts w:ascii="Times New Roman" w:hAnsi="Times New Roman" w:cs="Times New Roman"/>
          <w:bCs/>
          <w:sz w:val="22"/>
          <w:szCs w:val="22"/>
        </w:rPr>
        <w:t xml:space="preserve">values are often much lower. For high-quality SNPs, some exhibit </w:t>
      </w:r>
      <w:r w:rsidRPr="002A7EDC">
        <w:rPr>
          <w:rFonts w:ascii="Times New Roman" w:hAnsi="Times New Roman" w:cs="Times New Roman"/>
          <w:bCs/>
          <w:sz w:val="22"/>
          <w:szCs w:val="22"/>
        </w:rPr>
        <w:t xml:space="preserve">R2 </w:t>
      </w:r>
      <w:r w:rsidRPr="002A7EDC">
        <w:rPr>
          <w:rFonts w:ascii="Times New Roman" w:hAnsi="Times New Roman" w:cs="Times New Roman"/>
          <w:bCs/>
          <w:sz w:val="22"/>
          <w:szCs w:val="22"/>
        </w:rPr>
        <w:t xml:space="preserve">values as low as 0.5, </w:t>
      </w:r>
      <w:r w:rsidRPr="002A7EDC">
        <w:rPr>
          <w:rFonts w:ascii="Times New Roman" w:hAnsi="Times New Roman" w:cs="Times New Roman"/>
          <w:bCs/>
          <w:sz w:val="22"/>
          <w:szCs w:val="22"/>
        </w:rPr>
        <w:lastRenderedPageBreak/>
        <w:t>while for low-quality SNPs (with INFO scores around 0.3), the imputed and WGS genotypes are nearly uncorrelated.</w:t>
      </w:r>
    </w:p>
    <w:p w14:paraId="4D8EF748" w14:textId="5AE8A53E" w:rsidR="00874845" w:rsidRDefault="004A6747" w:rsidP="00874845">
      <w:pPr>
        <w:keepNext/>
        <w:jc w:val="center"/>
      </w:pPr>
      <w:r>
        <w:rPr>
          <w:rFonts w:asciiTheme="majorBidi" w:hAnsiTheme="majorBidi" w:cstheme="majorBidi"/>
          <w:noProof/>
        </w:rPr>
        <w:drawing>
          <wp:inline distT="0" distB="0" distL="0" distR="0" wp14:anchorId="1E72AA2D" wp14:editId="390ACA0B">
            <wp:extent cx="5943600" cy="5467985"/>
            <wp:effectExtent l="0" t="0" r="0" b="5715"/>
            <wp:docPr id="1650049360" name="Picture 3" descr="A diagram of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49360" name="Picture 3" descr="A diagram of a red l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467985"/>
                    </a:xfrm>
                    <a:prstGeom prst="rect">
                      <a:avLst/>
                    </a:prstGeom>
                  </pic:spPr>
                </pic:pic>
              </a:graphicData>
            </a:graphic>
          </wp:inline>
        </w:drawing>
      </w:r>
    </w:p>
    <w:p w14:paraId="771A1E23" w14:textId="7B2BD072" w:rsidR="00AD1F5F" w:rsidRDefault="00874845" w:rsidP="00874845">
      <w:pPr>
        <w:pStyle w:val="Caption"/>
        <w:jc w:val="center"/>
        <w:rPr>
          <w:rFonts w:asciiTheme="majorBidi" w:hAnsiTheme="majorBidi" w:cstheme="majorBidi"/>
        </w:rPr>
      </w:pPr>
      <w:r>
        <w:t xml:space="preserve">Figure </w:t>
      </w:r>
      <w:r>
        <w:fldChar w:fldCharType="begin"/>
      </w:r>
      <w:r>
        <w:instrText xml:space="preserve"> SEQ Figure \* ARABIC </w:instrText>
      </w:r>
      <w:r>
        <w:fldChar w:fldCharType="separate"/>
      </w:r>
      <w:r>
        <w:rPr>
          <w:noProof/>
        </w:rPr>
        <w:t>3</w:t>
      </w:r>
      <w:r>
        <w:fldChar w:fldCharType="end"/>
      </w:r>
      <w:r>
        <w:t>. INFO score vs R2 between imputed and WGS data.</w:t>
      </w:r>
    </w:p>
    <w:p w14:paraId="1E6F2D2F" w14:textId="2A2536A6" w:rsidR="00350E74" w:rsidRPr="00350E74" w:rsidRDefault="00AD1F5F" w:rsidP="00350E74">
      <w:pPr>
        <w:spacing w:before="360"/>
        <w:rPr>
          <w:rFonts w:ascii="Times New Roman" w:hAnsi="Times New Roman" w:cs="Times New Roman"/>
          <w:b/>
          <w:sz w:val="28"/>
          <w:szCs w:val="28"/>
        </w:rPr>
      </w:pPr>
      <w:r w:rsidRPr="00350E74">
        <w:rPr>
          <w:rFonts w:ascii="Times New Roman" w:hAnsi="Times New Roman" w:cs="Times New Roman"/>
          <w:b/>
          <w:sz w:val="28"/>
          <w:szCs w:val="28"/>
        </w:rPr>
        <w:t>Discussion</w:t>
      </w:r>
    </w:p>
    <w:p w14:paraId="59F74FD7" w14:textId="55D7776A" w:rsidR="00874845" w:rsidRPr="002A7EDC" w:rsidRDefault="00E52CC1" w:rsidP="001A564F">
      <w:pPr>
        <w:rPr>
          <w:rFonts w:ascii="Times New Roman" w:hAnsi="Times New Roman" w:cs="Times New Roman"/>
          <w:bCs/>
          <w:sz w:val="22"/>
          <w:szCs w:val="22"/>
        </w:rPr>
      </w:pPr>
      <w:r w:rsidRPr="002A7EDC">
        <w:rPr>
          <w:rFonts w:ascii="Times New Roman" w:hAnsi="Times New Roman" w:cs="Times New Roman"/>
          <w:bCs/>
          <w:sz w:val="22"/>
          <w:szCs w:val="22"/>
        </w:rPr>
        <w:t xml:space="preserve">These results raise concerns about results from a recent sib-GWAS meta-analysis by Howe et al. that used hard-call genotypes for all SNPs with MAF&gt;1% and INFO score greater than 0.3, implying many low-quality imputed genotypes were used. To investigate the impact that low-quality imputed genotypes have on sib-GWAS and FGWAS, we are </w:t>
      </w:r>
      <w:r w:rsidR="00874845" w:rsidRPr="002A7EDC">
        <w:rPr>
          <w:rFonts w:ascii="Times New Roman" w:hAnsi="Times New Roman" w:cs="Times New Roman"/>
          <w:bCs/>
          <w:sz w:val="22"/>
          <w:szCs w:val="22"/>
        </w:rPr>
        <w:t xml:space="preserve">going to </w:t>
      </w:r>
      <w:r w:rsidRPr="002A7EDC">
        <w:rPr>
          <w:rFonts w:ascii="Times New Roman" w:hAnsi="Times New Roman" w:cs="Times New Roman"/>
          <w:bCs/>
          <w:sz w:val="22"/>
          <w:szCs w:val="22"/>
        </w:rPr>
        <w:t>perform</w:t>
      </w:r>
      <w:r w:rsidR="00874845" w:rsidRPr="002A7EDC">
        <w:rPr>
          <w:rFonts w:ascii="Times New Roman" w:hAnsi="Times New Roman" w:cs="Times New Roman"/>
          <w:bCs/>
          <w:sz w:val="22"/>
          <w:szCs w:val="22"/>
        </w:rPr>
        <w:t xml:space="preserve"> more</w:t>
      </w:r>
      <w:r w:rsidRPr="002A7EDC">
        <w:rPr>
          <w:rFonts w:ascii="Times New Roman" w:hAnsi="Times New Roman" w:cs="Times New Roman"/>
          <w:bCs/>
          <w:sz w:val="22"/>
          <w:szCs w:val="22"/>
        </w:rPr>
        <w:t xml:space="preserve"> analyses comparing the imputed genotypes in UK Biobank to the whole-genome sequencing data. </w:t>
      </w:r>
      <w:r w:rsidR="00874845" w:rsidRPr="002A7EDC">
        <w:rPr>
          <w:rFonts w:ascii="Times New Roman" w:hAnsi="Times New Roman" w:cs="Times New Roman"/>
          <w:bCs/>
          <w:sz w:val="22"/>
          <w:szCs w:val="22"/>
        </w:rPr>
        <w:t>For the next step we are going to extend the analysis to a greater number of SNPs across different INFO score values.</w:t>
      </w:r>
    </w:p>
    <w:p w14:paraId="5B69CE67" w14:textId="7FBECF5B" w:rsidR="00E52CC1" w:rsidRPr="002A7EDC" w:rsidRDefault="00E52CC1" w:rsidP="00E52CC1">
      <w:pPr>
        <w:spacing w:before="360"/>
        <w:rPr>
          <w:rFonts w:ascii="Times New Roman" w:hAnsi="Times New Roman" w:cs="Times New Roman"/>
          <w:bCs/>
          <w:sz w:val="22"/>
          <w:szCs w:val="22"/>
        </w:rPr>
      </w:pPr>
      <w:r w:rsidRPr="002A7EDC">
        <w:rPr>
          <w:rFonts w:ascii="Times New Roman" w:hAnsi="Times New Roman" w:cs="Times New Roman"/>
          <w:bCs/>
          <w:sz w:val="22"/>
          <w:szCs w:val="22"/>
        </w:rPr>
        <w:t xml:space="preserve">This will enable us to measure the bias and confounding introduced by low quality SNPs. We will compare sib-GWAS and FGWAS results from both imputed genotypes and whole-genome sequencing data. </w:t>
      </w:r>
    </w:p>
    <w:p w14:paraId="54AC9062" w14:textId="1C15005B" w:rsidR="00874845" w:rsidRPr="002A7EDC" w:rsidRDefault="00E52CC1" w:rsidP="002A7EDC">
      <w:pPr>
        <w:rPr>
          <w:rFonts w:ascii="Times New Roman" w:hAnsi="Times New Roman" w:cs="Times New Roman"/>
          <w:bCs/>
          <w:sz w:val="22"/>
          <w:szCs w:val="22"/>
        </w:rPr>
      </w:pPr>
      <w:r w:rsidRPr="002A7EDC">
        <w:rPr>
          <w:rFonts w:ascii="Times New Roman" w:hAnsi="Times New Roman" w:cs="Times New Roman"/>
          <w:bCs/>
          <w:sz w:val="22"/>
          <w:szCs w:val="22"/>
        </w:rPr>
        <w:lastRenderedPageBreak/>
        <w:t xml:space="preserve">Our results, although preliminary, indicate that stringent quality control is required for family-based analyses using imputed genotype data. Furthermore, imputation methods that account for pedigree relations between close relatives should be developed to enable better family-based analyses of data derived from genotyping arrays. </w:t>
      </w:r>
    </w:p>
    <w:p w14:paraId="43E087B4" w14:textId="77777777" w:rsidR="00794CE1" w:rsidRPr="002A7EDC" w:rsidRDefault="00794CE1" w:rsidP="002A7EDC">
      <w:pPr>
        <w:rPr>
          <w:rFonts w:ascii="Times New Roman" w:hAnsi="Times New Roman" w:cs="Times New Roman"/>
          <w:bCs/>
          <w:sz w:val="22"/>
          <w:szCs w:val="22"/>
        </w:rPr>
      </w:pPr>
    </w:p>
    <w:p w14:paraId="4314C941" w14:textId="77777777" w:rsidR="00AD1F5F" w:rsidRDefault="00AD1F5F">
      <w:pPr>
        <w:rPr>
          <w:rFonts w:ascii="Times New Roman" w:hAnsi="Times New Roman" w:cs="Times New Roman"/>
          <w:bCs/>
          <w:sz w:val="22"/>
          <w:szCs w:val="22"/>
        </w:rPr>
      </w:pPr>
    </w:p>
    <w:p w14:paraId="4676EB31" w14:textId="1D4F55F3" w:rsidR="00AD1F5F" w:rsidRPr="002A7EDC" w:rsidRDefault="00AD1F5F" w:rsidP="002A7EDC">
      <w:pPr>
        <w:rPr>
          <w:rFonts w:ascii="Times New Roman" w:hAnsi="Times New Roman" w:cs="Times New Roman"/>
          <w:bCs/>
          <w:sz w:val="22"/>
          <w:szCs w:val="22"/>
        </w:rPr>
      </w:pPr>
      <w:r w:rsidRPr="002A7EDC">
        <w:rPr>
          <w:rFonts w:asciiTheme="majorBidi" w:hAnsiTheme="majorBidi" w:cstheme="majorBidi"/>
          <w:b/>
          <w:bCs/>
        </w:rPr>
        <w:t>Grant Support:</w:t>
      </w:r>
      <w:r w:rsidRPr="002A7EDC">
        <w:rPr>
          <w:rFonts w:asciiTheme="majorBidi" w:hAnsiTheme="majorBidi" w:cstheme="majorBidi"/>
        </w:rPr>
        <w:t xml:space="preserve"> </w:t>
      </w:r>
      <w:r w:rsidRPr="002A7EDC">
        <w:rPr>
          <w:rFonts w:ascii="Times New Roman" w:hAnsi="Times New Roman" w:cs="Times New Roman"/>
          <w:bCs/>
          <w:sz w:val="22"/>
          <w:szCs w:val="22"/>
        </w:rPr>
        <w:t>The study was supported by Open Philanthropy and the National Institute on Aging/National Institutes of Health through grants R24-AG065184 and R01-AG042568 to D.J.B., and R01-AG083379 to A.S.Y.</w:t>
      </w:r>
    </w:p>
    <w:sectPr w:rsidR="00AD1F5F" w:rsidRPr="002A7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A6"/>
    <w:rsid w:val="00092F4B"/>
    <w:rsid w:val="00150D3E"/>
    <w:rsid w:val="001A564F"/>
    <w:rsid w:val="002019C9"/>
    <w:rsid w:val="00290A7D"/>
    <w:rsid w:val="002A7EDC"/>
    <w:rsid w:val="00350E74"/>
    <w:rsid w:val="00383279"/>
    <w:rsid w:val="003857B2"/>
    <w:rsid w:val="004A6747"/>
    <w:rsid w:val="005D12EE"/>
    <w:rsid w:val="005F1A86"/>
    <w:rsid w:val="00602546"/>
    <w:rsid w:val="00626594"/>
    <w:rsid w:val="00745EDA"/>
    <w:rsid w:val="00770BA6"/>
    <w:rsid w:val="0077493C"/>
    <w:rsid w:val="00794346"/>
    <w:rsid w:val="00794CE1"/>
    <w:rsid w:val="00796E46"/>
    <w:rsid w:val="007C51A5"/>
    <w:rsid w:val="00874845"/>
    <w:rsid w:val="009C45D0"/>
    <w:rsid w:val="00AD1F5F"/>
    <w:rsid w:val="00BD389D"/>
    <w:rsid w:val="00C40D10"/>
    <w:rsid w:val="00C92A7D"/>
    <w:rsid w:val="00E52CC1"/>
    <w:rsid w:val="00EB0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D49F5E0"/>
  <w15:chartTrackingRefBased/>
  <w15:docId w15:val="{025B7223-1327-B149-8E37-73825506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5D0"/>
    <w:pPr>
      <w:spacing w:after="0" w:line="240" w:lineRule="auto"/>
    </w:pPr>
  </w:style>
  <w:style w:type="paragraph" w:styleId="Heading1">
    <w:name w:val="heading 1"/>
    <w:basedOn w:val="Normal"/>
    <w:next w:val="Normal"/>
    <w:link w:val="Heading1Char"/>
    <w:uiPriority w:val="9"/>
    <w:qFormat/>
    <w:rsid w:val="00770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B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B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B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B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BA6"/>
    <w:rPr>
      <w:rFonts w:eastAsiaTheme="majorEastAsia" w:cstheme="majorBidi"/>
      <w:color w:val="272727" w:themeColor="text1" w:themeTint="D8"/>
    </w:rPr>
  </w:style>
  <w:style w:type="paragraph" w:styleId="Title">
    <w:name w:val="Title"/>
    <w:basedOn w:val="Normal"/>
    <w:next w:val="Normal"/>
    <w:link w:val="TitleChar"/>
    <w:uiPriority w:val="10"/>
    <w:qFormat/>
    <w:rsid w:val="00770B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BA6"/>
    <w:pPr>
      <w:spacing w:before="160"/>
      <w:jc w:val="center"/>
    </w:pPr>
    <w:rPr>
      <w:i/>
      <w:iCs/>
      <w:color w:val="404040" w:themeColor="text1" w:themeTint="BF"/>
    </w:rPr>
  </w:style>
  <w:style w:type="character" w:customStyle="1" w:styleId="QuoteChar">
    <w:name w:val="Quote Char"/>
    <w:basedOn w:val="DefaultParagraphFont"/>
    <w:link w:val="Quote"/>
    <w:uiPriority w:val="29"/>
    <w:rsid w:val="00770BA6"/>
    <w:rPr>
      <w:i/>
      <w:iCs/>
      <w:color w:val="404040" w:themeColor="text1" w:themeTint="BF"/>
    </w:rPr>
  </w:style>
  <w:style w:type="paragraph" w:styleId="ListParagraph">
    <w:name w:val="List Paragraph"/>
    <w:basedOn w:val="Normal"/>
    <w:uiPriority w:val="34"/>
    <w:qFormat/>
    <w:rsid w:val="00770BA6"/>
    <w:pPr>
      <w:ind w:left="720"/>
      <w:contextualSpacing/>
    </w:pPr>
  </w:style>
  <w:style w:type="character" w:styleId="IntenseEmphasis">
    <w:name w:val="Intense Emphasis"/>
    <w:basedOn w:val="DefaultParagraphFont"/>
    <w:uiPriority w:val="21"/>
    <w:qFormat/>
    <w:rsid w:val="00770BA6"/>
    <w:rPr>
      <w:i/>
      <w:iCs/>
      <w:color w:val="0F4761" w:themeColor="accent1" w:themeShade="BF"/>
    </w:rPr>
  </w:style>
  <w:style w:type="paragraph" w:styleId="IntenseQuote">
    <w:name w:val="Intense Quote"/>
    <w:basedOn w:val="Normal"/>
    <w:next w:val="Normal"/>
    <w:link w:val="IntenseQuoteChar"/>
    <w:uiPriority w:val="30"/>
    <w:qFormat/>
    <w:rsid w:val="0077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BA6"/>
    <w:rPr>
      <w:i/>
      <w:iCs/>
      <w:color w:val="0F4761" w:themeColor="accent1" w:themeShade="BF"/>
    </w:rPr>
  </w:style>
  <w:style w:type="character" w:styleId="IntenseReference">
    <w:name w:val="Intense Reference"/>
    <w:basedOn w:val="DefaultParagraphFont"/>
    <w:uiPriority w:val="32"/>
    <w:qFormat/>
    <w:rsid w:val="00770BA6"/>
    <w:rPr>
      <w:b/>
      <w:bCs/>
      <w:smallCaps/>
      <w:color w:val="0F4761" w:themeColor="accent1" w:themeShade="BF"/>
      <w:spacing w:val="5"/>
    </w:rPr>
  </w:style>
  <w:style w:type="paragraph" w:styleId="Caption">
    <w:name w:val="caption"/>
    <w:basedOn w:val="Normal"/>
    <w:next w:val="Normal"/>
    <w:uiPriority w:val="35"/>
    <w:unhideWhenUsed/>
    <w:qFormat/>
    <w:rsid w:val="00092F4B"/>
    <w:pPr>
      <w:spacing w:after="200"/>
    </w:pPr>
    <w:rPr>
      <w:i/>
      <w:iCs/>
      <w:color w:val="0E2841" w:themeColor="text2"/>
      <w:sz w:val="18"/>
      <w:szCs w:val="18"/>
    </w:rPr>
  </w:style>
  <w:style w:type="paragraph" w:styleId="Revision">
    <w:name w:val="Revision"/>
    <w:hidden/>
    <w:uiPriority w:val="99"/>
    <w:semiHidden/>
    <w:rsid w:val="00E52CC1"/>
    <w:pPr>
      <w:spacing w:after="0" w:line="240" w:lineRule="auto"/>
    </w:pPr>
  </w:style>
  <w:style w:type="character" w:styleId="PlaceholderText">
    <w:name w:val="Placeholder Text"/>
    <w:basedOn w:val="DefaultParagraphFont"/>
    <w:uiPriority w:val="99"/>
    <w:semiHidden/>
    <w:rsid w:val="00290A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Mir</dc:creator>
  <cp:keywords/>
  <dc:description/>
  <cp:lastModifiedBy>Mahdi Mir</cp:lastModifiedBy>
  <cp:revision>60</cp:revision>
  <dcterms:created xsi:type="dcterms:W3CDTF">2025-03-04T22:01:00Z</dcterms:created>
  <dcterms:modified xsi:type="dcterms:W3CDTF">2025-03-06T00:58:00Z</dcterms:modified>
</cp:coreProperties>
</file>