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BDD" w:rsidRDefault="00523BDD" w:rsidP="00523BDD">
      <w:r>
        <w:t xml:space="preserve">Dear </w:t>
      </w:r>
      <w:proofErr w:type="gramStart"/>
      <w:r>
        <w:t>sir</w:t>
      </w:r>
      <w:proofErr w:type="gramEnd"/>
      <w:r>
        <w:t>,</w:t>
      </w:r>
    </w:p>
    <w:p w:rsidR="00523BDD" w:rsidRDefault="00523BDD" w:rsidP="00523BDD">
      <w:r>
        <w:t>Please find the Attachment and give your best rate of some item.</w:t>
      </w:r>
    </w:p>
    <w:p w:rsidR="00523BDD" w:rsidRDefault="00523BDD" w:rsidP="00523BDD"/>
    <w:tbl>
      <w:tblPr>
        <w:tblW w:w="6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100"/>
        <w:gridCol w:w="960"/>
        <w:gridCol w:w="960"/>
      </w:tblGrid>
      <w:tr w:rsidR="00523BDD" w:rsidTr="00523BDD">
        <w:trPr>
          <w:trHeight w:val="6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23BDD" w:rsidRDefault="00523B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Sl.No</w:t>
            </w:r>
            <w:proofErr w:type="spellEnd"/>
          </w:p>
        </w:tc>
        <w:tc>
          <w:tcPr>
            <w:tcW w:w="4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23BDD" w:rsidRDefault="00523B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Description of Work / Item(s)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23BDD" w:rsidRDefault="00523B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No.of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Qty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23BDD" w:rsidRDefault="00523B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Units</w:t>
            </w:r>
          </w:p>
        </w:tc>
      </w:tr>
      <w:tr w:rsidR="00523BDD" w:rsidTr="00523BDD">
        <w:trPr>
          <w:trHeight w:val="45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BDD" w:rsidRDefault="00523BDD">
            <w:pPr>
              <w:rPr>
                <w:rFonts w:ascii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BDD" w:rsidRDefault="00523BDD">
            <w:pPr>
              <w:rPr>
                <w:rFonts w:ascii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BDD" w:rsidRDefault="00523BDD">
            <w:pPr>
              <w:rPr>
                <w:rFonts w:ascii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23BDD" w:rsidRDefault="00523BDD">
            <w:pPr>
              <w:rPr>
                <w:rFonts w:ascii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523BDD" w:rsidTr="00523BDD">
        <w:trPr>
          <w:trHeight w:val="4725"/>
        </w:trPr>
        <w:tc>
          <w:tcPr>
            <w:tcW w:w="9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23BDD" w:rsidRDefault="00523BDD">
            <w:pPr>
              <w:jc w:val="right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1.00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23BDD" w:rsidRDefault="00523B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Supply of 2 x 250W Crescent shaped LED flood light made of pressure die cast aluminium housing &amp; having system lumen &gt; 52000 Lumens, Heat resistant toughened glass, back opening driver compartment for ease of maintenance, Input voltage working range 140Vac to 300Vac, LEDs with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US"/>
              </w:rPr>
              <w:t>induvial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PMMA lens of "30 Degree beam angel" for better light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US"/>
              </w:rPr>
              <w:t>disribution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, Potted type driver for long life with short circuit, open circuit, High Voltage protection with Upper cut off limit of 100Vac &amp; auto restart after stable voltage, Over temperature protection (driver to withstand till 60 Degree temp), Fitting have to withstand for 8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US"/>
              </w:rPr>
              <w:t>Hrs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in case of 440 Vac fault, each driver have Internal surge protection 4KV Line -line &amp; 6KV Line-earth &amp; Potted type 5KV External surge protection, THD &lt;10%, CCT: 5700+/-300K, PF&gt; 0.95, Temp working range -10 Degree to 60 Degree C, IP66 Protection for dust &amp; water, Driver efficiency &gt; 90%, CRI&gt;70, IK08 Protection, LM79 report from in house NABL Accredited lab, LM 80 Report, TDS (Crompton : LFLPI-500-CDL/30) (Dimension : 720mm x 420mm x 145mm)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23BDD" w:rsidRDefault="00523BDD">
            <w:pPr>
              <w:jc w:val="right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16.00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23BDD" w:rsidRDefault="00523B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No</w:t>
            </w:r>
          </w:p>
        </w:tc>
      </w:tr>
      <w:tr w:rsidR="00523BDD" w:rsidTr="00523BDD">
        <w:trPr>
          <w:trHeight w:val="47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23BDD" w:rsidRDefault="00523BDD">
            <w:pPr>
              <w:jc w:val="right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2.00</w:t>
            </w:r>
          </w:p>
        </w:tc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23BDD" w:rsidRDefault="00523B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Supply of 2 x 250W Crescent shaped LED flood light made of pressure die cast aluminium housing &amp; having system lumen &gt; 52000 Lumens, Heat resistant toughened glass, back opening driver compartment for ease of maintenance, Input voltage working range 140Vac to 300Vac, LEDs with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US"/>
              </w:rPr>
              <w:t>induvial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PMMA lens of "60 Degree beam angel" for better light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US"/>
              </w:rPr>
              <w:t>disribution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, Potted type driver for long life with short circuit, open circuit, High Voltage protection with Upper cut off limit of 300Vac &amp; low voltage protection with lower cut off limit of 100Vac &amp; auto restart after stable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US"/>
              </w:rPr>
              <w:t>voltge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, Over temperature protection (driver to withstand till 60 Degree temp), Fitting have to withstand for 8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US"/>
              </w:rPr>
              <w:t>Hrs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in case of 440 Vac fault, each driver have Internal surge protection 4KV Line -line &amp; 6KV Line-earth &amp; Potted type 5KV External surge protection, THD &lt;10%, CCT: 5700+/-300K, PF&gt; 0.95, Temp working range -10 Degree to 60 Degree C, IP66 Protection for dust &amp; water, Driver efficiency &gt; 90%, CRI&gt;70, IK08 Protection, LM79 report from in house NABL Accredited lab, LM 80 Report, TDS (Crompton : LFLPI-500-CDL/60) (Dimension : 720mm x 420mm x 145mm)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23BDD" w:rsidRDefault="00523BDD">
            <w:pPr>
              <w:jc w:val="right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8.00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23BDD" w:rsidRDefault="00523BDD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No</w:t>
            </w:r>
          </w:p>
        </w:tc>
      </w:tr>
    </w:tbl>
    <w:p w:rsidR="00523BDD" w:rsidRDefault="00523BDD" w:rsidP="00523BDD"/>
    <w:p w:rsidR="00523BDD" w:rsidRDefault="00523BDD" w:rsidP="00523BDD">
      <w:r>
        <w:t>Thanking you</w:t>
      </w:r>
    </w:p>
    <w:p w:rsidR="00523BDD" w:rsidRDefault="00523BDD" w:rsidP="00523BDD">
      <w:pPr>
        <w:rPr>
          <w:sz w:val="19"/>
          <w:szCs w:val="19"/>
        </w:rPr>
      </w:pPr>
      <w:bookmarkStart w:id="0" w:name="_GoBack"/>
      <w:bookmarkEnd w:id="0"/>
    </w:p>
    <w:p w:rsidR="00523BDD" w:rsidRDefault="00523BDD" w:rsidP="00523BDD">
      <w:pPr>
        <w:rPr>
          <w:sz w:val="19"/>
          <w:szCs w:val="19"/>
        </w:rPr>
      </w:pPr>
      <w:proofErr w:type="gramStart"/>
      <w:r>
        <w:rPr>
          <w:b/>
          <w:bCs/>
          <w:sz w:val="19"/>
          <w:szCs w:val="19"/>
        </w:rPr>
        <w:t>Name :-</w:t>
      </w:r>
      <w:proofErr w:type="gramEnd"/>
      <w:r>
        <w:rPr>
          <w:b/>
          <w:bCs/>
          <w:sz w:val="19"/>
          <w:szCs w:val="19"/>
        </w:rPr>
        <w:t xml:space="preserve"> Manish Electricals</w:t>
      </w:r>
    </w:p>
    <w:p w:rsidR="00523BDD" w:rsidRDefault="00523BDD" w:rsidP="00523BDD">
      <w:pPr>
        <w:rPr>
          <w:sz w:val="19"/>
          <w:szCs w:val="19"/>
        </w:rPr>
      </w:pPr>
      <w:proofErr w:type="gramStart"/>
      <w:r>
        <w:rPr>
          <w:b/>
          <w:bCs/>
          <w:sz w:val="19"/>
          <w:szCs w:val="19"/>
        </w:rPr>
        <w:t>Add :-</w:t>
      </w:r>
      <w:proofErr w:type="gramEnd"/>
      <w:r>
        <w:rPr>
          <w:b/>
          <w:bCs/>
          <w:sz w:val="19"/>
          <w:szCs w:val="19"/>
        </w:rPr>
        <w:t xml:space="preserve"> </w:t>
      </w:r>
      <w:proofErr w:type="spellStart"/>
      <w:r>
        <w:rPr>
          <w:b/>
          <w:bCs/>
          <w:sz w:val="19"/>
          <w:szCs w:val="19"/>
        </w:rPr>
        <w:t>Kalpna</w:t>
      </w:r>
      <w:proofErr w:type="spellEnd"/>
      <w:r>
        <w:rPr>
          <w:b/>
          <w:bCs/>
          <w:sz w:val="19"/>
          <w:szCs w:val="19"/>
        </w:rPr>
        <w:t xml:space="preserve"> Nagar C.P. Colony</w:t>
      </w:r>
    </w:p>
    <w:p w:rsidR="00523BDD" w:rsidRDefault="00523BDD" w:rsidP="00523BDD">
      <w:pPr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7 No. </w:t>
      </w:r>
      <w:proofErr w:type="spellStart"/>
      <w:r>
        <w:rPr>
          <w:b/>
          <w:bCs/>
          <w:sz w:val="19"/>
          <w:szCs w:val="19"/>
        </w:rPr>
        <w:t>Chouraha</w:t>
      </w:r>
      <w:proofErr w:type="spellEnd"/>
      <w:r>
        <w:rPr>
          <w:b/>
          <w:bCs/>
          <w:sz w:val="19"/>
          <w:szCs w:val="19"/>
        </w:rPr>
        <w:t xml:space="preserve"> </w:t>
      </w:r>
      <w:proofErr w:type="spellStart"/>
      <w:r>
        <w:rPr>
          <w:b/>
          <w:bCs/>
          <w:sz w:val="19"/>
          <w:szCs w:val="19"/>
        </w:rPr>
        <w:t>Morar</w:t>
      </w:r>
      <w:proofErr w:type="spellEnd"/>
    </w:p>
    <w:p w:rsidR="00523BDD" w:rsidRDefault="00523BDD" w:rsidP="00523BDD">
      <w:pPr>
        <w:rPr>
          <w:sz w:val="19"/>
          <w:szCs w:val="19"/>
        </w:rPr>
      </w:pPr>
      <w:r>
        <w:rPr>
          <w:b/>
          <w:bCs/>
          <w:sz w:val="19"/>
          <w:szCs w:val="19"/>
        </w:rPr>
        <w:t>Gwalior - 474006</w:t>
      </w:r>
    </w:p>
    <w:p w:rsidR="00523BDD" w:rsidRDefault="00523BDD" w:rsidP="00523BDD">
      <w:pPr>
        <w:rPr>
          <w:sz w:val="19"/>
          <w:szCs w:val="19"/>
        </w:rPr>
      </w:pPr>
      <w:r>
        <w:rPr>
          <w:b/>
          <w:bCs/>
          <w:sz w:val="19"/>
          <w:szCs w:val="19"/>
        </w:rPr>
        <w:t>Ph. No. 0751-2463664</w:t>
      </w:r>
    </w:p>
    <w:p w:rsidR="00523BDD" w:rsidRDefault="00523BDD" w:rsidP="00523BDD">
      <w:pPr>
        <w:rPr>
          <w:sz w:val="19"/>
          <w:szCs w:val="19"/>
        </w:rPr>
      </w:pPr>
      <w:r>
        <w:rPr>
          <w:b/>
          <w:bCs/>
          <w:sz w:val="19"/>
          <w:szCs w:val="19"/>
        </w:rPr>
        <w:t>Fax No. 07514030948</w:t>
      </w:r>
    </w:p>
    <w:p w:rsidR="009D477B" w:rsidRDefault="009D477B"/>
    <w:sectPr w:rsidR="009D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DD"/>
    <w:rsid w:val="00523BDD"/>
    <w:rsid w:val="009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BDD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BDD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Gupta</dc:creator>
  <cp:lastModifiedBy>Nilesh Gupta</cp:lastModifiedBy>
  <cp:revision>2</cp:revision>
  <dcterms:created xsi:type="dcterms:W3CDTF">2019-09-12T04:31:00Z</dcterms:created>
  <dcterms:modified xsi:type="dcterms:W3CDTF">2019-09-12T04:32:00Z</dcterms:modified>
</cp:coreProperties>
</file>