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Winder &amp; Stilhaus — Brand Guidelines (Merged from Provided Screenshots)</w:t>
      </w:r>
    </w:p>
    <w:p>
      <w:pPr>
        <w:jc w:val="center"/>
      </w:pPr>
      <w:r>
        <w:t>Edition: Sep ’25</w:t>
      </w:r>
    </w:p>
    <w:p/>
    <w:p>
      <w:pPr>
        <w:pStyle w:val="Heading1"/>
      </w:pPr>
      <w:r>
        <w:t>Brand Overview</w:t>
      </w:r>
    </w:p>
    <w:p>
      <w:r>
        <w:t>Winder&amp;Stilhaus is a high end UK concept to completion company specialising in kitchens, bathrooms and full home renovations. The work is defined by crafted luxury, architectural precision and confident use of colour. Serving discerning homeowners and developers across Yorkshire and the North, the company combines meticulous, family led craftsmanship with a modern design approach. The result is interiors that feel refined, premium and reliably built. From the interlocked monogram to disciplined material and colour choices, Winder&amp;Stilhaus presents a confident and trustworthy identity rooted in quality, detail and design leadership.</w:t>
      </w:r>
    </w:p>
    <w:p>
      <w:pPr>
        <w:pStyle w:val="Heading1"/>
      </w:pPr>
      <w:r>
        <w:t>Contents</w:t>
      </w:r>
    </w:p>
    <w:p>
      <w:pPr>
        <w:pStyle w:val="ListBullet"/>
      </w:pPr>
      <w:r>
        <w:t>0.0 Cover</w:t>
      </w:r>
    </w:p>
    <w:p>
      <w:pPr>
        <w:pStyle w:val="ListBullet"/>
      </w:pPr>
      <w:r>
        <w:t>0.1 Introduction</w:t>
      </w:r>
    </w:p>
    <w:p>
      <w:pPr>
        <w:pStyle w:val="ListBullet"/>
      </w:pPr>
      <w:r>
        <w:t>0.2 Contents</w:t>
      </w:r>
    </w:p>
    <w:p>
      <w:pPr>
        <w:pStyle w:val="ListBullet"/>
      </w:pPr>
      <w:r>
        <w:t>1.0 Logo</w:t>
      </w:r>
    </w:p>
    <w:p>
      <w:pPr>
        <w:pStyle w:val="ListBullet"/>
      </w:pPr>
      <w:r>
        <w:t>2.0 Colour</w:t>
      </w:r>
    </w:p>
    <w:p>
      <w:pPr>
        <w:pStyle w:val="ListBullet"/>
      </w:pPr>
      <w:r>
        <w:t>3.0 Typography</w:t>
      </w:r>
    </w:p>
    <w:p>
      <w:pPr>
        <w:pStyle w:val="ListBullet"/>
      </w:pPr>
      <w:r>
        <w:t>4.0 Imagery direction</w:t>
      </w:r>
    </w:p>
    <w:p>
      <w:pPr>
        <w:pStyle w:val="ListBullet"/>
      </w:pPr>
      <w:r>
        <w:t>5.0 Motion</w:t>
      </w:r>
    </w:p>
    <w:p>
      <w:pPr>
        <w:pStyle w:val="ListBullet"/>
      </w:pPr>
      <w:r>
        <w:t>6.0 Social media</w:t>
      </w:r>
    </w:p>
    <w:p>
      <w:pPr>
        <w:pStyle w:val="ListBullet"/>
      </w:pPr>
      <w:r>
        <w:t>7.0 Template</w:t>
      </w:r>
    </w:p>
    <w:p>
      <w:pPr>
        <w:pStyle w:val="ListBullet"/>
      </w:pPr>
      <w:r>
        <w:t>8.0 Web Kit</w:t>
      </w:r>
    </w:p>
    <w:p>
      <w:r>
        <w:t>Note: The sections below include every detail visible in the screenshots you provided. If a section is listed in the Contents but was not present in the screenshots, it is marked as not covered.</w:t>
      </w:r>
    </w:p>
    <w:p>
      <w:pPr>
        <w:pStyle w:val="Heading1"/>
      </w:pPr>
      <w:r>
        <w:t>1.0 Logos</w:t>
      </w:r>
    </w:p>
    <w:p>
      <w:pPr>
        <w:pStyle w:val="Heading2"/>
      </w:pPr>
      <w:r>
        <w:t>1.1 Brand symbol</w:t>
      </w:r>
    </w:p>
    <w:p>
      <w:r>
        <w:t>The Winder&amp;Stilhaus brand symbol consists of an intertwined “W” and “S” monogram in a clean, refined style. This mark represents the brand’s craftsmanship, luxury, and attention to detail. It is used as a standalone icon in premium applications such as profile images, brand stamps, and high-end materials.</w:t>
      </w:r>
    </w:p>
    <w:p>
      <w:pPr>
        <w:pStyle w:val="Heading2"/>
      </w:pPr>
      <w:r>
        <w:t>1.2 Wordmark</w:t>
      </w:r>
    </w:p>
    <w:p>
      <w:r>
        <w:t>The Winder&amp;Stilhaus wordmark uses a refined serif typeface for clarity and elegance. It features strong typographic hierarchy, with the brand name displayed in uppercase for authority and premium presence. The wordmark may be used alone in situations where simplicity is required, such as document headers and formal brand materials.</w:t>
      </w:r>
    </w:p>
    <w:p>
      <w:pPr>
        <w:pStyle w:val="Heading2"/>
      </w:pPr>
      <w:r>
        <w:t>1.3 Monogram</w:t>
      </w:r>
    </w:p>
    <w:p>
      <w:r>
        <w:t>The Winder&amp;Stilhaus monogram logo features the sculpted “WS” emblem, designed to convey luxury, elegance, and confidence. Its flowing curves create a visually striking mark that reflects the brand’s attention to precision and craftsmanship.</w:t>
      </w:r>
    </w:p>
    <w:p>
      <w:pPr>
        <w:pStyle w:val="ListBullet"/>
      </w:pPr>
      <w:r>
        <w:t>Rules</w:t>
      </w:r>
    </w:p>
    <w:p>
      <w:pPr>
        <w:pStyle w:val="ListBullet2"/>
      </w:pPr>
      <w:r>
        <w:t>No gradients on rings.</w:t>
      </w:r>
    </w:p>
    <w:p>
      <w:pPr>
        <w:pStyle w:val="ListBullet2"/>
      </w:pPr>
      <w:r>
        <w:t>Keep ring weights consistent with approved ratio.</w:t>
      </w:r>
    </w:p>
    <w:p>
      <w:pPr>
        <w:pStyle w:val="Heading2"/>
      </w:pPr>
      <w:r>
        <w:t>1.4 Horizontal</w:t>
      </w:r>
    </w:p>
    <w:p>
      <w:r>
        <w:t>The horizontal logo is the primary full brand lockup, combining the Winder&amp;Stilhaus monogram with the full wordmark. This version is designed for maximum clarity and recognition, making it the preferred logo for most applications.</w:t>
      </w:r>
    </w:p>
    <w:p>
      <w:pPr>
        <w:pStyle w:val="Heading2"/>
      </w:pPr>
      <w:r>
        <w:t>1.5 Clear spacing</w:t>
      </w:r>
    </w:p>
    <w:p>
      <w:r>
        <w:t>All Winder&amp;Stilhaus logos, including the monogram and full logo versions, feature a defined clear space around the logo icon. This space is measured by the height of the logo icon itself and must remain free of text, graphics, or other elements. Maintaining this clear space ensures the logo’s visibility, elegance, and impact across all applications, preserving the brand’s high end, refined presence.</w:t>
      </w:r>
    </w:p>
    <w:p>
      <w:r>
        <w:t>Measurement note: “The x is the 1/2 of WS icon.”</w:t>
      </w:r>
    </w:p>
    <w:p>
      <w:pPr>
        <w:pStyle w:val="Heading2"/>
      </w:pPr>
      <w:r>
        <w:t>1.6 Incorrect usage</w:t>
      </w:r>
    </w:p>
    <w:p>
      <w:r>
        <w:t>Do not stretch, distort, or change the colours of the Winder&amp;Stilhaus logo. Avoid placing it on busy backgrounds or overlapping it with other elements. Keeping these rules ensures the logo remains elegant, clear, and consistent.</w:t>
      </w:r>
    </w:p>
    <w:p>
      <w:pPr>
        <w:pStyle w:val="ListBullet"/>
      </w:pPr>
      <w:r>
        <w:t>Don’t rotate icon shape; use according to branding.</w:t>
      </w:r>
    </w:p>
    <w:p>
      <w:pPr>
        <w:pStyle w:val="ListBullet"/>
      </w:pPr>
      <w:r>
        <w:t>Don’t rotate logo text.</w:t>
      </w:r>
    </w:p>
    <w:p>
      <w:pPr>
        <w:pStyle w:val="ListBullet"/>
      </w:pPr>
      <w:r>
        <w:t>Don’t compress logo.</w:t>
      </w:r>
    </w:p>
    <w:p>
      <w:pPr>
        <w:pStyle w:val="ListBullet"/>
      </w:pPr>
      <w:r>
        <w:t>Don’t use different strokes.</w:t>
      </w:r>
    </w:p>
    <w:p>
      <w:pPr>
        <w:pStyle w:val="ListBullet"/>
      </w:pPr>
      <w:r>
        <w:t>Don’t give so much space between letters.</w:t>
      </w:r>
    </w:p>
    <w:p>
      <w:pPr>
        <w:pStyle w:val="ListBullet"/>
      </w:pPr>
      <w:r>
        <w:t>Don’t use different colour palette.</w:t>
      </w:r>
    </w:p>
    <w:p>
      <w:pPr>
        <w:pStyle w:val="Heading2"/>
      </w:pPr>
      <w:r>
        <w:t>1.6 Minimum size</w:t>
      </w:r>
    </w:p>
    <w:p>
      <w:r>
        <w:t>Do not stretch, distort, or change the colours of the Winder&amp;Stilhaus logo. Avoid placing it on busy backgrounds or overlapping it with other elements. Keeping these rules ensures the logo remains elegant, clear, and consistent.</w:t>
      </w:r>
    </w:p>
    <w:tbl>
      <w:tblPr>
        <w:tblW w:type="auto" w:w="0"/>
        <w:tblLook w:firstColumn="1" w:firstRow="1" w:lastColumn="0" w:lastRow="0" w:noHBand="0" w:noVBand="1" w:val="04A0"/>
      </w:tblPr>
      <w:tblGrid>
        <w:gridCol w:w="2880"/>
        <w:gridCol w:w="2880"/>
        <w:gridCol w:w="2880"/>
      </w:tblGrid>
      <w:tr>
        <w:tc>
          <w:tcPr>
            <w:tcW w:type="dxa" w:w="2880"/>
          </w:tcPr>
          <w:p>
            <w:r>
              <w:t>Logo variant</w:t>
            </w:r>
          </w:p>
        </w:tc>
        <w:tc>
          <w:tcPr>
            <w:tcW w:type="dxa" w:w="2880"/>
          </w:tcPr>
          <w:p>
            <w:r>
              <w:t>Minimum size options (px)</w:t>
            </w:r>
          </w:p>
        </w:tc>
        <w:tc>
          <w:tcPr>
            <w:tcW w:type="dxa" w:w="2880"/>
          </w:tcPr>
          <w:p>
            <w:r>
              <w:t>Notes</w:t>
            </w:r>
          </w:p>
        </w:tc>
      </w:tr>
      <w:tr>
        <w:tc>
          <w:tcPr>
            <w:tcW w:type="dxa" w:w="2880"/>
          </w:tcPr>
          <w:p>
            <w:r>
              <w:t>Brand symbol + wordmark (horizontal)</w:t>
            </w:r>
          </w:p>
        </w:tc>
        <w:tc>
          <w:tcPr>
            <w:tcW w:type="dxa" w:w="2880"/>
          </w:tcPr>
          <w:p>
            <w:r>
              <w:t>235×65, 150×40, 35×35</w:t>
            </w:r>
          </w:p>
        </w:tc>
        <w:tc>
          <w:tcPr>
            <w:tcW w:type="dxa" w:w="2880"/>
          </w:tcPr>
          <w:p>
            <w:r/>
          </w:p>
        </w:tc>
      </w:tr>
      <w:tr>
        <w:tc>
          <w:tcPr>
            <w:tcW w:type="dxa" w:w="2880"/>
          </w:tcPr>
          <w:p>
            <w:r>
              <w:t>Wordmark only</w:t>
            </w:r>
          </w:p>
        </w:tc>
        <w:tc>
          <w:tcPr>
            <w:tcW w:type="dxa" w:w="2880"/>
          </w:tcPr>
          <w:p>
            <w:r>
              <w:t>235×80, 150×50, 97×32</w:t>
            </w:r>
          </w:p>
        </w:tc>
        <w:tc>
          <w:tcPr>
            <w:tcW w:type="dxa" w:w="2880"/>
          </w:tcPr>
          <w:p>
            <w:r/>
          </w:p>
        </w:tc>
      </w:tr>
      <w:tr>
        <w:tc>
          <w:tcPr>
            <w:tcW w:type="dxa" w:w="2880"/>
          </w:tcPr>
          <w:p>
            <w:r>
              <w:t>Monogram seal/badge</w:t>
            </w:r>
          </w:p>
        </w:tc>
        <w:tc>
          <w:tcPr>
            <w:tcW w:type="dxa" w:w="2880"/>
          </w:tcPr>
          <w:p>
            <w:r>
              <w:t>270×270, 140×140, 110×110</w:t>
            </w:r>
          </w:p>
        </w:tc>
        <w:tc>
          <w:tcPr>
            <w:tcW w:type="dxa" w:w="2880"/>
          </w:tcPr>
          <w:p>
            <w:r/>
          </w:p>
        </w:tc>
      </w:tr>
    </w:tbl>
    <w:p/>
    <w:p>
      <w:pPr>
        <w:pStyle w:val="Heading1"/>
      </w:pPr>
      <w:r>
        <w:t>2.0 Colours</w:t>
      </w:r>
    </w:p>
    <w:p>
      <w:pPr>
        <w:pStyle w:val="Heading2"/>
      </w:pPr>
      <w:r>
        <w:t>2.1 Primary colours</w:t>
      </w:r>
    </w:p>
    <w:p>
      <w:r>
        <w:t>The Winder&amp;Stilhaus primary palette establishes the brand’s core visual identity. These colours have been selected for their architectural depth, modern refinement, and strong aesthetic presence across both digital and physical applications.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Role</w:t>
            </w:r>
          </w:p>
        </w:tc>
        <w:tc>
          <w:tcPr>
            <w:tcW w:type="dxa" w:w="1440"/>
          </w:tcPr>
          <w:p>
            <w:r>
              <w:t>HEX</w:t>
            </w:r>
          </w:p>
        </w:tc>
        <w:tc>
          <w:tcPr>
            <w:tcW w:type="dxa" w:w="1440"/>
          </w:tcPr>
          <w:p>
            <w:r>
              <w:t>RGB</w:t>
            </w:r>
          </w:p>
        </w:tc>
        <w:tc>
          <w:tcPr>
            <w:tcW w:type="dxa" w:w="1440"/>
          </w:tcPr>
          <w:p>
            <w:r>
              <w:t>HSL</w:t>
            </w:r>
          </w:p>
        </w:tc>
        <w:tc>
          <w:tcPr>
            <w:tcW w:type="dxa" w:w="1440"/>
          </w:tcPr>
          <w:p>
            <w:r>
              <w:t>CMYK</w:t>
            </w:r>
          </w:p>
        </w:tc>
      </w:tr>
      <w:tr>
        <w:tc>
          <w:tcPr>
            <w:tcW w:type="dxa" w:w="1440"/>
          </w:tcPr>
          <w:p>
            <w:r>
              <w:t>Ocean Blue (RAL 5020)</w:t>
            </w:r>
          </w:p>
        </w:tc>
        <w:tc>
          <w:tcPr>
            <w:tcW w:type="dxa" w:w="1440"/>
          </w:tcPr>
          <w:p>
            <w:r>
              <w:t>Dominant Hero</w:t>
            </w:r>
          </w:p>
        </w:tc>
        <w:tc>
          <w:tcPr>
            <w:tcW w:type="dxa" w:w="1440"/>
          </w:tcPr>
          <w:p>
            <w:r>
              <w:t>#214B57</w:t>
            </w:r>
          </w:p>
        </w:tc>
        <w:tc>
          <w:tcPr>
            <w:tcW w:type="dxa" w:w="1440"/>
          </w:tcPr>
          <w:p>
            <w:r>
              <w:t>R 33 G 75 B 87</w:t>
            </w:r>
          </w:p>
        </w:tc>
        <w:tc>
          <w:tcPr>
            <w:tcW w:type="dxa" w:w="1440"/>
          </w:tcPr>
          <w:p>
            <w:r>
              <w:t>H 193 S 45 L 24</w:t>
            </w:r>
          </w:p>
        </w:tc>
        <w:tc>
          <w:tcPr>
            <w:tcW w:type="dxa" w:w="1440"/>
          </w:tcPr>
          <w:p>
            <w:r>
              <w:t>C 62% M 14% Y 0% K 66%</w:t>
            </w:r>
          </w:p>
        </w:tc>
      </w:tr>
      <w:tr>
        <w:tc>
          <w:tcPr>
            <w:tcW w:type="dxa" w:w="1440"/>
          </w:tcPr>
          <w:p>
            <w:r>
              <w:t>Crisp White</w:t>
            </w:r>
          </w:p>
        </w:tc>
        <w:tc>
          <w:tcPr>
            <w:tcW w:type="dxa" w:w="1440"/>
          </w:tcPr>
          <w:p>
            <w:r>
              <w:t>Contrast Base</w:t>
            </w:r>
          </w:p>
        </w:tc>
        <w:tc>
          <w:tcPr>
            <w:tcW w:type="dxa" w:w="1440"/>
          </w:tcPr>
          <w:p>
            <w:r>
              <w:t>#FFFFFF</w:t>
            </w:r>
          </w:p>
        </w:tc>
        <w:tc>
          <w:tcPr>
            <w:tcW w:type="dxa" w:w="1440"/>
          </w:tcPr>
          <w:p>
            <w:r>
              <w:t>R 255 G 255 B 255</w:t>
            </w:r>
          </w:p>
        </w:tc>
        <w:tc>
          <w:tcPr>
            <w:tcW w:type="dxa" w:w="1440"/>
          </w:tcPr>
          <w:p>
            <w:r>
              <w:t>H 0 S 0 L 100</w:t>
            </w:r>
          </w:p>
        </w:tc>
        <w:tc>
          <w:tcPr>
            <w:tcW w:type="dxa" w:w="1440"/>
          </w:tcPr>
          <w:p>
            <w:r>
              <w:t>C 0% M 0% Y 0% K 0%</w:t>
            </w:r>
          </w:p>
        </w:tc>
      </w:tr>
      <w:tr>
        <w:tc>
          <w:tcPr>
            <w:tcW w:type="dxa" w:w="1440"/>
          </w:tcPr>
          <w:p>
            <w:r>
              <w:t>Charcoal</w:t>
            </w:r>
          </w:p>
        </w:tc>
        <w:tc>
          <w:tcPr>
            <w:tcW w:type="dxa" w:w="1440"/>
          </w:tcPr>
          <w:p>
            <w:r>
              <w:t>Grounding Base</w:t>
            </w:r>
          </w:p>
        </w:tc>
        <w:tc>
          <w:tcPr>
            <w:tcW w:type="dxa" w:w="1440"/>
          </w:tcPr>
          <w:p>
            <w:r>
              <w:t>#1D1D1D</w:t>
            </w:r>
          </w:p>
        </w:tc>
        <w:tc>
          <w:tcPr>
            <w:tcW w:type="dxa" w:w="1440"/>
          </w:tcPr>
          <w:p>
            <w:r>
              <w:t>R 29 G 29 B 29</w:t>
            </w:r>
          </w:p>
        </w:tc>
        <w:tc>
          <w:tcPr>
            <w:tcW w:type="dxa" w:w="1440"/>
          </w:tcPr>
          <w:p>
            <w:r>
              <w:t>H 0 S 0 L 11</w:t>
            </w:r>
          </w:p>
        </w:tc>
        <w:tc>
          <w:tcPr>
            <w:tcW w:type="dxa" w:w="1440"/>
          </w:tcPr>
          <w:p>
            <w:r>
              <w:t>C 0% M 0% Y 0% K 89%</w:t>
            </w:r>
          </w:p>
        </w:tc>
      </w:tr>
    </w:tbl>
    <w:p>
      <w:pPr>
        <w:pStyle w:val="Heading2"/>
      </w:pPr>
      <w:r>
        <w:t>2.2 Secondary colours</w:t>
      </w:r>
    </w:p>
    <w:p>
      <w:r>
        <w:t>The secondary palette expands the Winder&amp;Stilhaus visual language, offering tones that support versatility, depth and balance across broader design applications. These colours complement the primary palette and allow the brand to adapt to different moods, layouts and communication needs without losing its architectural clarity.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Role</w:t>
            </w:r>
          </w:p>
        </w:tc>
        <w:tc>
          <w:tcPr>
            <w:tcW w:type="dxa" w:w="1440"/>
          </w:tcPr>
          <w:p>
            <w:r>
              <w:t>HEX</w:t>
            </w:r>
          </w:p>
        </w:tc>
        <w:tc>
          <w:tcPr>
            <w:tcW w:type="dxa" w:w="1440"/>
          </w:tcPr>
          <w:p>
            <w:r>
              <w:t>RGB</w:t>
            </w:r>
          </w:p>
        </w:tc>
        <w:tc>
          <w:tcPr>
            <w:tcW w:type="dxa" w:w="1440"/>
          </w:tcPr>
          <w:p>
            <w:r>
              <w:t>HSL</w:t>
            </w:r>
          </w:p>
        </w:tc>
        <w:tc>
          <w:tcPr>
            <w:tcW w:type="dxa" w:w="1440"/>
          </w:tcPr>
          <w:p>
            <w:r>
              <w:t>CMYK</w:t>
            </w:r>
          </w:p>
        </w:tc>
      </w:tr>
      <w:tr>
        <w:tc>
          <w:tcPr>
            <w:tcW w:type="dxa" w:w="1440"/>
          </w:tcPr>
          <w:p>
            <w:r>
              <w:t>Regent Grey</w:t>
            </w:r>
          </w:p>
        </w:tc>
        <w:tc>
          <w:tcPr>
            <w:tcW w:type="dxa" w:w="1440"/>
          </w:tcPr>
          <w:p>
            <w:r>
              <w:t>Secondary Base</w:t>
            </w:r>
          </w:p>
        </w:tc>
        <w:tc>
          <w:tcPr>
            <w:tcW w:type="dxa" w:w="1440"/>
          </w:tcPr>
          <w:p>
            <w:r>
              <w:t>#85929D</w:t>
            </w:r>
          </w:p>
        </w:tc>
        <w:tc>
          <w:tcPr>
            <w:tcW w:type="dxa" w:w="1440"/>
          </w:tcPr>
          <w:p>
            <w:r>
              <w:t>R 133 G 146 B 157</w:t>
            </w:r>
          </w:p>
        </w:tc>
        <w:tc>
          <w:tcPr>
            <w:tcW w:type="dxa" w:w="1440"/>
          </w:tcPr>
          <w:p>
            <w:r>
              <w:t>H 207 S 10 L 57</w:t>
            </w:r>
          </w:p>
        </w:tc>
        <w:tc>
          <w:tcPr>
            <w:tcW w:type="dxa" w:w="1440"/>
          </w:tcPr>
          <w:p>
            <w:r>
              <w:t>C 15% M 7% Y 0% K 38%</w:t>
            </w:r>
          </w:p>
        </w:tc>
      </w:tr>
      <w:tr>
        <w:tc>
          <w:tcPr>
            <w:tcW w:type="dxa" w:w="1440"/>
          </w:tcPr>
          <w:p>
            <w:r>
              <w:t>Iron</w:t>
            </w:r>
          </w:p>
        </w:tc>
        <w:tc>
          <w:tcPr>
            <w:tcW w:type="dxa" w:w="1440"/>
          </w:tcPr>
          <w:p>
            <w:r>
              <w:t>Secondary Hero</w:t>
            </w:r>
          </w:p>
        </w:tc>
        <w:tc>
          <w:tcPr>
            <w:tcW w:type="dxa" w:w="1440"/>
          </w:tcPr>
          <w:p>
            <w:r>
              <w:t>#CED3D7</w:t>
            </w:r>
          </w:p>
        </w:tc>
        <w:tc>
          <w:tcPr>
            <w:tcW w:type="dxa" w:w="1440"/>
          </w:tcPr>
          <w:p>
            <w:r>
              <w:t>R 206 G 211 B 215</w:t>
            </w:r>
          </w:p>
        </w:tc>
        <w:tc>
          <w:tcPr>
            <w:tcW w:type="dxa" w:w="1440"/>
          </w:tcPr>
          <w:p>
            <w:r>
              <w:t>H 207 S 10 L 83</w:t>
            </w:r>
          </w:p>
        </w:tc>
        <w:tc>
          <w:tcPr>
            <w:tcW w:type="dxa" w:w="1440"/>
          </w:tcPr>
          <w:p>
            <w:r>
              <w:t>C 4% M 2% Y 0% K 16%</w:t>
            </w:r>
          </w:p>
        </w:tc>
      </w:tr>
      <w:tr>
        <w:tc>
          <w:tcPr>
            <w:tcW w:type="dxa" w:w="1440"/>
          </w:tcPr>
          <w:p>
            <w:r>
              <w:t>Orange</w:t>
            </w:r>
          </w:p>
        </w:tc>
        <w:tc>
          <w:tcPr>
            <w:tcW w:type="dxa" w:w="1440"/>
          </w:tcPr>
          <w:p>
            <w:r>
              <w:t>Accent</w:t>
            </w:r>
          </w:p>
        </w:tc>
        <w:tc>
          <w:tcPr>
            <w:tcW w:type="dxa" w:w="1440"/>
          </w:tcPr>
          <w:p>
            <w:r>
              <w:t>#F04E22</w:t>
            </w:r>
          </w:p>
        </w:tc>
        <w:tc>
          <w:tcPr>
            <w:tcW w:type="dxa" w:w="1440"/>
          </w:tcPr>
          <w:p>
            <w:r>
              <w:t>R 240 G 78 B 34</w:t>
            </w:r>
          </w:p>
        </w:tc>
        <w:tc>
          <w:tcPr>
            <w:tcW w:type="dxa" w:w="1440"/>
          </w:tcPr>
          <w:p>
            <w:r>
              <w:t>H 13 S 87 L 54</w:t>
            </w:r>
          </w:p>
        </w:tc>
        <w:tc>
          <w:tcPr>
            <w:tcW w:type="dxa" w:w="1440"/>
          </w:tcPr>
          <w:p>
            <w:r>
              <w:t>C 0% M 68% Y 86% K 6%</w:t>
            </w:r>
          </w:p>
        </w:tc>
      </w:tr>
    </w:tbl>
    <w:p>
      <w:pPr>
        <w:pStyle w:val="Heading2"/>
      </w:pPr>
      <w:r>
        <w:t>2.3 Colours usage</w:t>
      </w:r>
    </w:p>
    <w:p>
      <w:r>
        <w:t>The Winder&amp;Stilhaus colour system is designed to provide a flexible yet cohesive visual foundation. Each shade plays a specific role in establishing hierarchy, tone and atmosphere across the brand.</w:t>
      </w:r>
    </w:p>
    <w:p>
      <w:pPr>
        <w:pStyle w:val="ListBullet"/>
      </w:pPr>
      <w:r>
        <w:t>RAL 5020: Primary brand colour used for key titles, hero sections, strong design statements and elements requiring confident visual presence.</w:t>
      </w:r>
    </w:p>
    <w:p>
      <w:pPr>
        <w:pStyle w:val="ListBullet"/>
      </w:pPr>
      <w:r>
        <w:t>Crisp White: Essential for clean space and clarity. Ideal for backgrounds, negative space, and high-contrast typographic layouts.</w:t>
      </w:r>
    </w:p>
    <w:p>
      <w:pPr>
        <w:pStyle w:val="ListBullet"/>
      </w:pPr>
      <w:r>
        <w:t>Charcoal: A structural tone used for body text, supportive typography, dark backgrounds and areas requiring depth or a premium presence.</w:t>
      </w:r>
    </w:p>
    <w:p>
      <w:pPr>
        <w:pStyle w:val="ListBullet"/>
      </w:pPr>
      <w:r>
        <w:t>Regent Grey: A soft neutral for understated backgrounds, secondary panels, supporting layouts and subtle structure within compositions.</w:t>
      </w:r>
    </w:p>
    <w:p>
      <w:pPr>
        <w:pStyle w:val="ListBullet"/>
      </w:pPr>
      <w:r>
        <w:t>Iron: A lighter neutral used for contemporary, minimal design elements. Works well in editorial layouts, UI components.</w:t>
      </w:r>
    </w:p>
    <w:p>
      <w:pPr>
        <w:pStyle w:val="ListBullet"/>
      </w:pPr>
      <w:r>
        <w:t>Orange: A bold highlight applied sparingly to draw attention to calls-to-action, key markers or moments of emphasis.</w:t>
      </w:r>
    </w:p>
    <w:p>
      <w:r>
        <w:t>Note: Charcoal #1D1D1D only. Orange micro accent &lt;2%, never run both brights together, and do not colour the logo with Orange.</w:t>
      </w:r>
    </w:p>
    <w:p/>
    <w:p>
      <w:pPr>
        <w:pStyle w:val="Heading1"/>
      </w:pPr>
      <w:r>
        <w:t>3.0 Typography</w:t>
      </w:r>
    </w:p>
    <w:p>
      <w:pPr>
        <w:pStyle w:val="Heading2"/>
      </w:pPr>
      <w:r>
        <w:t>3.1 Primary font — Noto Serif</w:t>
      </w:r>
    </w:p>
    <w:p>
      <w:r>
        <w:t>The Winder&amp;Stilhaus logotype is set in Noto Serif, a refined typeface known for its clarity, balance, and timeless elegance. Its clean serifs and carefully crafted letterforms bring a sense of heritage and sophistication to the brand, enhancing the fluid expressiveness of the WS monogram. This pairing creates a harmonious visual identity, modern in execution yet classic in character, perfectly aligning with the precision and luxury behind Winder&amp;Stilhaus.</w:t>
      </w:r>
    </w:p>
    <w:p>
      <w:r>
        <w:t>Weights shown: Regular, Medium, Semi Bold, Bold.</w:t>
      </w:r>
    </w:p>
    <w:p>
      <w:pPr>
        <w:pStyle w:val="Heading2"/>
      </w:pPr>
      <w:r>
        <w:t>3.2 Secondary font — DM Sans</w:t>
      </w:r>
    </w:p>
    <w:p>
      <w:r>
        <w:t>As a secondary typeface, DM Sans introduces a modern, minimalist edge to the Winder&amp;Stilhaus identity. Its smooth geometry and clean lines provide clarity and approachability, creating a refined contrast to the classic elegance of Noto Serif. Together, they offer a balanced typographic system, sleek, contemporary, and effortlessly readable, supporting the brand’s commitment to precision and timeless style.</w:t>
      </w:r>
    </w:p>
    <w:p>
      <w:r>
        <w:t>Weights shown: Regular, Medium, Semi Bold, Bold.</w:t>
      </w:r>
    </w:p>
    <w:p>
      <w:pPr>
        <w:pStyle w:val="Heading2"/>
      </w:pPr>
      <w:r>
        <w:t>3.3 Typography guide</w:t>
      </w:r>
    </w:p>
    <w:p>
      <w:r>
        <w:t>In the Winder&amp;Stilhaus typography system, regular weight is used for all headings to keep the look clean, elegant, and easy to read. This choice maintains a refined balance between Noto Serif and DM Sans, ensuring a consistent and timeless visual style.</w:t>
      </w:r>
    </w:p>
    <w:p>
      <w:pPr>
        <w:pStyle w:val="Heading2"/>
      </w:pPr>
      <w:r>
        <w:t>3.4 Hierarchy</w:t>
      </w:r>
    </w:p>
    <w:p>
      <w:pPr>
        <w:pStyle w:val="ListBullet"/>
      </w:pPr>
      <w:r>
        <w:t>Headline: Font: Noto Serif | Weight: Semi Bold | Setting: Title Case | Size: 80 pt | Leading: 120% | Tracking: 0</w:t>
      </w:r>
    </w:p>
    <w:p>
      <w:pPr>
        <w:pStyle w:val="ListBullet"/>
      </w:pPr>
      <w:r>
        <w:t>Subhead: Font: Noto Serif | Weight: Regular | Setting: Sentence Case | Size: 50 pt | Leading: 120% | Tracking: 0</w:t>
      </w:r>
    </w:p>
    <w:p>
      <w:pPr>
        <w:pStyle w:val="ListBullet"/>
      </w:pPr>
      <w:r>
        <w:t>Body copy: Font: DM Sans | Weight: Regular | Setting: Sentence Case | Size: 32 pt | Leading: 120% | Tracking: 0</w:t>
      </w:r>
    </w:p>
    <w:p>
      <w:pPr>
        <w:pStyle w:val="ListBullet"/>
      </w:pPr>
      <w:r>
        <w:t>Intro copy: Font: DM Sans | Weight: Semi Bold | Setting: Title Case | Size: 26 pt | Leading: 120% | Tracking: 0</w:t>
      </w:r>
    </w:p>
    <w:p/>
    <w:p>
      <w:pPr>
        <w:pStyle w:val="Heading1"/>
      </w:pPr>
      <w:r>
        <w:t>4.0 Imagery direction</w:t>
      </w:r>
    </w:p>
    <w:p>
      <w:pPr>
        <w:pStyle w:val="Heading2"/>
      </w:pPr>
      <w:r>
        <w:t>4.1 CGI direction</w:t>
      </w:r>
    </w:p>
    <w:p>
      <w:r>
        <w:t>CGI may be used to support design intent where photography is unavailable. AI CGI should be photorealistic and material-accurate, reflecting real-world finishes and RAL-true colour values. Lighting and shadows should mirror natural conditions, and scenes should remain realistic and buildable rather than conceptual or exaggerated.</w:t>
      </w:r>
    </w:p>
    <w:p>
      <w:pPr>
        <w:pStyle w:val="ListBullet"/>
      </w:pPr>
      <w:r>
        <w:t>Rules</w:t>
      </w:r>
    </w:p>
    <w:p>
      <w:pPr>
        <w:pStyle w:val="ListBullet2"/>
      </w:pPr>
      <w:r>
        <w:t>Match real-world materials and finishes.</w:t>
      </w:r>
    </w:p>
    <w:p>
      <w:pPr>
        <w:pStyle w:val="ListBullet2"/>
      </w:pPr>
      <w:r>
        <w:t>Use accurate colour values.</w:t>
      </w:r>
    </w:p>
    <w:p>
      <w:pPr>
        <w:pStyle w:val="ListBullet2"/>
      </w:pPr>
      <w:r>
        <w:t>Keep lighting natural and believable.</w:t>
      </w:r>
    </w:p>
    <w:p>
      <w:pPr>
        <w:pStyle w:val="ListBullet2"/>
      </w:pPr>
      <w:r>
        <w:t>Avoid conceptual or fantasy scenes.</w:t>
      </w:r>
    </w:p>
    <w:p>
      <w:pPr>
        <w:pStyle w:val="Heading2"/>
      </w:pPr>
      <w:r>
        <w:t>4.2 Imagery direction</w:t>
      </w:r>
    </w:p>
    <w:p>
      <w:r>
        <w:t>The Winder&amp;Stilhaus visual language is rooted in modern architectural thinking and disciplined use of colour. Imagery should feel calm, considered and precise, focusing on form, proportion and material quality rather than decoration. Visuals should communicate confidence and craftsmanship without visual noise or unnecessary styling.</w:t>
      </w:r>
    </w:p>
    <w:p>
      <w:pPr>
        <w:pStyle w:val="Heading2"/>
      </w:pPr>
      <w:r>
        <w:t>4.3 Rules</w:t>
      </w:r>
    </w:p>
    <w:p>
      <w:pPr>
        <w:pStyle w:val="ListBullet"/>
      </w:pPr>
      <w:r>
        <w:t>Prioritise architecture and form over decoration.</w:t>
      </w:r>
    </w:p>
    <w:p>
      <w:pPr>
        <w:pStyle w:val="ListBullet"/>
      </w:pPr>
      <w:r>
        <w:t>Maintain calm, balanced compositions.</w:t>
      </w:r>
    </w:p>
    <w:p>
      <w:pPr>
        <w:pStyle w:val="ListBullet"/>
      </w:pPr>
      <w:r>
        <w:t>Let materials and geometry lead the visual story.</w:t>
      </w:r>
    </w:p>
    <w:p>
      <w:pPr>
        <w:pStyle w:val="ListBullet"/>
      </w:pPr>
      <w:r>
        <w:t>Avoid visual noise or unnecessary styling.</w:t>
      </w:r>
    </w:p>
    <w:p>
      <w:pPr>
        <w:pStyle w:val="ListBullet"/>
      </w:pPr>
      <w:r>
        <w:t>Use colour to define volume and structure.</w:t>
      </w:r>
    </w:p>
    <w:p>
      <w:pPr>
        <w:pStyle w:val="ListBullet"/>
      </w:pPr>
      <w:r>
        <w:t>Limit scenes to one dominant colour plane.</w:t>
      </w:r>
    </w:p>
    <w:p>
      <w:pPr>
        <w:pStyle w:val="ListBullet"/>
      </w:pPr>
      <w:r>
        <w:t>Balance bold hues with neutral backgrounds.</w:t>
      </w:r>
    </w:p>
    <w:p>
      <w:pPr>
        <w:pStyle w:val="ListBullet"/>
      </w:pPr>
      <w:r>
        <w:t>Avoid decorative or scattered colour use.</w:t>
      </w:r>
    </w:p>
    <w:p>
      <w:pPr>
        <w:pStyle w:val="Heading2"/>
      </w:pPr>
      <w:r>
        <w:t>4.4 Photography direction</w:t>
      </w:r>
    </w:p>
    <w:p>
      <w:r>
        <w:t>Photography should prioritise real projects wherever possible and be captured using neutral, UK true lighting. Spaces should feel authentic and well composed, highlighting clean geometry, material transitions and exact detailing. Avoid warm filters, heavy colour grading or overly staged lifestyle elements. Composition should remain minimal, allowing architecture and colour planes to define the space.</w:t>
      </w:r>
    </w:p>
    <w:p>
      <w:pPr>
        <w:pStyle w:val="ListBullet"/>
      </w:pPr>
      <w:r>
        <w:t>Rules</w:t>
      </w:r>
    </w:p>
    <w:p>
      <w:pPr>
        <w:pStyle w:val="ListBullet2"/>
      </w:pPr>
      <w:r>
        <w:t>Use neutral or daylight balanced lighting only.</w:t>
      </w:r>
    </w:p>
    <w:p>
      <w:pPr>
        <w:pStyle w:val="ListBullet2"/>
      </w:pPr>
      <w:r>
        <w:t>Frame spaces to emphasise structure and proportion.</w:t>
      </w:r>
    </w:p>
    <w:p>
      <w:pPr>
        <w:pStyle w:val="ListBullet2"/>
      </w:pPr>
      <w:r>
        <w:t>Keep styling minimal and purposeful.</w:t>
      </w:r>
    </w:p>
    <w:p>
      <w:pPr>
        <w:pStyle w:val="ListBullet2"/>
      </w:pPr>
      <w:r>
        <w:t>Avoid lifestyle staging and decorative clutter.</w:t>
      </w:r>
    </w:p>
    <w:p/>
    <w:p>
      <w:pPr>
        <w:pStyle w:val="Heading1"/>
      </w:pPr>
      <w:r>
        <w:t>5.0 Motion</w:t>
      </w:r>
    </w:p>
    <w:p>
      <w:pPr>
        <w:pStyle w:val="Heading2"/>
      </w:pPr>
      <w:r>
        <w:t>5.1 Motion principles</w:t>
      </w:r>
    </w:p>
    <w:p>
      <w:r>
        <w:t>Motion within the brand should be subtle, precise and functional. Movement exists to support hierarchy, clarity and usability, never to decorate or distract. All motion should feel controlled, confident and aligned with the brand’s architectural tone.</w:t>
      </w:r>
    </w:p>
    <w:p>
      <w:pPr>
        <w:pStyle w:val="ListBullet"/>
      </w:pPr>
      <w:r>
        <w:t>Rules</w:t>
      </w:r>
    </w:p>
    <w:p>
      <w:pPr>
        <w:pStyle w:val="ListBullet2"/>
      </w:pPr>
      <w:r>
        <w:t>Keep motion minimal and purposeful.</w:t>
      </w:r>
    </w:p>
    <w:p>
      <w:pPr>
        <w:pStyle w:val="ListBullet2"/>
      </w:pPr>
      <w:r>
        <w:t>Prioritise clarity over expression.</w:t>
      </w:r>
    </w:p>
    <w:p>
      <w:pPr>
        <w:pStyle w:val="ListBullet2"/>
      </w:pPr>
      <w:r>
        <w:t>Avoid decorative or playful movement.</w:t>
      </w:r>
    </w:p>
    <w:p>
      <w:pPr>
        <w:pStyle w:val="ListBullet2"/>
      </w:pPr>
      <w:r>
        <w:t>Ensure all motion supports usability.</w:t>
      </w:r>
    </w:p>
    <w:p>
      <w:pPr>
        <w:pStyle w:val="Heading2"/>
      </w:pPr>
      <w:r>
        <w:t>5.2 UI interaction states</w:t>
      </w:r>
    </w:p>
    <w:p>
      <w:r>
        <w:t>Hover states should use soft transitions such as fades or minimal translations, typically between 100 and 150 milliseconds. Active states may introduce a slight change in colours or opacity to confirm interaction. Focus states must always include a visible focus ring to support accessibility and keyboard navigation.</w:t>
      </w:r>
    </w:p>
    <w:p>
      <w:pPr>
        <w:pStyle w:val="ListBullet"/>
      </w:pPr>
      <w:r>
        <w:t>Rules</w:t>
      </w:r>
    </w:p>
    <w:p>
      <w:pPr>
        <w:pStyle w:val="ListBullet2"/>
      </w:pPr>
      <w:r>
        <w:t>Use short, subtle transitions only.</w:t>
      </w:r>
    </w:p>
    <w:p>
      <w:pPr>
        <w:pStyle w:val="ListBullet2"/>
      </w:pPr>
      <w:r>
        <w:t>Ensure focus states are always visible.</w:t>
      </w:r>
    </w:p>
    <w:p>
      <w:pPr>
        <w:pStyle w:val="ListBullet2"/>
      </w:pPr>
      <w:r>
        <w:t>Maintain consistency across components.</w:t>
      </w:r>
    </w:p>
    <w:p>
      <w:pPr>
        <w:pStyle w:val="ListBullet2"/>
      </w:pPr>
      <w:r>
        <w:t>Never remove accessibility cues.</w:t>
      </w:r>
    </w:p>
    <w:p>
      <w:pPr>
        <w:pStyle w:val="Heading2"/>
      </w:pPr>
      <w:r>
        <w:t>5.3 Timing and easing</w:t>
      </w:r>
    </w:p>
    <w:p>
      <w:r>
        <w:t>Motion should use simple easing curves and short durations to maintain a responsive, refined feel. Avoid elastic, bouncy or playful animations that undermine the precision of the brand.</w:t>
      </w:r>
    </w:p>
    <w:p>
      <w:pPr>
        <w:pStyle w:val="ListBullet"/>
      </w:pPr>
      <w:r>
        <w:t>Rules</w:t>
      </w:r>
    </w:p>
    <w:p>
      <w:pPr>
        <w:pStyle w:val="ListBullet2"/>
      </w:pPr>
      <w:r>
        <w:t>Keep durations between 100–150ms.</w:t>
      </w:r>
    </w:p>
    <w:p>
      <w:pPr>
        <w:pStyle w:val="ListBullet2"/>
      </w:pPr>
      <w:r>
        <w:t>Use simple ease out or linear easing.</w:t>
      </w:r>
    </w:p>
    <w:p>
      <w:pPr>
        <w:pStyle w:val="ListBullet2"/>
      </w:pPr>
      <w:r>
        <w:t>Avoid complex or expressive easing curves.</w:t>
      </w:r>
    </w:p>
    <w:p/>
    <w:p>
      <w:pPr>
        <w:pStyle w:val="Heading1"/>
      </w:pPr>
      <w:r>
        <w:t>8.0 Web Kit</w:t>
      </w:r>
    </w:p>
    <w:p>
      <w:pPr>
        <w:pStyle w:val="Heading2"/>
      </w:pPr>
      <w:r>
        <w:t>8.1 Hero banner</w:t>
      </w:r>
    </w:p>
    <w:p>
      <w:r>
        <w:t>Dark version</w:t>
      </w:r>
    </w:p>
    <w:p>
      <w:r>
        <w:t>The Winder&amp;Stilhaus hero section is designed to make an immediate, elegant impact. It features a clean layout with refined typography, minimal graphics, and a strong focus on the WS monogram or a signature image. The style is spacious and calm, allowing the brand’s luxury and craftsmanship to stand out from the first glance.</w:t>
      </w:r>
    </w:p>
    <w:p>
      <w:r>
        <w:t>Light version</w:t>
      </w:r>
    </w:p>
    <w:p>
      <w:r>
        <w:t>The Winder&amp;Stilhaus hero section is designed to make an immediate, elegant impact. It features a clean layout with refined typography, minimal graphics, and a strong focus on the WS monogram or a signature image. The style is spacious and calm, allowing the brand’s luxury and craftsmanship to stand out from the first glance.</w:t>
      </w:r>
    </w:p>
    <w:p>
      <w:pPr>
        <w:pStyle w:val="Heading2"/>
      </w:pPr>
      <w:r>
        <w:t>8.2 Buttons</w:t>
      </w:r>
    </w:p>
    <w:p>
      <w:r>
        <w:t>Winder&amp;Stilhaus buttons are designed to be clean, clear, and easy to interact with. They use simple shapes, consistent typography, and subtle accents derived from the brand palette. The style is minimal and elegant, ensuring that every call to action feels refined while remaining highly functional across the site.</w:t>
      </w:r>
    </w:p>
    <w:p>
      <w:pPr>
        <w:pStyle w:val="ListBullet"/>
      </w:pPr>
      <w:r>
        <w:t>States shown in the screenshots:</w:t>
      </w:r>
    </w:p>
    <w:p>
      <w:pPr>
        <w:pStyle w:val="ListBullet2"/>
      </w:pPr>
      <w:r>
        <w:t>Default</w:t>
      </w:r>
    </w:p>
    <w:p>
      <w:pPr>
        <w:pStyle w:val="ListBullet2"/>
      </w:pPr>
      <w:r>
        <w:t>Hover</w:t>
      </w:r>
    </w:p>
    <w:p>
      <w:pPr>
        <w:pStyle w:val="ListBullet2"/>
      </w:pPr>
      <w:r>
        <w:t>Clicked/Pressed</w:t>
      </w:r>
    </w:p>
    <w:p>
      <w:pPr>
        <w:pStyle w:val="ListBullet2"/>
      </w:pPr>
      <w:r>
        <w:t>Disabled</w:t>
      </w:r>
    </w:p>
    <w:p>
      <w:r>
        <w:t>Dark button set appears on dark surfaces; light/accent set uses Orange and Ocean Blue states. Pressed state includes an outlined style in the light/accent set.</w:t>
      </w:r>
    </w:p>
    <w:p>
      <w:pPr>
        <w:pStyle w:val="Heading2"/>
      </w:pPr>
      <w:r>
        <w:t>8.3 Minimum size for buttons</w:t>
      </w:r>
    </w:p>
    <w:p>
      <w:r>
        <w:t>Minimum button size shown: 122 px (width) × 31 px (height).</w:t>
      </w:r>
    </w:p>
    <w:p>
      <w:pPr>
        <w:pStyle w:val="ListBullet"/>
      </w:pPr>
      <w:r>
        <w:t>Applies to both:</w:t>
      </w:r>
    </w:p>
    <w:p>
      <w:pPr>
        <w:pStyle w:val="ListBullet2"/>
      </w:pPr>
      <w:r>
        <w:t>Text-only button</w:t>
      </w:r>
    </w:p>
    <w:p>
      <w:pPr>
        <w:pStyle w:val="ListBullet2"/>
      </w:pPr>
      <w:r>
        <w:t>Button with arrow icon</w:t>
      </w:r>
    </w:p>
    <w:p>
      <w:pPr>
        <w:pStyle w:val="Heading2"/>
      </w:pPr>
      <w:r>
        <w:t>8.4 Contact page</w:t>
      </w:r>
    </w:p>
    <w:p>
      <w:r>
        <w:t>Light version</w:t>
      </w:r>
    </w:p>
    <w:p>
      <w:r>
        <w:t>The Contact Page should reflect the same clarity, refinement and architectural precision that define the Winder&amp;Stilhaus brand. Imagery used in this context must support a sense of trust, professionalism and approachable luxury.</w:t>
      </w:r>
    </w:p>
    <w:p>
      <w:r>
        <w:t>Dark version</w:t>
      </w:r>
    </w:p>
    <w:p>
      <w:r>
        <w:t>Button styling within Winder&amp;Stilhaus digital environments must reflect the brand’s refined, architectural aesthetic while ensuring clarity and usability. The dark version of our button system is designed for use on lighter interfaces where contrast and legibility are essential.</w:t>
      </w:r>
    </w:p>
    <w:p>
      <w:pPr>
        <w:pStyle w:val="Heading1"/>
      </w:pPr>
      <w:r>
        <w:t>Sections listed but not covered in the provided screenshots</w:t>
      </w:r>
    </w:p>
    <w:p>
      <w:pPr>
        <w:pStyle w:val="ListBullet"/>
      </w:pPr>
      <w:r>
        <w:t>6.0 Social media (not present in screenshots provided)</w:t>
      </w:r>
    </w:p>
    <w:p>
      <w:pPr>
        <w:pStyle w:val="ListBullet"/>
      </w:pPr>
      <w:r>
        <w:t>7.0 Template (not present in screenshots provided)</w:t>
      </w:r>
    </w:p>
    <w:p>
      <w:pPr>
        <w:pStyle w:val="ListBullet"/>
      </w:pPr>
      <w:r>
        <w:t>8.5 Headings / 8.6 Icons / 8.7 Favicon (not present in screenshots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