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1F3864"/>
          <w:sz w:val="56"/>
          <w:szCs w:val="56"/>
        </w:rPr>
        <w:t xml:space="preserve">EDOS-LMIS</w:t>
      </w:r>
    </w:p>
    <w:p>
      <w:pPr>
        <w:spacing w:after="60"/>
      </w:pPr>
      <w:r>
        <w:rPr>
          <w:b/>
          <w:bCs/>
          <w:color w:val="2E74B5"/>
          <w:sz w:val="30"/>
          <w:szCs w:val="30"/>
        </w:rPr>
        <w:t xml:space="preserve">Local Windows Deployment, Backup &amp; Cloud-Migration Guide</w:t>
      </w:r>
    </w:p>
    <w:p>
      <w:pPr>
        <w:spacing w:after="500"/>
      </w:pPr>
      <w:r>
        <w:rPr>
          <w:i/>
          <w:iCs/>
          <w:color w:val="595959"/>
          <w:sz w:val="20"/>
          <w:szCs w:val="20"/>
        </w:rPr>
        <w:t xml:space="preserve">Prepared 14 July 2026  •  Assessment based on current codebase (Next.js 16 + self-hosted Supabase/PostgreSQL target)</w:t>
      </w:r>
    </w:p>
    <w:p>
      <w:pPr>
        <w:pBdr>
          <w:top w:val="single" w:color="CCCCCC" w:sz="6" w:space="8"/>
        </w:pBdr>
        <w:spacing w:after="500"/>
      </w:pPr>
    </w:p>
    <w:p>
      <w:pPr>
        <w:pStyle w:val="Heading1"/>
        <w:pBdr>
          <w:bottom w:val="single" w:color="1F3864" w:sz="8" w:space="4"/>
        </w:pBdr>
        <w:spacing w:after="200" w:before="400"/>
      </w:pPr>
      <w:r>
        <w:rPr>
          <w:b/>
          <w:bCs/>
          <w:color w:val="1F3864"/>
          <w:sz w:val="30"/>
          <w:szCs w:val="30"/>
        </w:rPr>
        <w:t xml:space="preserve">1. Executive Summary</w:t>
      </w:r>
    </w:p>
    <w:p>
      <w:pPr>
        <w:spacing w:after="160" w:line="276"/>
      </w:pPr>
      <w:r>
        <w:rPr>
          <w:sz w:val="22"/>
          <w:szCs w:val="22"/>
        </w:rPr>
        <w:t xml:space="preserve">EDOS-LMIS is a Next.js 16 application that today runs its entire backend — database, authentication, row-level authorization, and file storage — on </w:t>
      </w:r>
      <w:r>
        <w:rPr>
          <w:b/>
          <w:bCs/>
          <w:sz w:val="22"/>
          <w:szCs w:val="22"/>
        </w:rPr>
        <w:t xml:space="preserve">Supabase's hosted cloud</w:t>
      </w:r>
      <w:r>
        <w:rPr>
          <w:sz w:val="22"/>
          <w:szCs w:val="22"/>
        </w:rPr>
        <w:t xml:space="preserve">. This guide sets out how to run the same application on a Windows Server using </w:t>
      </w:r>
      <w:r>
        <w:rPr>
          <w:b/>
          <w:bCs/>
          <w:sz w:val="22"/>
          <w:szCs w:val="22"/>
        </w:rPr>
        <w:t xml:space="preserve">IIS as the web server</w:t>
      </w:r>
      <w:r>
        <w:rPr>
          <w:sz w:val="22"/>
          <w:szCs w:val="22"/>
        </w:rPr>
        <w:t xml:space="preserve"> and a </w:t>
      </w:r>
      <w:r>
        <w:rPr>
          <w:b/>
          <w:bCs/>
          <w:sz w:val="22"/>
          <w:szCs w:val="22"/>
        </w:rPr>
        <w:t xml:space="preserve">self-hosted PostgreSQL/Supabase stack</w:t>
      </w:r>
      <w:r>
        <w:rPr>
          <w:sz w:val="22"/>
          <w:szCs w:val="22"/>
        </w:rPr>
        <w:t xml:space="preserve"> as the database, with weekly automated backups, and a clear, low-risk path to move to a cloud host later without rewriting the application.</w:t>
      </w:r>
    </w:p>
    <w:p>
      <w:pPr>
        <w:spacing w:after="160" w:line="276"/>
      </w:pPr>
      <w:r>
        <w:rPr>
          <w:b/>
          <w:bCs/>
          <w:sz w:val="22"/>
          <w:szCs w:val="22"/>
        </w:rPr>
        <w:t xml:space="preserve">Key recommendation: </w:t>
      </w:r>
      <w:r>
        <w:rPr>
          <w:sz w:val="22"/>
          <w:szCs w:val="22"/>
        </w:rPr>
        <w:t xml:space="preserve">keep PostgreSQL (via a self-hosted Supabase stack) rather than switching to Microsoft SQL Server. The database schema uses 50 Postgres-specific migrations built around Row-Level Security policies, PL/pgSQL functions, enums, and RPC calls that the application code invokes directly through the Supabase client library. Moving to SQL Server would mean rewriting all 50 migrations, replacing the entire authorization model, and touching nearly every file under lib/actions and lib/data — weeks of high-risk rework with no functional benefit. Self-hosting Postgres/Supabase locally gets you full local control and offline capability with zero code changes.</w:t>
      </w:r>
    </w:p>
    <w:p>
      <w:pPr>
        <w:spacing w:after="160" w:line="276"/>
      </w:pPr>
      <w:r>
        <w:rPr>
          <w:sz w:val="22"/>
          <w:szCs w:val="22"/>
        </w:rPr>
        <w:t xml:space="preserve">This document is a planning and reference guide only — </w:t>
      </w:r>
      <w:r>
        <w:rPr>
          <w:b/>
          <w:bCs/>
          <w:sz w:val="22"/>
          <w:szCs w:val="22"/>
        </w:rPr>
        <w:t xml:space="preserve">no files in the existing project were changed</w:t>
      </w:r>
      <w:r>
        <w:rPr>
          <w:sz w:val="22"/>
          <w:szCs w:val="22"/>
        </w:rPr>
        <w:t xml:space="preserve"> to produce it.</w:t>
      </w:r>
    </w:p>
    <w:p>
      <w:pPr>
        <w:pStyle w:val="Heading1"/>
        <w:pBdr>
          <w:bottom w:val="single" w:color="1F3864" w:sz="8" w:space="4"/>
        </w:pBdr>
        <w:spacing w:after="200" w:before="400"/>
      </w:pPr>
      <w:r>
        <w:rPr>
          <w:b/>
          <w:bCs/>
          <w:color w:val="1F3864"/>
          <w:sz w:val="30"/>
          <w:szCs w:val="30"/>
        </w:rPr>
        <w:t xml:space="preserve">2. Current State — What the Project Runs On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color="auto" w:val="clear"/>
            <w:tcMar>
              <w:top w:type="dxa" w:w="80"/>
              <w:left w:type="dxa" w:w="100"/>
              <w:bottom w:type="dxa" w:w="80"/>
              <w:right w:type="dxa" w:w="100"/>
            </w:tcMar>
          </w:tcPr>
          <w:p>
            <w:r>
              <w:rPr>
                <w:b/>
                <w:bCs/>
                <w:color w:val="FFFFFF"/>
                <w:sz w:val="20"/>
                <w:szCs w:val="20"/>
              </w:rPr>
              <w:t xml:space="preserve">Layer</w:t>
            </w:r>
          </w:p>
        </w:tc>
        <w:tc>
          <w:tcPr>
            <w:tcW w:type="dxa" w:w="6960"/>
            <w:shd w:fill="1F3864" w:color="auto" w:val="clear"/>
            <w:tcMar>
              <w:top w:type="dxa" w:w="80"/>
              <w:left w:type="dxa" w:w="100"/>
              <w:bottom w:type="dxa" w:w="80"/>
              <w:right w:type="dxa" w:w="100"/>
            </w:tcMar>
          </w:tcPr>
          <w:p>
            <w:r>
              <w:rPr>
                <w:b/>
                <w:bCs/>
                <w:color w:val="FFFFFF"/>
                <w:sz w:val="20"/>
                <w:szCs w:val="20"/>
              </w:rPr>
              <w:t xml:space="preserve">Current implementation</w:t>
            </w:r>
          </w:p>
        </w:tc>
      </w:tr>
      <w:tr>
        <w:tc>
          <w:tcPr>
            <w:tcW w:type="dxa" w:w="2400"/>
            <w:tcMar>
              <w:top w:type="dxa" w:w="80"/>
              <w:left w:type="dxa" w:w="100"/>
              <w:bottom w:type="dxa" w:w="80"/>
              <w:right w:type="dxa" w:w="100"/>
            </w:tcMar>
          </w:tcPr>
          <w:p>
            <w:r>
              <w:rPr>
                <w:b w:val="false"/>
                <w:bCs w:val="false"/>
                <w:color w:val="1A1A1A"/>
                <w:sz w:val="20"/>
                <w:szCs w:val="20"/>
              </w:rPr>
              <w:t xml:space="preserve">Frontend / app server</w:t>
            </w:r>
          </w:p>
        </w:tc>
        <w:tc>
          <w:tcPr>
            <w:tcW w:type="dxa" w:w="6960"/>
            <w:tcMar>
              <w:top w:type="dxa" w:w="80"/>
              <w:left w:type="dxa" w:w="100"/>
              <w:bottom w:type="dxa" w:w="80"/>
              <w:right w:type="dxa" w:w="100"/>
            </w:tcMar>
          </w:tcPr>
          <w:p>
            <w:r>
              <w:rPr>
                <w:b w:val="false"/>
                <w:bCs w:val="false"/>
                <w:color w:val="1A1A1A"/>
                <w:sz w:val="20"/>
                <w:szCs w:val="20"/>
              </w:rPr>
              <w:t xml:space="preserve">Next.js 16 (App Router), React 19, deployed as a Node.js server (npm run build / npm run start)</w:t>
            </w:r>
          </w:p>
        </w:tc>
      </w:tr>
      <w:tr>
        <w:tc>
          <w:tcPr>
            <w:tcW w:type="dxa" w:w="2400"/>
            <w:tcMar>
              <w:top w:type="dxa" w:w="80"/>
              <w:left w:type="dxa" w:w="100"/>
              <w:bottom w:type="dxa" w:w="80"/>
              <w:right w:type="dxa" w:w="100"/>
            </w:tcMar>
          </w:tcPr>
          <w:p>
            <w:r>
              <w:rPr>
                <w:b w:val="false"/>
                <w:bCs w:val="false"/>
                <w:color w:val="1A1A1A"/>
                <w:sz w:val="20"/>
                <w:szCs w:val="20"/>
              </w:rPr>
              <w:t xml:space="preserve">Database</w:t>
            </w:r>
          </w:p>
        </w:tc>
        <w:tc>
          <w:tcPr>
            <w:tcW w:type="dxa" w:w="6960"/>
            <w:tcMar>
              <w:top w:type="dxa" w:w="80"/>
              <w:left w:type="dxa" w:w="100"/>
              <w:bottom w:type="dxa" w:w="80"/>
              <w:right w:type="dxa" w:w="100"/>
            </w:tcMar>
          </w:tcPr>
          <w:p>
            <w:r>
              <w:rPr>
                <w:b w:val="false"/>
                <w:bCs w:val="false"/>
                <w:color w:val="1A1A1A"/>
                <w:sz w:val="20"/>
                <w:szCs w:val="20"/>
              </w:rPr>
              <w:t xml:space="preserve">PostgreSQL, hosted by Supabase Cloud (50 migrations: enums, tenancy, patients, orders, results, inventory, billing, QC, blood bank, microbiology, histopathology, procurement, staff, settings)</w:t>
            </w:r>
          </w:p>
        </w:tc>
      </w:tr>
      <w:tr>
        <w:tc>
          <w:tcPr>
            <w:tcW w:type="dxa" w:w="2400"/>
            <w:tcMar>
              <w:top w:type="dxa" w:w="80"/>
              <w:left w:type="dxa" w:w="100"/>
              <w:bottom w:type="dxa" w:w="80"/>
              <w:right w:type="dxa" w:w="100"/>
            </w:tcMar>
          </w:tcPr>
          <w:p>
            <w:r>
              <w:rPr>
                <w:b w:val="false"/>
                <w:bCs w:val="false"/>
                <w:color w:val="1A1A1A"/>
                <w:sz w:val="20"/>
                <w:szCs w:val="20"/>
              </w:rPr>
              <w:t xml:space="preserve">Authorization</w:t>
            </w:r>
          </w:p>
        </w:tc>
        <w:tc>
          <w:tcPr>
            <w:tcW w:type="dxa" w:w="6960"/>
            <w:tcMar>
              <w:top w:type="dxa" w:w="80"/>
              <w:left w:type="dxa" w:w="100"/>
              <w:bottom w:type="dxa" w:w="80"/>
              <w:right w:type="dxa" w:w="100"/>
            </w:tcMar>
          </w:tcPr>
          <w:p>
            <w:r>
              <w:rPr>
                <w:b w:val="false"/>
                <w:bCs w:val="false"/>
                <w:color w:val="1A1A1A"/>
                <w:sz w:val="20"/>
                <w:szCs w:val="20"/>
              </w:rPr>
              <w:t xml:space="preserve">PostgreSQL Row-Level Security (RLS) policies + SECURITY DEFINER SQL functions (e.g. edoslmis_has_permission), evaluated against auth.uid()</w:t>
            </w:r>
          </w:p>
        </w:tc>
      </w:tr>
      <w:tr>
        <w:tc>
          <w:tcPr>
            <w:tcW w:type="dxa" w:w="2400"/>
            <w:tcMar>
              <w:top w:type="dxa" w:w="80"/>
              <w:left w:type="dxa" w:w="100"/>
              <w:bottom w:type="dxa" w:w="80"/>
              <w:right w:type="dxa" w:w="100"/>
            </w:tcMar>
          </w:tcPr>
          <w:p>
            <w:r>
              <w:rPr>
                <w:b w:val="false"/>
                <w:bCs w:val="false"/>
                <w:color w:val="1A1A1A"/>
                <w:sz w:val="20"/>
                <w:szCs w:val="20"/>
              </w:rPr>
              <w:t xml:space="preserve">Authentication &amp; sessions</w:t>
            </w:r>
          </w:p>
        </w:tc>
        <w:tc>
          <w:tcPr>
            <w:tcW w:type="dxa" w:w="6960"/>
            <w:tcMar>
              <w:top w:type="dxa" w:w="80"/>
              <w:left w:type="dxa" w:w="100"/>
              <w:bottom w:type="dxa" w:w="80"/>
              <w:right w:type="dxa" w:w="100"/>
            </w:tcMar>
          </w:tcPr>
          <w:p>
            <w:r>
              <w:rPr>
                <w:b w:val="false"/>
                <w:bCs w:val="false"/>
                <w:color w:val="1A1A1A"/>
                <w:sz w:val="20"/>
                <w:szCs w:val="20"/>
              </w:rPr>
              <w:t xml:space="preserve">Supabase Auth (GoTrue), accessed via @supabase/ssr in the browser and on the server; session cookies refreshed in proxy.ts</w:t>
            </w:r>
          </w:p>
        </w:tc>
      </w:tr>
      <w:tr>
        <w:tc>
          <w:tcPr>
            <w:tcW w:type="dxa" w:w="2400"/>
            <w:tcMar>
              <w:top w:type="dxa" w:w="80"/>
              <w:left w:type="dxa" w:w="100"/>
              <w:bottom w:type="dxa" w:w="80"/>
              <w:right w:type="dxa" w:w="100"/>
            </w:tcMar>
          </w:tcPr>
          <w:p>
            <w:r>
              <w:rPr>
                <w:b w:val="false"/>
                <w:bCs w:val="false"/>
                <w:color w:val="1A1A1A"/>
                <w:sz w:val="20"/>
                <w:szCs w:val="20"/>
              </w:rPr>
              <w:t xml:space="preserve">File storage</w:t>
            </w:r>
          </w:p>
        </w:tc>
        <w:tc>
          <w:tcPr>
            <w:tcW w:type="dxa" w:w="6960"/>
            <w:tcMar>
              <w:top w:type="dxa" w:w="80"/>
              <w:left w:type="dxa" w:w="100"/>
              <w:bottom w:type="dxa" w:w="80"/>
              <w:right w:type="dxa" w:w="100"/>
            </w:tcMar>
          </w:tcPr>
          <w:p>
            <w:r>
              <w:rPr>
                <w:b w:val="false"/>
                <w:bCs w:val="false"/>
                <w:color w:val="1A1A1A"/>
                <w:sz w:val="20"/>
                <w:szCs w:val="20"/>
              </w:rPr>
              <w:t xml:space="preserve">Supabase Storage (used in settings — tenant logos/branding assets)</w:t>
            </w:r>
          </w:p>
        </w:tc>
      </w:tr>
      <w:tr>
        <w:tc>
          <w:tcPr>
            <w:tcW w:type="dxa" w:w="2400"/>
            <w:tcMar>
              <w:top w:type="dxa" w:w="80"/>
              <w:left w:type="dxa" w:w="100"/>
              <w:bottom w:type="dxa" w:w="80"/>
              <w:right w:type="dxa" w:w="100"/>
            </w:tcMar>
          </w:tcPr>
          <w:p>
            <w:r>
              <w:rPr>
                <w:b w:val="false"/>
                <w:bCs w:val="false"/>
                <w:color w:val="1A1A1A"/>
                <w:sz w:val="20"/>
                <w:szCs w:val="20"/>
              </w:rPr>
              <w:t xml:space="preserve">Server-only privileged access</w:t>
            </w:r>
          </w:p>
        </w:tc>
        <w:tc>
          <w:tcPr>
            <w:tcW w:type="dxa" w:w="6960"/>
            <w:tcMar>
              <w:top w:type="dxa" w:w="80"/>
              <w:left w:type="dxa" w:w="100"/>
              <w:bottom w:type="dxa" w:w="80"/>
              <w:right w:type="dxa" w:w="100"/>
            </w:tcMar>
          </w:tcPr>
          <w:p>
            <w:r>
              <w:rPr>
                <w:b w:val="false"/>
                <w:bCs w:val="false"/>
                <w:color w:val="1A1A1A"/>
                <w:sz w:val="20"/>
                <w:szCs w:val="20"/>
              </w:rPr>
              <w:t xml:space="preserve">Supabase service-role key (lib/supabase/admin.ts), used only for the Auth Admin API</w:t>
            </w:r>
          </w:p>
        </w:tc>
      </w:tr>
      <w:tr>
        <w:tc>
          <w:tcPr>
            <w:tcW w:type="dxa" w:w="2400"/>
            <w:tcMar>
              <w:top w:type="dxa" w:w="80"/>
              <w:left w:type="dxa" w:w="100"/>
              <w:bottom w:type="dxa" w:w="80"/>
              <w:right w:type="dxa" w:w="100"/>
            </w:tcMar>
          </w:tcPr>
          <w:p>
            <w:r>
              <w:rPr>
                <w:b w:val="false"/>
                <w:bCs w:val="false"/>
                <w:color w:val="1A1A1A"/>
                <w:sz w:val="20"/>
                <w:szCs w:val="20"/>
              </w:rPr>
              <w:t xml:space="preserve">Email</w:t>
            </w:r>
          </w:p>
        </w:tc>
        <w:tc>
          <w:tcPr>
            <w:tcW w:type="dxa" w:w="6960"/>
            <w:tcMar>
              <w:top w:type="dxa" w:w="80"/>
              <w:left w:type="dxa" w:w="100"/>
              <w:bottom w:type="dxa" w:w="80"/>
              <w:right w:type="dxa" w:w="100"/>
            </w:tcMar>
          </w:tcPr>
          <w:p>
            <w:r>
              <w:rPr>
                <w:b w:val="false"/>
                <w:bCs w:val="false"/>
                <w:color w:val="1A1A1A"/>
                <w:sz w:val="20"/>
                <w:szCs w:val="20"/>
              </w:rPr>
              <w:t xml:space="preserve">Resend (external SaaS email API) — independent of the database, no change needed either way</w:t>
            </w:r>
          </w:p>
        </w:tc>
      </w:tr>
      <w:tr>
        <w:tc>
          <w:tcPr>
            <w:tcW w:type="dxa" w:w="2400"/>
            <w:tcMar>
              <w:top w:type="dxa" w:w="80"/>
              <w:left w:type="dxa" w:w="100"/>
              <w:bottom w:type="dxa" w:w="80"/>
              <w:right w:type="dxa" w:w="100"/>
            </w:tcMar>
          </w:tcPr>
          <w:p>
            <w:r>
              <w:rPr>
                <w:b w:val="false"/>
                <w:bCs w:val="false"/>
                <w:color w:val="1A1A1A"/>
                <w:sz w:val="20"/>
                <w:szCs w:val="20"/>
              </w:rPr>
              <w:t xml:space="preserve">Multi-tenancy</w:t>
            </w:r>
          </w:p>
        </w:tc>
        <w:tc>
          <w:tcPr>
            <w:tcW w:type="dxa" w:w="6960"/>
            <w:tcMar>
              <w:top w:type="dxa" w:w="80"/>
              <w:left w:type="dxa" w:w="100"/>
              <w:bottom w:type="dxa" w:w="80"/>
              <w:right w:type="dxa" w:w="100"/>
            </w:tcMar>
          </w:tcPr>
          <w:p>
            <w:r>
              <w:rPr>
                <w:b w:val="false"/>
                <w:bCs w:val="false"/>
                <w:color w:val="1A1A1A"/>
                <w:sz w:val="20"/>
                <w:szCs w:val="20"/>
              </w:rPr>
              <w:t xml:space="preserve">Single database, tenant-scoped rows enforced by RLS — this is a multi-tenant SaaS-style data model, not one database per client</w:t>
            </w:r>
          </w:p>
        </w:tc>
      </w:tr>
    </w:tbl>
    <w:tbl>
      <w:tblPr>
        <w:tblW w:type="pct" w:w="100%"/>
        <w:tblBorders>
          <w:top w:val="none" w:color="FFFFFF" w:sz="0"/>
          <w:left w:val="single" w:color="2E74B5" w:sz="24"/>
          <w:bottom w:val="none" w:color="FFFFFF" w:sz="0"/>
          <w:right w:val="none" w:color="FFFFFF" w:sz="0"/>
          <w:insideH w:val="none" w:color="FFFFFF" w:sz="0"/>
          <w:insideV w:val="none" w:color="FFFFFF" w:sz="0"/>
        </w:tblBorders>
      </w:tblPr>
      <w:tblGrid>
        <w:gridCol w:w="100"/>
      </w:tblGrid>
      <w:tr>
        <w:tc>
          <w:tcPr>
            <w:shd w:fill="EAF1F8" w:color="auto" w:val="clear"/>
            <w:tcMar>
              <w:top w:type="dxa" w:w="120"/>
              <w:left w:type="dxa" w:w="200"/>
              <w:bottom w:type="dxa" w:w="120"/>
              <w:right w:type="dxa" w:w="200"/>
            </w:tcMar>
          </w:tcPr>
          <w:p>
            <w:r>
              <w:rPr>
                <w:b/>
                <w:bCs/>
                <w:color w:val="1F3864"/>
                <w:sz w:val="21"/>
                <w:szCs w:val="21"/>
              </w:rPr>
              <w:t xml:space="preserve">Note: </w:t>
            </w:r>
            <w:r>
              <w:rPr>
                <w:color w:val="1A1A1A"/>
                <w:sz w:val="21"/>
                <w:szCs w:val="21"/>
              </w:rPr>
              <w:t xml:space="preserve">Because the browser talks directly to NEXT_PUBLIC_SUPABASE_URL for both auth and data, a local deployment needs the full Supabase API surface (Auth + PostgREST + Storage), not just a bare PostgreSQL server. This shapes the architecture in Part B below.</w:t>
            </w:r>
          </w:p>
        </w:tc>
      </w:tr>
    </w:tbl>
    <w:p>
      <w:pPr>
        <w:pStyle w:val="Heading1"/>
        <w:pBdr>
          <w:bottom w:val="single" w:color="1F3864" w:sz="8" w:space="4"/>
        </w:pBdr>
        <w:spacing w:after="200" w:before="400"/>
      </w:pPr>
      <w:r>
        <w:rPr>
          <w:b/>
          <w:bCs/>
          <w:color w:val="1F3864"/>
          <w:sz w:val="30"/>
          <w:szCs w:val="30"/>
        </w:rPr>
        <w:t xml:space="preserve">3. Recommended Target Architecture (Local, On-Premises)</w:t>
      </w:r>
    </w:p>
    <w:p>
      <w:pPr>
        <w:spacing w:after="160" w:line="276"/>
      </w:pPr>
      <w:r>
        <w:rPr>
          <w:sz w:val="22"/>
          <w:szCs w:val="22"/>
        </w:rPr>
        <w:t xml:space="preserve">The application code stays exactly as it is. Only where the two backend dependencies physically run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color="auto" w:val="clear"/>
            <w:tcMar>
              <w:top w:type="dxa" w:w="80"/>
              <w:left w:type="dxa" w:w="100"/>
              <w:bottom w:type="dxa" w:w="80"/>
              <w:right w:type="dxa" w:w="100"/>
            </w:tcMar>
          </w:tcPr>
          <w:p>
            <w:r>
              <w:rPr>
                <w:b/>
                <w:bCs/>
                <w:color w:val="FFFFFF"/>
                <w:sz w:val="20"/>
                <w:szCs w:val="20"/>
              </w:rPr>
              <w:t xml:space="preserve">Component</w:t>
            </w:r>
          </w:p>
        </w:tc>
        <w:tc>
          <w:tcPr>
            <w:tcW w:type="dxa" w:w="6760"/>
            <w:shd w:fill="1F3864" w:color="auto" w:val="clear"/>
            <w:tcMar>
              <w:top w:type="dxa" w:w="80"/>
              <w:left w:type="dxa" w:w="100"/>
              <w:bottom w:type="dxa" w:w="80"/>
              <w:right w:type="dxa" w:w="100"/>
            </w:tcMar>
          </w:tcPr>
          <w:p>
            <w:r>
              <w:rPr>
                <w:b/>
                <w:bCs/>
                <w:color w:val="FFFFFF"/>
                <w:sz w:val="20"/>
                <w:szCs w:val="20"/>
              </w:rPr>
              <w:t xml:space="preserve">Local, on-prem replacement</w:t>
            </w:r>
          </w:p>
        </w:tc>
      </w:tr>
      <w:tr>
        <w:tc>
          <w:tcPr>
            <w:tcW w:type="dxa" w:w="2600"/>
            <w:tcMar>
              <w:top w:type="dxa" w:w="80"/>
              <w:left w:type="dxa" w:w="100"/>
              <w:bottom w:type="dxa" w:w="80"/>
              <w:right w:type="dxa" w:w="100"/>
            </w:tcMar>
          </w:tcPr>
          <w:p>
            <w:r>
              <w:rPr>
                <w:b w:val="false"/>
                <w:bCs w:val="false"/>
                <w:color w:val="1A1A1A"/>
                <w:sz w:val="20"/>
                <w:szCs w:val="20"/>
              </w:rPr>
              <w:t xml:space="preserve">Web server / entry point</w:t>
            </w:r>
          </w:p>
        </w:tc>
        <w:tc>
          <w:tcPr>
            <w:tcW w:type="dxa" w:w="6760"/>
            <w:tcMar>
              <w:top w:type="dxa" w:w="80"/>
              <w:left w:type="dxa" w:w="100"/>
              <w:bottom w:type="dxa" w:w="80"/>
              <w:right w:type="dxa" w:w="100"/>
            </w:tcMar>
          </w:tcPr>
          <w:p>
            <w:r>
              <w:rPr>
                <w:b w:val="false"/>
                <w:bCs w:val="false"/>
                <w:color w:val="1A1A1A"/>
                <w:sz w:val="20"/>
                <w:szCs w:val="20"/>
              </w:rPr>
              <w:t xml:space="preserve">IIS (Windows Server), acting as a reverse proxy and TLS terminator</w:t>
            </w:r>
          </w:p>
        </w:tc>
      </w:tr>
      <w:tr>
        <w:tc>
          <w:tcPr>
            <w:tcW w:type="dxa" w:w="2600"/>
            <w:tcMar>
              <w:top w:type="dxa" w:w="80"/>
              <w:left w:type="dxa" w:w="100"/>
              <w:bottom w:type="dxa" w:w="80"/>
              <w:right w:type="dxa" w:w="100"/>
            </w:tcMar>
          </w:tcPr>
          <w:p>
            <w:r>
              <w:rPr>
                <w:b w:val="false"/>
                <w:bCs w:val="false"/>
                <w:color w:val="1A1A1A"/>
                <w:sz w:val="20"/>
                <w:szCs w:val="20"/>
              </w:rPr>
              <w:t xml:space="preserve">Application runtime</w:t>
            </w:r>
          </w:p>
        </w:tc>
        <w:tc>
          <w:tcPr>
            <w:tcW w:type="dxa" w:w="6760"/>
            <w:tcMar>
              <w:top w:type="dxa" w:w="80"/>
              <w:left w:type="dxa" w:w="100"/>
              <w:bottom w:type="dxa" w:w="80"/>
              <w:right w:type="dxa" w:w="100"/>
            </w:tcMar>
          </w:tcPr>
          <w:p>
            <w:r>
              <w:rPr>
                <w:b w:val="false"/>
                <w:bCs w:val="false"/>
                <w:color w:val="1A1A1A"/>
                <w:sz w:val="20"/>
                <w:szCs w:val="20"/>
              </w:rPr>
              <w:t xml:space="preserve">Node.js LTS running the built Next.js app, kept alive as a Windows Service via PM2 or NSSM, sitting behind IIS on a local port (e.g. 3000)</w:t>
            </w:r>
          </w:p>
        </w:tc>
      </w:tr>
      <w:tr>
        <w:tc>
          <w:tcPr>
            <w:tcW w:type="dxa" w:w="2600"/>
            <w:tcMar>
              <w:top w:type="dxa" w:w="80"/>
              <w:left w:type="dxa" w:w="100"/>
              <w:bottom w:type="dxa" w:w="80"/>
              <w:right w:type="dxa" w:w="100"/>
            </w:tcMar>
          </w:tcPr>
          <w:p>
            <w:r>
              <w:rPr>
                <w:b w:val="false"/>
                <w:bCs w:val="false"/>
                <w:color w:val="1A1A1A"/>
                <w:sz w:val="20"/>
                <w:szCs w:val="20"/>
              </w:rPr>
              <w:t xml:space="preserve">Database + Auth + Storage</w:t>
            </w:r>
          </w:p>
        </w:tc>
        <w:tc>
          <w:tcPr>
            <w:tcW w:type="dxa" w:w="6760"/>
            <w:tcMar>
              <w:top w:type="dxa" w:w="80"/>
              <w:left w:type="dxa" w:w="100"/>
              <w:bottom w:type="dxa" w:w="80"/>
              <w:right w:type="dxa" w:w="100"/>
            </w:tcMar>
          </w:tcPr>
          <w:p>
            <w:r>
              <w:rPr>
                <w:b w:val="false"/>
                <w:bCs w:val="false"/>
                <w:color w:val="1A1A1A"/>
                <w:sz w:val="20"/>
                <w:szCs w:val="20"/>
              </w:rPr>
              <w:t xml:space="preserve">Self-hosted Supabase stack (official supabase/docker Docker Compose project) — PostgreSQL, GoTrue, PostgREST, Storage API, and Kong gateway, running on the same server or an adjacent one</w:t>
            </w:r>
          </w:p>
        </w:tc>
      </w:tr>
      <w:tr>
        <w:tc>
          <w:tcPr>
            <w:tcW w:type="dxa" w:w="2600"/>
            <w:tcMar>
              <w:top w:type="dxa" w:w="80"/>
              <w:left w:type="dxa" w:w="100"/>
              <w:bottom w:type="dxa" w:w="80"/>
              <w:right w:type="dxa" w:w="100"/>
            </w:tcMar>
          </w:tcPr>
          <w:p>
            <w:r>
              <w:rPr>
                <w:b w:val="false"/>
                <w:bCs w:val="false"/>
                <w:color w:val="1A1A1A"/>
                <w:sz w:val="20"/>
                <w:szCs w:val="20"/>
              </w:rPr>
              <w:t xml:space="preserve">Backups</w:t>
            </w:r>
          </w:p>
        </w:tc>
        <w:tc>
          <w:tcPr>
            <w:tcW w:type="dxa" w:w="6760"/>
            <w:tcMar>
              <w:top w:type="dxa" w:w="80"/>
              <w:left w:type="dxa" w:w="100"/>
              <w:bottom w:type="dxa" w:w="80"/>
              <w:right w:type="dxa" w:w="100"/>
            </w:tcMar>
          </w:tcPr>
          <w:p>
            <w:r>
              <w:rPr>
                <w:b w:val="false"/>
                <w:bCs w:val="false"/>
                <w:color w:val="1A1A1A"/>
                <w:sz w:val="20"/>
                <w:szCs w:val="20"/>
              </w:rPr>
              <w:t xml:space="preserve">Scheduled PowerShell script (Windows Task Scheduler) running pg_dump weekly, plus a copy of the Storage volume</w:t>
            </w:r>
          </w:p>
        </w:tc>
      </w:tr>
    </w:tbl>
    <w:p>
      <w:pPr>
        <w:spacing w:after="160" w:line="276"/>
      </w:pPr>
      <w:r>
        <w:rPr>
          <w:b/>
          <w:bCs/>
          <w:sz w:val="22"/>
          <w:szCs w:val="22"/>
        </w:rPr>
        <w:t xml:space="preserve">Why the full Supabase stack and not just PostgreSQL: </w:t>
      </w:r>
      <w:r>
        <w:rPr>
          <w:sz w:val="22"/>
          <w:szCs w:val="22"/>
        </w:rPr>
        <w:t xml:space="preserve">the app's Supabase client calls REST endpoints for auth (GoTrue) and data (PostgREST) — it does not open a raw database connection from the browser. The official self-hosting Docker Compose project (github.com/supabase/supabase, docker/ folder) packages exactly these pieces together and is the version Supabase intends for persistent, production-style deployments.</w:t>
      </w:r>
    </w:p>
    <w:tbl>
      <w:tblPr>
        <w:tblW w:type="pct" w:w="100%"/>
        <w:tblBorders>
          <w:top w:val="none" w:color="FFFFFF" w:sz="0"/>
          <w:left w:val="single" w:color="2E74B5" w:sz="24"/>
          <w:bottom w:val="none" w:color="FFFFFF" w:sz="0"/>
          <w:right w:val="none" w:color="FFFFFF" w:sz="0"/>
          <w:insideH w:val="none" w:color="FFFFFF" w:sz="0"/>
          <w:insideV w:val="none" w:color="FFFFFF" w:sz="0"/>
        </w:tblBorders>
      </w:tblPr>
      <w:tblGrid>
        <w:gridCol w:w="100"/>
      </w:tblGrid>
      <w:tr>
        <w:tc>
          <w:tcPr>
            <w:shd w:fill="EAF1F8" w:color="auto" w:val="clear"/>
            <w:tcMar>
              <w:top w:type="dxa" w:w="120"/>
              <w:left w:type="dxa" w:w="200"/>
              <w:bottom w:type="dxa" w:w="120"/>
              <w:right w:type="dxa" w:w="200"/>
            </w:tcMar>
          </w:tcPr>
          <w:p>
            <w:r>
              <w:rPr>
                <w:b/>
                <w:bCs/>
                <w:color w:val="1F3864"/>
                <w:sz w:val="21"/>
                <w:szCs w:val="21"/>
              </w:rPr>
              <w:t xml:space="preserve">Note: </w:t>
            </w:r>
            <w:r>
              <w:rPr>
                <w:color w:val="1A1A1A"/>
                <w:sz w:val="21"/>
                <w:szCs w:val="21"/>
              </w:rPr>
              <w:t xml:space="preserve">Use the official self-hosting Docker Compose stack, not `supabase start` from the Supabase CLI. The CLI's local stack is built for development — it's designed to be reset often and has no supported backup or upgrade story. The Docker Compose project under supabase/docker is the one meant to run continuously as a service.</w:t>
            </w:r>
          </w:p>
        </w:tc>
      </w:tr>
    </w:tbl>
    <w:p>
      <w:pPr>
        <w:pStyle w:val="Heading1"/>
        <w:pBdr>
          <w:bottom w:val="single" w:color="1F3864" w:sz="8" w:space="4"/>
        </w:pBdr>
        <w:spacing w:after="200" w:before="400"/>
      </w:pPr>
      <w:r>
        <w:rPr>
          <w:b/>
          <w:bCs/>
          <w:color w:val="1F3864"/>
          <w:sz w:val="30"/>
          <w:szCs w:val="30"/>
        </w:rPr>
        <w:t xml:space="preserve">4. Prerequisites</w:t>
      </w:r>
    </w:p>
    <w:p>
      <w:pPr>
        <w:pStyle w:val="ListParagraph"/>
        <w:numPr>
          <w:ilvl w:val="0"/>
          <w:numId w:val="2"/>
        </w:numPr>
        <w:spacing w:after="100"/>
      </w:pPr>
      <w:r>
        <w:rPr>
          <w:sz w:val="22"/>
          <w:szCs w:val="22"/>
        </w:rPr>
        <w:t xml:space="preserve">Windows Server 2019 or 2022 (or Windows 10/11 Pro for a smaller single-site deployment), with administrator access</w:t>
      </w:r>
    </w:p>
    <w:p>
      <w:pPr>
        <w:pStyle w:val="ListParagraph"/>
        <w:numPr>
          <w:ilvl w:val="0"/>
          <w:numId w:val="2"/>
        </w:numPr>
        <w:spacing w:after="100"/>
      </w:pPr>
      <w:r>
        <w:rPr>
          <w:sz w:val="22"/>
          <w:szCs w:val="22"/>
        </w:rPr>
        <w:t xml:space="preserve">Docker Desktop (or Docker Engine via WSL2) — required to run the self-hosted Supabase stack</w:t>
      </w:r>
    </w:p>
    <w:p>
      <w:pPr>
        <w:pStyle w:val="ListParagraph"/>
        <w:numPr>
          <w:ilvl w:val="0"/>
          <w:numId w:val="2"/>
        </w:numPr>
        <w:spacing w:after="100"/>
      </w:pPr>
      <w:r>
        <w:rPr>
          <w:sz w:val="22"/>
          <w:szCs w:val="22"/>
        </w:rPr>
        <w:t xml:space="preserve">Node.js 20 LTS installed on the Windows host</w:t>
      </w:r>
    </w:p>
    <w:p>
      <w:pPr>
        <w:pStyle w:val="ListParagraph"/>
        <w:numPr>
          <w:ilvl w:val="0"/>
          <w:numId w:val="2"/>
        </w:numPr>
        <w:spacing w:after="100"/>
      </w:pPr>
      <w:r>
        <w:rPr>
          <w:sz w:val="22"/>
          <w:szCs w:val="22"/>
        </w:rPr>
        <w:t xml:space="preserve">IIS installed with the Application Request Routing (ARR) and URL Rewrite modules</w:t>
      </w:r>
    </w:p>
    <w:p>
      <w:pPr>
        <w:pStyle w:val="ListParagraph"/>
        <w:numPr>
          <w:ilvl w:val="0"/>
          <w:numId w:val="2"/>
        </w:numPr>
        <w:spacing w:after="100"/>
      </w:pPr>
      <w:r>
        <w:rPr>
          <w:sz w:val="22"/>
          <w:szCs w:val="22"/>
        </w:rPr>
        <w:t xml:space="preserve">A process manager for Node — PM2 (via pm2-windows-service) or NSSM (Non-Sucking Service Manager)</w:t>
      </w:r>
    </w:p>
    <w:p>
      <w:pPr>
        <w:pStyle w:val="ListParagraph"/>
        <w:numPr>
          <w:ilvl w:val="0"/>
          <w:numId w:val="2"/>
        </w:numPr>
        <w:spacing w:after="100"/>
      </w:pPr>
      <w:r>
        <w:rPr>
          <w:sz w:val="22"/>
          <w:szCs w:val="22"/>
        </w:rPr>
        <w:t xml:space="preserve">A domain name or internal hostname for the site, and a TLS certificate (internal CA, or Let's Encrypt via win-acme if the server is internet-reachable)</w:t>
      </w:r>
    </w:p>
    <w:p>
      <w:pPr>
        <w:pStyle w:val="ListParagraph"/>
        <w:numPr>
          <w:ilvl w:val="0"/>
          <w:numId w:val="2"/>
        </w:numPr>
        <w:spacing w:after="100"/>
      </w:pPr>
      <w:r>
        <w:rPr>
          <w:sz w:val="22"/>
          <w:szCs w:val="22"/>
        </w:rPr>
        <w:t xml:space="preserve">A copy of the project's Supabase migration files (supabase/migrations and the supabase/apply_phase*.sql scripts already in the repo) to run against the new local instance</w:t>
      </w:r>
    </w:p>
    <w:p>
      <w:pPr>
        <w:pStyle w:val="Heading1"/>
        <w:pBdr>
          <w:bottom w:val="single" w:color="1F3864" w:sz="8" w:space="4"/>
        </w:pBdr>
        <w:spacing w:after="200" w:before="400"/>
      </w:pPr>
      <w:r>
        <w:rPr>
          <w:b/>
          <w:bCs/>
          <w:color w:val="1F3864"/>
          <w:sz w:val="30"/>
          <w:szCs w:val="30"/>
        </w:rPr>
        <w:t xml:space="preserve">Part A — Windows Server &amp; IIS Setup</w:t>
      </w:r>
    </w:p>
    <w:p>
      <w:pPr>
        <w:pStyle w:val="Heading2"/>
        <w:spacing w:after="140" w:before="300"/>
      </w:pPr>
      <w:r>
        <w:rPr>
          <w:b/>
          <w:bCs/>
          <w:color w:val="2E74B5"/>
          <w:sz w:val="25"/>
          <w:szCs w:val="25"/>
        </w:rPr>
        <w:t xml:space="preserve">A.1 Install IIS and required modules</w:t>
      </w:r>
    </w:p>
    <w:p>
      <w:pPr>
        <w:pStyle w:val="ListParagraph"/>
        <w:numPr>
          <w:ilvl w:val="0"/>
          <w:numId w:val="3"/>
        </w:numPr>
        <w:spacing w:after="100"/>
      </w:pPr>
      <w:r>
        <w:rPr>
          <w:sz w:val="22"/>
          <w:szCs w:val="22"/>
        </w:rPr>
        <w:t xml:space="preserve">Server Manager → Add Roles and Features → Web Server (IIS) → include Application Request Routing is not in the default list, so install it separately from the IIS.net download (Microsoft Web Platform Installer or direct MSI).</w:t>
      </w:r>
    </w:p>
    <w:p>
      <w:pPr>
        <w:pStyle w:val="ListParagraph"/>
        <w:numPr>
          <w:ilvl w:val="0"/>
          <w:numId w:val="3"/>
        </w:numPr>
        <w:spacing w:after="100"/>
      </w:pPr>
      <w:r>
        <w:rPr>
          <w:sz w:val="22"/>
          <w:szCs w:val="22"/>
        </w:rPr>
        <w:t xml:space="preserve">Install the URL Rewrite module (also from IIS.net) — this is what lets IIS forward requests to Node.</w:t>
      </w:r>
    </w:p>
    <w:p>
      <w:pPr>
        <w:pStyle w:val="ListParagraph"/>
        <w:numPr>
          <w:ilvl w:val="0"/>
          <w:numId w:val="3"/>
        </w:numPr>
        <w:spacing w:after="100"/>
      </w:pPr>
      <w:r>
        <w:rPr>
          <w:sz w:val="22"/>
          <w:szCs w:val="22"/>
        </w:rPr>
        <w:t xml:space="preserve">In IIS Manager, at the server level, open Application Request Routing Cache → Server Proxy Settings → enable proxy.</w:t>
      </w:r>
    </w:p>
    <w:p>
      <w:pPr>
        <w:pStyle w:val="Heading2"/>
        <w:spacing w:after="140" w:before="300"/>
      </w:pPr>
      <w:r>
        <w:rPr>
          <w:b/>
          <w:bCs/>
          <w:color w:val="2E74B5"/>
          <w:sz w:val="25"/>
          <w:szCs w:val="25"/>
        </w:rPr>
        <w:t xml:space="preserve">A.2 Install Node.js and a process manager</w:t>
      </w:r>
    </w:p>
    <w:p>
      <w:pPr>
        <w:pStyle w:val="ListParagraph"/>
        <w:numPr>
          <w:ilvl w:val="0"/>
          <w:numId w:val="4"/>
        </w:numPr>
        <w:spacing w:after="100"/>
      </w:pPr>
      <w:r>
        <w:rPr>
          <w:sz w:val="22"/>
          <w:szCs w:val="22"/>
        </w:rPr>
        <w:t xml:space="preserve">Install Node.js 20 LTS on the server.</w:t>
      </w:r>
    </w:p>
    <w:p>
      <w:pPr>
        <w:pStyle w:val="ListParagraph"/>
        <w:numPr>
          <w:ilvl w:val="0"/>
          <w:numId w:val="4"/>
        </w:numPr>
        <w:spacing w:after="100"/>
      </w:pPr>
      <w:r>
        <w:rPr>
          <w:sz w:val="22"/>
          <w:szCs w:val="22"/>
        </w:rPr>
        <w:t xml:space="preserve">Install PM2 globally (npm install -g pm2) and pm2-windows-service, or download NSSM. Either tool keeps the Next.js server process running, restarts it on crash, and starts it automatically on server boot.</w:t>
      </w:r>
    </w:p>
    <w:p>
      <w:pPr>
        <w:pStyle w:val="Heading2"/>
        <w:spacing w:after="140" w:before="300"/>
      </w:pPr>
      <w:r>
        <w:rPr>
          <w:b/>
          <w:bCs/>
          <w:color w:val="2E74B5"/>
          <w:sz w:val="25"/>
          <w:szCs w:val="25"/>
        </w:rPr>
        <w:t xml:space="preserve">A.3 Deploy the application</w:t>
      </w:r>
    </w:p>
    <w:p>
      <w:pPr>
        <w:pStyle w:val="ListParagraph"/>
        <w:numPr>
          <w:ilvl w:val="0"/>
          <w:numId w:val="5"/>
        </w:numPr>
        <w:spacing w:after="100"/>
      </w:pPr>
      <w:r>
        <w:rPr>
          <w:sz w:val="22"/>
          <w:szCs w:val="22"/>
        </w:rPr>
        <w:t xml:space="preserve">Copy the project to the server (e.g. C:\inetpub\edos-lmis) — this is a plain file copy, no code changes.</w:t>
      </w:r>
    </w:p>
    <w:p>
      <w:pPr>
        <w:pStyle w:val="ListParagraph"/>
        <w:numPr>
          <w:ilvl w:val="0"/>
          <w:numId w:val="5"/>
        </w:numPr>
        <w:spacing w:after="100"/>
      </w:pPr>
      <w:r>
        <w:rPr>
          <w:sz w:val="22"/>
          <w:szCs w:val="22"/>
        </w:rPr>
        <w:t xml:space="preserve">Create a production .env.local on the server pointing at the local Supabase stack's URL and keys (Part B produces these values).</w:t>
      </w:r>
    </w:p>
    <w:p>
      <w:pPr>
        <w:pStyle w:val="ListParagraph"/>
        <w:numPr>
          <w:ilvl w:val="0"/>
          <w:numId w:val="5"/>
        </w:numPr>
        <w:spacing w:after="100"/>
      </w:pPr>
      <w:r>
        <w:rPr>
          <w:sz w:val="22"/>
          <w:szCs w:val="22"/>
        </w:rPr>
        <w:t xml:space="preserve">Run npm install --production=false, then npm run build, then start it under PM2/NSSM: npm run start (Next.js listens on port 3000 by default).</w:t>
      </w:r>
    </w:p>
    <w:p>
      <w:pPr>
        <w:pStyle w:val="Heading2"/>
        <w:spacing w:after="140" w:before="300"/>
      </w:pPr>
      <w:r>
        <w:rPr>
          <w:b/>
          <w:bCs/>
          <w:color w:val="2E74B5"/>
          <w:sz w:val="25"/>
          <w:szCs w:val="25"/>
        </w:rPr>
        <w:t xml:space="preserve">A.4 Point IIS at the Node process</w:t>
      </w:r>
    </w:p>
    <w:p>
      <w:pPr>
        <w:spacing w:after="160" w:line="276"/>
      </w:pPr>
      <w:r>
        <w:rPr>
          <w:sz w:val="22"/>
          <w:szCs w:val="22"/>
        </w:rPr>
        <w:t xml:space="preserve">Create a site in IIS bound to the server's hostname/IP on port 80/443, with an empty physical folder, and add a web.config with a reverse-proxy rule:</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1A1A1A"/>
                <w:sz w:val="19"/>
                <w:szCs w:val="19"/>
              </w:rPr>
              <w:t xml:space="preserve">&lt;configuration&gt;</w:t>
            </w:r>
          </w:p>
          <w:p>
            <w:pPr>
              <w:spacing w:after="20"/>
            </w:pPr>
            <w:r>
              <w:rPr>
                <w:rFonts w:ascii="Consolas" w:cs="Consolas" w:eastAsia="Consolas" w:hAnsi="Consolas"/>
                <w:color w:val="1A1A1A"/>
                <w:sz w:val="19"/>
                <w:szCs w:val="19"/>
              </w:rPr>
              <w:t xml:space="preserve">  &lt;system.webServer&gt;</w:t>
            </w:r>
          </w:p>
          <w:p>
            <w:pPr>
              <w:spacing w:after="20"/>
            </w:pPr>
            <w:r>
              <w:rPr>
                <w:rFonts w:ascii="Consolas" w:cs="Consolas" w:eastAsia="Consolas" w:hAnsi="Consolas"/>
                <w:color w:val="1A1A1A"/>
                <w:sz w:val="19"/>
                <w:szCs w:val="19"/>
              </w:rPr>
              <w:t xml:space="preserve">    &lt;rewrite&gt;</w:t>
            </w:r>
          </w:p>
          <w:p>
            <w:pPr>
              <w:spacing w:after="20"/>
            </w:pPr>
            <w:r>
              <w:rPr>
                <w:rFonts w:ascii="Consolas" w:cs="Consolas" w:eastAsia="Consolas" w:hAnsi="Consolas"/>
                <w:color w:val="1A1A1A"/>
                <w:sz w:val="19"/>
                <w:szCs w:val="19"/>
              </w:rPr>
              <w:t xml:space="preserve">      &lt;rules&gt;</w:t>
            </w:r>
          </w:p>
          <w:p>
            <w:pPr>
              <w:spacing w:after="20"/>
            </w:pPr>
            <w:r>
              <w:rPr>
                <w:rFonts w:ascii="Consolas" w:cs="Consolas" w:eastAsia="Consolas" w:hAnsi="Consolas"/>
                <w:color w:val="1A1A1A"/>
                <w:sz w:val="19"/>
                <w:szCs w:val="19"/>
              </w:rPr>
              <w:t xml:space="preserve">        &lt;rule name="ReverseProxyToNode" stopProcessing="true"&gt;</w:t>
            </w:r>
          </w:p>
          <w:p>
            <w:pPr>
              <w:spacing w:after="20"/>
            </w:pPr>
            <w:r>
              <w:rPr>
                <w:rFonts w:ascii="Consolas" w:cs="Consolas" w:eastAsia="Consolas" w:hAnsi="Consolas"/>
                <w:color w:val="1A1A1A"/>
                <w:sz w:val="19"/>
                <w:szCs w:val="19"/>
              </w:rPr>
              <w:t xml:space="preserve">          &lt;match url="(.*)" /&gt;</w:t>
            </w:r>
          </w:p>
          <w:p>
            <w:pPr>
              <w:spacing w:after="20"/>
            </w:pPr>
            <w:r>
              <w:rPr>
                <w:rFonts w:ascii="Consolas" w:cs="Consolas" w:eastAsia="Consolas" w:hAnsi="Consolas"/>
                <w:color w:val="1A1A1A"/>
                <w:sz w:val="19"/>
                <w:szCs w:val="19"/>
              </w:rPr>
              <w:t xml:space="preserve">          &lt;action type="Rewrite" url="http://localhost:3000/{R:1}" /&gt;</w:t>
            </w:r>
          </w:p>
          <w:p>
            <w:pPr>
              <w:spacing w:after="20"/>
            </w:pPr>
            <w:r>
              <w:rPr>
                <w:rFonts w:ascii="Consolas" w:cs="Consolas" w:eastAsia="Consolas" w:hAnsi="Consolas"/>
                <w:color w:val="1A1A1A"/>
                <w:sz w:val="19"/>
                <w:szCs w:val="19"/>
              </w:rPr>
              <w:t xml:space="preserve">        &lt;/rule&gt;</w:t>
            </w:r>
          </w:p>
          <w:p>
            <w:pPr>
              <w:spacing w:after="20"/>
            </w:pPr>
            <w:r>
              <w:rPr>
                <w:rFonts w:ascii="Consolas" w:cs="Consolas" w:eastAsia="Consolas" w:hAnsi="Consolas"/>
                <w:color w:val="1A1A1A"/>
                <w:sz w:val="19"/>
                <w:szCs w:val="19"/>
              </w:rPr>
              <w:t xml:space="preserve">      &lt;/rules&gt;</w:t>
            </w:r>
          </w:p>
          <w:p>
            <w:pPr>
              <w:spacing w:after="20"/>
            </w:pPr>
            <w:r>
              <w:rPr>
                <w:rFonts w:ascii="Consolas" w:cs="Consolas" w:eastAsia="Consolas" w:hAnsi="Consolas"/>
                <w:color w:val="1A1A1A"/>
                <w:sz w:val="19"/>
                <w:szCs w:val="19"/>
              </w:rPr>
              <w:t xml:space="preserve">    &lt;/rewrite&gt;</w:t>
            </w:r>
          </w:p>
          <w:p>
            <w:pPr>
              <w:spacing w:after="20"/>
            </w:pPr>
            <w:r>
              <w:rPr>
                <w:rFonts w:ascii="Consolas" w:cs="Consolas" w:eastAsia="Consolas" w:hAnsi="Consolas"/>
                <w:color w:val="1A1A1A"/>
                <w:sz w:val="19"/>
                <w:szCs w:val="19"/>
              </w:rPr>
              <w:t xml:space="preserve">  &lt;/system.webServer&gt;</w:t>
            </w:r>
          </w:p>
          <w:p>
            <w:pPr>
              <w:spacing w:after="20"/>
            </w:pPr>
            <w:r>
              <w:rPr>
                <w:rFonts w:ascii="Consolas" w:cs="Consolas" w:eastAsia="Consolas" w:hAnsi="Consolas"/>
                <w:color w:val="1A1A1A"/>
                <w:sz w:val="19"/>
                <w:szCs w:val="19"/>
              </w:rPr>
              <w:t xml:space="preserve">&lt;/configuration&gt;</w:t>
            </w:r>
          </w:p>
        </w:tc>
      </w:tr>
    </w:tbl>
    <w:p>
      <w:pPr>
        <w:spacing w:after="160" w:line="276"/>
      </w:pPr>
      <w:r>
        <w:rPr>
          <w:i/>
          <w:iCs/>
          <w:color w:val="595959"/>
          <w:sz w:val="22"/>
          <w:szCs w:val="22"/>
        </w:rPr>
        <w:t xml:space="preserve">Do not use iisnode to run Next.js directly — it is an older approach with known issues (idle app pools recycling the process, unreliable websocket support). The IIS-as-reverse-proxy-in-front-of-a-PM2-managed-Node-process pattern above is the one most production Windows deployments use today.</w:t>
      </w:r>
    </w:p>
    <w:p>
      <w:pPr>
        <w:pStyle w:val="Heading1"/>
        <w:pBdr>
          <w:bottom w:val="single" w:color="1F3864" w:sz="8" w:space="4"/>
        </w:pBdr>
        <w:spacing w:after="200" w:before="400"/>
      </w:pPr>
      <w:r>
        <w:rPr>
          <w:b/>
          <w:bCs/>
          <w:color w:val="1F3864"/>
          <w:sz w:val="30"/>
          <w:szCs w:val="30"/>
        </w:rPr>
        <w:t xml:space="preserve">Part B — Self-Hosted Supabase (Database, Auth, Storage)</w:t>
      </w:r>
    </w:p>
    <w:p>
      <w:pPr>
        <w:pStyle w:val="Heading2"/>
        <w:spacing w:after="140" w:before="300"/>
      </w:pPr>
      <w:r>
        <w:rPr>
          <w:b/>
          <w:bCs/>
          <w:color w:val="2E74B5"/>
          <w:sz w:val="25"/>
          <w:szCs w:val="25"/>
        </w:rPr>
        <w:t xml:space="preserve">B.1 Get the official self-hosting project</w:t>
      </w:r>
    </w:p>
    <w:p>
      <w:pPr>
        <w:pStyle w:val="ListParagraph"/>
        <w:numPr>
          <w:ilvl w:val="0"/>
          <w:numId w:val="6"/>
        </w:numPr>
        <w:spacing w:after="100"/>
      </w:pPr>
      <w:r>
        <w:rPr>
          <w:sz w:val="22"/>
          <w:szCs w:val="22"/>
        </w:rPr>
        <w:t xml:space="preserve">On the server (or a Linux VM/WSL2 instance reachable from the Windows box), clone github.com/supabase/supabase and use the docker/ subfolder — this contains the production-oriented docker-compose.yml.</w:t>
      </w:r>
    </w:p>
    <w:p>
      <w:pPr>
        <w:pStyle w:val="ListParagraph"/>
        <w:numPr>
          <w:ilvl w:val="0"/>
          <w:numId w:val="6"/>
        </w:numPr>
        <w:spacing w:after="100"/>
      </w:pPr>
      <w:r>
        <w:rPr>
          <w:sz w:val="22"/>
          <w:szCs w:val="22"/>
        </w:rPr>
        <w:t xml:space="preserve">Copy .env.example to .env and run the project's key-generation script to produce unique JWT_SECRET, ANON_KEY, SERVICE_ROLE_KEY, and POSTGRES_PASSWORD values. Never ship the placeholder example values — they are public and well known.</w:t>
      </w:r>
    </w:p>
    <w:p>
      <w:pPr>
        <w:pStyle w:val="ListParagraph"/>
        <w:numPr>
          <w:ilvl w:val="0"/>
          <w:numId w:val="6"/>
        </w:numPr>
        <w:spacing w:after="100"/>
      </w:pPr>
      <w:r>
        <w:rPr>
          <w:sz w:val="22"/>
          <w:szCs w:val="22"/>
        </w:rPr>
        <w:t xml:space="preserve">Run docker compose up -d. This starts PostgreSQL, GoTrue (auth), PostgREST (data API), Storage API, Realtime, and the Kong API gateway that fronts them all on one port (default 8000).</w:t>
      </w:r>
    </w:p>
    <w:p>
      <w:pPr>
        <w:pStyle w:val="Heading2"/>
        <w:spacing w:after="140" w:before="300"/>
      </w:pPr>
      <w:r>
        <w:rPr>
          <w:b/>
          <w:bCs/>
          <w:color w:val="2E74B5"/>
          <w:sz w:val="25"/>
          <w:szCs w:val="25"/>
        </w:rPr>
        <w:t xml:space="preserve">B.2 Apply the existing schema</w:t>
      </w:r>
    </w:p>
    <w:p>
      <w:pPr>
        <w:spacing w:after="160" w:line="276"/>
      </w:pPr>
      <w:r>
        <w:rPr>
          <w:sz w:val="22"/>
          <w:szCs w:val="22"/>
        </w:rPr>
        <w:t xml:space="preserve">Run the project's own migrations against the new database, in order, exactly as they exist in the repo today — nothing needs to be rewritten:</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1A1A1A"/>
                <w:sz w:val="19"/>
                <w:szCs w:val="19"/>
              </w:rPr>
              <w:t xml:space="preserve"># from the project root, against the local Supabase Postgres instance</w:t>
            </w:r>
          </w:p>
          <w:p>
            <w:pPr>
              <w:spacing w:after="20"/>
            </w:pPr>
            <w:r>
              <w:rPr>
                <w:rFonts w:ascii="Consolas" w:cs="Consolas" w:eastAsia="Consolas" w:hAnsi="Consolas"/>
                <w:color w:val="1A1A1A"/>
                <w:sz w:val="19"/>
                <w:szCs w:val="19"/>
              </w:rPr>
              <w:t xml:space="preserve">psql "$DATABASE_URL" -f supabase/migrations/0001_edoslmis_enums.sql</w:t>
            </w:r>
          </w:p>
          <w:p>
            <w:pPr>
              <w:spacing w:after="20"/>
            </w:pPr>
            <w:r>
              <w:rPr>
                <w:rFonts w:ascii="Consolas" w:cs="Consolas" w:eastAsia="Consolas" w:hAnsi="Consolas"/>
                <w:color w:val="1A1A1A"/>
                <w:sz w:val="19"/>
                <w:szCs w:val="19"/>
              </w:rPr>
              <w:t xml:space="preserve"># ...repeat in numeric order through 0050_*, then</w:t>
            </w:r>
          </w:p>
          <w:p>
            <w:pPr>
              <w:spacing w:after="20"/>
            </w:pPr>
            <w:r>
              <w:rPr>
                <w:rFonts w:ascii="Consolas" w:cs="Consolas" w:eastAsia="Consolas" w:hAnsi="Consolas"/>
                <w:color w:val="1A1A1A"/>
                <w:sz w:val="19"/>
                <w:szCs w:val="19"/>
              </w:rPr>
              <w:t xml:space="preserve"># the supabase/apply_phase*.sql files</w:t>
            </w:r>
          </w:p>
        </w:tc>
      </w:tr>
    </w:tbl>
    <w:p>
      <w:pPr>
        <w:spacing w:after="160" w:line="276"/>
      </w:pPr>
      <w:r>
        <w:rPr>
          <w:i/>
          <w:iCs/>
          <w:color w:val="595959"/>
          <w:sz w:val="22"/>
          <w:szCs w:val="22"/>
        </w:rPr>
        <w:t xml:space="preserve">If the Supabase CLI is available, `supabase db push` (or `supabase migration up` against the local instance) will run the migrations folder in order automatically — either approach is fine as long as the numeric order is preserved.</w:t>
      </w:r>
    </w:p>
    <w:p>
      <w:pPr>
        <w:pStyle w:val="Heading2"/>
        <w:spacing w:after="140" w:before="300"/>
      </w:pPr>
      <w:r>
        <w:rPr>
          <w:b/>
          <w:bCs/>
          <w:color w:val="2E74B5"/>
          <w:sz w:val="25"/>
          <w:szCs w:val="25"/>
        </w:rPr>
        <w:t xml:space="preserve">B.3 Wire the app to the local stack</w:t>
      </w:r>
    </w:p>
    <w:p>
      <w:pPr>
        <w:spacing w:after="160" w:line="276"/>
      </w:pPr>
      <w:r>
        <w:rPr>
          <w:sz w:val="22"/>
          <w:szCs w:val="22"/>
        </w:rPr>
        <w:t xml:space="preserve">Set the app's environment to point at the local Kong gateway instead of Supabase Cloud:</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1A1A1A"/>
                <w:sz w:val="19"/>
                <w:szCs w:val="19"/>
              </w:rPr>
              <w:t xml:space="preserve">NEXT_PUBLIC_SUPABASE_URL=https://lmis.yourdomain.local   (or the Kong endpoint, reverse-proxied through IIS)</w:t>
            </w:r>
          </w:p>
          <w:p>
            <w:pPr>
              <w:spacing w:after="20"/>
            </w:pPr>
            <w:r>
              <w:rPr>
                <w:rFonts w:ascii="Consolas" w:cs="Consolas" w:eastAsia="Consolas" w:hAnsi="Consolas"/>
                <w:color w:val="1A1A1A"/>
                <w:sz w:val="19"/>
                <w:szCs w:val="19"/>
              </w:rPr>
              <w:t xml:space="preserve">NEXT_PUBLIC_SUPABASE_PUBLISHABLE_KEY=&lt;local ANON_KEY from your Supabase .env&gt;</w:t>
            </w:r>
          </w:p>
          <w:p>
            <w:pPr>
              <w:spacing w:after="20"/>
            </w:pPr>
            <w:r>
              <w:rPr>
                <w:rFonts w:ascii="Consolas" w:cs="Consolas" w:eastAsia="Consolas" w:hAnsi="Consolas"/>
                <w:color w:val="1A1A1A"/>
                <w:sz w:val="19"/>
                <w:szCs w:val="19"/>
              </w:rPr>
              <w:t xml:space="preserve">SUPABASE_SERVICE_ROLE_KEY=&lt;local SERVICE_ROLE_KEY&gt;</w:t>
            </w:r>
          </w:p>
        </w:tc>
      </w:tr>
    </w:tbl>
    <w:tbl>
      <w:tblPr>
        <w:tblW w:type="pct" w:w="100%"/>
        <w:tblBorders>
          <w:top w:val="none" w:color="FFFFFF" w:sz="0"/>
          <w:left w:val="single" w:color="2E74B5" w:sz="24"/>
          <w:bottom w:val="none" w:color="FFFFFF" w:sz="0"/>
          <w:right w:val="none" w:color="FFFFFF" w:sz="0"/>
          <w:insideH w:val="none" w:color="FFFFFF" w:sz="0"/>
          <w:insideV w:val="none" w:color="FFFFFF" w:sz="0"/>
        </w:tblBorders>
      </w:tblPr>
      <w:tblGrid>
        <w:gridCol w:w="100"/>
      </w:tblGrid>
      <w:tr>
        <w:tc>
          <w:tcPr>
            <w:shd w:fill="EAF1F8" w:color="auto" w:val="clear"/>
            <w:tcMar>
              <w:top w:type="dxa" w:w="120"/>
              <w:left w:type="dxa" w:w="200"/>
              <w:bottom w:type="dxa" w:w="120"/>
              <w:right w:type="dxa" w:w="200"/>
            </w:tcMar>
          </w:tcPr>
          <w:p>
            <w:r>
              <w:rPr>
                <w:b/>
                <w:bCs/>
                <w:color w:val="1F3864"/>
                <w:sz w:val="21"/>
                <w:szCs w:val="21"/>
              </w:rPr>
              <w:t xml:space="preserve">Note: </w:t>
            </w:r>
            <w:r>
              <w:rPr>
                <w:color w:val="1A1A1A"/>
                <w:sz w:val="21"/>
                <w:szCs w:val="21"/>
              </w:rPr>
              <w:t xml:space="preserve">The browser calls NEXT_PUBLIC_SUPABASE_URL directly, so that hostname must be reachable from every workstation on the network — either by adding an IIS site that reverse-proxies to Kong on port 8000, or via internal DNS pointing straight at the Docker host. Plan this the same way you plan the app's own hostname.</w:t>
            </w:r>
          </w:p>
        </w:tc>
      </w:tr>
    </w:tbl>
    <w:p>
      <w:pPr>
        <w:pStyle w:val="Heading1"/>
        <w:pBdr>
          <w:bottom w:val="single" w:color="1F3864" w:sz="8" w:space="4"/>
        </w:pBdr>
        <w:spacing w:after="200" w:before="400"/>
      </w:pPr>
      <w:r>
        <w:rPr>
          <w:b/>
          <w:bCs/>
          <w:color w:val="1F3864"/>
          <w:sz w:val="30"/>
          <w:szCs w:val="30"/>
        </w:rPr>
        <w:t xml:space="preserve">Part C — HTTPS / TLS</w:t>
      </w:r>
    </w:p>
    <w:p>
      <w:pPr>
        <w:pStyle w:val="ListParagraph"/>
        <w:numPr>
          <w:ilvl w:val="0"/>
          <w:numId w:val="2"/>
        </w:numPr>
        <w:spacing w:after="100"/>
      </w:pPr>
      <w:r>
        <w:rPr>
          <w:sz w:val="22"/>
          <w:szCs w:val="22"/>
        </w:rPr>
        <w:t xml:space="preserve">Internal-only deployment: issue a certificate from an internal/enterprise CA (or a self-signed cert distributed to client machines' trusted root store) and bind it in IIS.</w:t>
      </w:r>
    </w:p>
    <w:p>
      <w:pPr>
        <w:pStyle w:val="ListParagraph"/>
        <w:numPr>
          <w:ilvl w:val="0"/>
          <w:numId w:val="2"/>
        </w:numPr>
        <w:spacing w:after="100"/>
      </w:pPr>
      <w:r>
        <w:rPr>
          <w:sz w:val="22"/>
          <w:szCs w:val="22"/>
        </w:rPr>
        <w:t xml:space="preserve">Internet-reachable deployment: use win-acme (a Windows-native ACME client) to obtain and auto-renew a free Let's Encrypt certificate, bound to the IIS site.</w:t>
      </w:r>
    </w:p>
    <w:p>
      <w:pPr>
        <w:pStyle w:val="ListParagraph"/>
        <w:numPr>
          <w:ilvl w:val="0"/>
          <w:numId w:val="2"/>
        </w:numPr>
        <w:spacing w:after="100"/>
      </w:pPr>
      <w:r>
        <w:rPr>
          <w:sz w:val="22"/>
          <w:szCs w:val="22"/>
        </w:rPr>
        <w:t xml:space="preserve">Terminate TLS at IIS for both the app site and the Supabase/Kong site — traffic from IIS to localhost Node/Docker can stay plain HTTP since it never leaves the machine.</w:t>
      </w:r>
    </w:p>
    <w:p>
      <w:pPr>
        <w:pStyle w:val="Heading1"/>
        <w:pBdr>
          <w:bottom w:val="single" w:color="1F3864" w:sz="8" w:space="4"/>
        </w:pBdr>
        <w:spacing w:after="200" w:before="400"/>
      </w:pPr>
      <w:r>
        <w:rPr>
          <w:b/>
          <w:bCs/>
          <w:color w:val="1F3864"/>
          <w:sz w:val="30"/>
          <w:szCs w:val="30"/>
        </w:rPr>
        <w:t xml:space="preserve">Part D — Weekly Backup Strategy</w:t>
      </w:r>
    </w:p>
    <w:p>
      <w:pPr>
        <w:spacing w:after="160" w:line="276"/>
      </w:pPr>
      <w:r>
        <w:rPr>
          <w:sz w:val="22"/>
          <w:szCs w:val="22"/>
        </w:rPr>
        <w:t xml:space="preserve">Two things need backing up: the PostgreSQL database, and the Storage volume (tenant logos/branding files). Neither the Supabase CLI stack nor Supabase self-hosting includes automatic backups by default — this has to be built.</w:t>
      </w:r>
    </w:p>
    <w:p>
      <w:pPr>
        <w:pStyle w:val="Heading2"/>
        <w:spacing w:after="140" w:before="300"/>
      </w:pPr>
      <w:r>
        <w:rPr>
          <w:b/>
          <w:bCs/>
          <w:color w:val="2E74B5"/>
          <w:sz w:val="25"/>
          <w:szCs w:val="25"/>
        </w:rPr>
        <w:t xml:space="preserve">D.1 Database — weekly pg_dump via Task Scheduler</w:t>
      </w:r>
    </w:p>
    <w:p>
      <w:pPr>
        <w:spacing w:after="160" w:line="276"/>
      </w:pPr>
      <w:r>
        <w:rPr>
          <w:sz w:val="22"/>
          <w:szCs w:val="22"/>
        </w:rPr>
        <w:t xml:space="preserve">PowerShell script (save as e.g. C:\Backups\edoslmis\backup.ps1):</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1A1A1A"/>
                <w:sz w:val="19"/>
                <w:szCs w:val="19"/>
              </w:rPr>
              <w:t xml:space="preserve">$ErrorActionPreference = "Stop"</w:t>
            </w:r>
          </w:p>
          <w:p>
            <w:pPr>
              <w:spacing w:after="20"/>
            </w:pPr>
            <w:r>
              <w:rPr>
                <w:rFonts w:ascii="Consolas" w:cs="Consolas" w:eastAsia="Consolas" w:hAnsi="Consolas"/>
                <w:color w:val="1A1A1A"/>
                <w:sz w:val="19"/>
                <w:szCs w:val="19"/>
              </w:rPr>
              <w:t xml:space="preserve">$stamp = Get-Date -Format "yyyy-MM-dd"</w:t>
            </w:r>
          </w:p>
          <w:p>
            <w:pPr>
              <w:spacing w:after="20"/>
            </w:pPr>
            <w:r>
              <w:rPr>
                <w:rFonts w:ascii="Consolas" w:cs="Consolas" w:eastAsia="Consolas" w:hAnsi="Consolas"/>
                <w:color w:val="1A1A1A"/>
                <w:sz w:val="19"/>
                <w:szCs w:val="19"/>
              </w:rPr>
              <w:t xml:space="preserve">$dest  = "D:\edoslmis-backups\db"</w:t>
            </w:r>
          </w:p>
          <w:p>
            <w:pPr>
              <w:spacing w:after="20"/>
            </w:pPr>
            <w:r>
              <w:rPr>
                <w:rFonts w:ascii="Consolas" w:cs="Consolas" w:eastAsia="Consolas" w:hAnsi="Consolas"/>
                <w:color w:val="1A1A1A"/>
                <w:sz w:val="19"/>
                <w:szCs w:val="19"/>
              </w:rPr>
              <w:t xml:space="preserve">$env:PGPASSWORD = (Get-Content "C:\Backups\edoslmis\pgpass.secret")</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New-Item -ItemType Directory -Force -Path $dest | Out-Null</w:t>
            </w:r>
          </w:p>
          <w:p>
            <w:pPr>
              <w:spacing w:after="20"/>
            </w:pPr>
            <w:r>
              <w:rPr>
                <w:rFonts w:ascii="Consolas" w:cs="Consolas" w:eastAsia="Consolas" w:hAnsi="Consolas"/>
                <w:color w:val="1A1A1A"/>
                <w:sz w:val="19"/>
                <w:szCs w:val="19"/>
              </w:rPr>
              <w:t xml:space="preserve">&amp; "C:\Program Files\PostgreSQL\bin\pg_dump.exe" `</w:t>
            </w:r>
          </w:p>
          <w:p>
            <w:pPr>
              <w:spacing w:after="20"/>
            </w:pPr>
            <w:r>
              <w:rPr>
                <w:rFonts w:ascii="Consolas" w:cs="Consolas" w:eastAsia="Consolas" w:hAnsi="Consolas"/>
                <w:color w:val="1A1A1A"/>
                <w:sz w:val="19"/>
                <w:szCs w:val="19"/>
              </w:rPr>
              <w:t xml:space="preserve">  --host=localhost --port=5432 --username=postgres `</w:t>
            </w:r>
          </w:p>
          <w:p>
            <w:pPr>
              <w:spacing w:after="20"/>
            </w:pPr>
            <w:r>
              <w:rPr>
                <w:rFonts w:ascii="Consolas" w:cs="Consolas" w:eastAsia="Consolas" w:hAnsi="Consolas"/>
                <w:color w:val="1A1A1A"/>
                <w:sz w:val="19"/>
                <w:szCs w:val="19"/>
              </w:rPr>
              <w:t xml:space="preserve">  --format=custom --file="$dest\edoslmis_$stamp.dump" postgres</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retention: keep the last 8 weekly dumps</w:t>
            </w:r>
          </w:p>
          <w:p>
            <w:pPr>
              <w:spacing w:after="20"/>
            </w:pPr>
            <w:r>
              <w:rPr>
                <w:rFonts w:ascii="Consolas" w:cs="Consolas" w:eastAsia="Consolas" w:hAnsi="Consolas"/>
                <w:color w:val="1A1A1A"/>
                <w:sz w:val="19"/>
                <w:szCs w:val="19"/>
              </w:rPr>
              <w:t xml:space="preserve">Get-ChildItem $dest -Filter "edoslmis_*.dump" | Sort-Object CreationTime -Descending |</w:t>
            </w:r>
          </w:p>
          <w:p>
            <w:pPr>
              <w:spacing w:after="20"/>
            </w:pPr>
            <w:r>
              <w:rPr>
                <w:rFonts w:ascii="Consolas" w:cs="Consolas" w:eastAsia="Consolas" w:hAnsi="Consolas"/>
                <w:color w:val="1A1A1A"/>
                <w:sz w:val="19"/>
                <w:szCs w:val="19"/>
              </w:rPr>
              <w:t xml:space="preserve">  Select-Object -Skip 8 | Remove-Item -Force</w:t>
            </w:r>
          </w:p>
        </w:tc>
      </w:tr>
    </w:tbl>
    <w:p>
      <w:pPr>
        <w:pStyle w:val="ListParagraph"/>
        <w:numPr>
          <w:ilvl w:val="0"/>
          <w:numId w:val="7"/>
        </w:numPr>
        <w:spacing w:after="100"/>
      </w:pPr>
      <w:r>
        <w:rPr>
          <w:sz w:val="22"/>
          <w:szCs w:val="22"/>
        </w:rPr>
        <w:t xml:space="preserve">Register the script in Windows Task Scheduler: Trigger = Weekly, e.g. every Sunday 02:00; Action = powershell.exe -File C:\Backups\edoslmis\backup.ps1; run as a dedicated low-privilege service account, not a personal admin login.</w:t>
      </w:r>
    </w:p>
    <w:p>
      <w:pPr>
        <w:pStyle w:val="ListParagraph"/>
        <w:numPr>
          <w:ilvl w:val="0"/>
          <w:numId w:val="7"/>
        </w:numPr>
        <w:spacing w:after="100"/>
      </w:pPr>
      <w:r>
        <w:rPr>
          <w:sz w:val="22"/>
          <w:szCs w:val="22"/>
        </w:rPr>
        <w:t xml:space="preserve">Store the Postgres password in a restricted-ACL file (or Windows Credential Manager), never inline in the script or in a world-readable location.</w:t>
      </w:r>
    </w:p>
    <w:p>
      <w:pPr>
        <w:pStyle w:val="ListParagraph"/>
        <w:numPr>
          <w:ilvl w:val="0"/>
          <w:numId w:val="7"/>
        </w:numPr>
        <w:spacing w:after="100"/>
      </w:pPr>
      <w:r>
        <w:rPr>
          <w:sz w:val="22"/>
          <w:szCs w:val="22"/>
        </w:rPr>
        <w:t xml:space="preserve">Copy the dump folder (D:\edoslmis-backups) off the machine weekly too — a second internal drive, a network share, or a cloud storage sync (OneDrive/S3/Azure Blob). A backup that lives only on the server it protects is not a real backup.</w:t>
      </w:r>
    </w:p>
    <w:p>
      <w:pPr>
        <w:pStyle w:val="Heading2"/>
        <w:spacing w:after="140" w:before="300"/>
      </w:pPr>
      <w:r>
        <w:rPr>
          <w:b/>
          <w:bCs/>
          <w:color w:val="2E74B5"/>
          <w:sz w:val="25"/>
          <w:szCs w:val="25"/>
        </w:rPr>
        <w:t xml:space="preserve">D.2 Storage volume</w:t>
      </w:r>
    </w:p>
    <w:p>
      <w:pPr>
        <w:spacing w:after="160" w:line="276"/>
      </w:pPr>
      <w:r>
        <w:rPr>
          <w:sz w:val="22"/>
          <w:szCs w:val="22"/>
        </w:rPr>
        <w:t xml:space="preserve">Include the Docker volume backing the Supabase Storage service (tenant logo/branding uploads) in the same weekly job — a scheduled docker run --rm -v &lt;volume&gt;:/data -v D:\edoslmis-backups\storage:/backup alpine tar czf /backup/storage_$stamp.tar.gz /data, or an equivalent robocopy if the volume is bind-mounted to a Windows path.</w:t>
      </w:r>
    </w:p>
    <w:p>
      <w:pPr>
        <w:pStyle w:val="Heading2"/>
        <w:spacing w:after="140" w:before="300"/>
      </w:pPr>
      <w:r>
        <w:rPr>
          <w:b/>
          <w:bCs/>
          <w:color w:val="2E74B5"/>
          <w:sz w:val="25"/>
          <w:szCs w:val="25"/>
        </w:rPr>
        <w:t xml:space="preserve">D.3 Test restores</w:t>
      </w:r>
    </w:p>
    <w:p>
      <w:pPr>
        <w:spacing w:after="160" w:line="276"/>
      </w:pPr>
      <w:r>
        <w:rPr>
          <w:b/>
          <w:bCs/>
          <w:sz w:val="22"/>
          <w:szCs w:val="22"/>
        </w:rPr>
        <w:t xml:space="preserve">A backup that has never been restored is a hope, not a backup. </w:t>
      </w:r>
      <w:r>
        <w:rPr>
          <w:sz w:val="22"/>
          <w:szCs w:val="22"/>
        </w:rPr>
        <w:t xml:space="preserve">Quarterly, restore the latest dump into a scratch database and confirm the app can read from it. Document the restore command (pg_restore --clean --if-exists -d &lt;target&gt; &lt;dump file&gt;) alongside the backup script so anyone on the team can run it under pressure.</w:t>
      </w:r>
    </w:p>
    <w:p>
      <w:pPr>
        <w:pStyle w:val="Heading1"/>
        <w:pBdr>
          <w:bottom w:val="single" w:color="1F3864" w:sz="8" w:space="4"/>
        </w:pBdr>
        <w:spacing w:after="200" w:before="400"/>
      </w:pPr>
      <w:r>
        <w:rPr>
          <w:b/>
          <w:bCs/>
          <w:color w:val="1F3864"/>
          <w:sz w:val="30"/>
          <w:szCs w:val="30"/>
        </w:rPr>
        <w:t xml:space="preserve">Part E — Security Hardening Checklist</w:t>
      </w:r>
    </w:p>
    <w:p>
      <w:pPr>
        <w:pStyle w:val="ListParagraph"/>
        <w:numPr>
          <w:ilvl w:val="0"/>
          <w:numId w:val="2"/>
        </w:numPr>
        <w:spacing w:after="100"/>
      </w:pPr>
      <w:r>
        <w:rPr>
          <w:sz w:val="22"/>
          <w:szCs w:val="22"/>
        </w:rPr>
        <w:t xml:space="preserve">Firewall: expose only 443 (and 80 for redirect) to the network/internet; keep Postgres (5432), Kong (8000), and Docker-internal ports reachable only from localhost/the app server.</w:t>
      </w:r>
    </w:p>
    <w:p>
      <w:pPr>
        <w:pStyle w:val="ListParagraph"/>
        <w:numPr>
          <w:ilvl w:val="0"/>
          <w:numId w:val="2"/>
        </w:numPr>
        <w:spacing w:after="100"/>
      </w:pPr>
      <w:r>
        <w:rPr>
          <w:sz w:val="22"/>
          <w:szCs w:val="22"/>
        </w:rPr>
        <w:t xml:space="preserve">Run the Node process and backup scripts under a dedicated service account with least-privilege file and network access — not a shared admin login.</w:t>
      </w:r>
    </w:p>
    <w:p>
      <w:pPr>
        <w:pStyle w:val="ListParagraph"/>
        <w:numPr>
          <w:ilvl w:val="0"/>
          <w:numId w:val="2"/>
        </w:numPr>
        <w:spacing w:after="100"/>
      </w:pPr>
      <w:r>
        <w:rPr>
          <w:sz w:val="22"/>
          <w:szCs w:val="22"/>
        </w:rPr>
        <w:t xml:space="preserve">Move secrets (.env.local, Postgres password, Supabase JWT/ANON/SERVICE_ROLE keys) out of plaintext files where possible — Windows Credential Manager, DPAPI-protected files, or a secrets vault; restrict NTFS permissions on whatever remains on disk.</w:t>
      </w:r>
    </w:p>
    <w:p>
      <w:pPr>
        <w:pStyle w:val="ListParagraph"/>
        <w:numPr>
          <w:ilvl w:val="0"/>
          <w:numId w:val="2"/>
        </w:numPr>
        <w:spacing w:after="100"/>
      </w:pPr>
      <w:r>
        <w:rPr>
          <w:sz w:val="22"/>
          <w:szCs w:val="22"/>
        </w:rPr>
        <w:t xml:space="preserve">Keep the RLS policies as the real authorization boundary — the service-role key bypasses RLS entirely and must stay server-only (already the case in lib/supabase/admin.ts) and never be exposed to the browser.</w:t>
      </w:r>
    </w:p>
    <w:p>
      <w:pPr>
        <w:pStyle w:val="ListParagraph"/>
        <w:numPr>
          <w:ilvl w:val="0"/>
          <w:numId w:val="2"/>
        </w:numPr>
        <w:spacing w:after="100"/>
      </w:pPr>
      <w:r>
        <w:rPr>
          <w:sz w:val="22"/>
          <w:szCs w:val="22"/>
        </w:rPr>
        <w:t xml:space="preserve">Patch cadence: apply Windows updates and the Supabase Docker images' security updates on a regular, tested schedule — not automatically on a production box without a rollback plan.</w:t>
      </w:r>
    </w:p>
    <w:p>
      <w:pPr>
        <w:pStyle w:val="ListParagraph"/>
        <w:numPr>
          <w:ilvl w:val="0"/>
          <w:numId w:val="2"/>
        </w:numPr>
        <w:spacing w:after="100"/>
      </w:pPr>
      <w:r>
        <w:rPr>
          <w:sz w:val="22"/>
          <w:szCs w:val="22"/>
        </w:rPr>
        <w:t xml:space="preserve">Because this is a healthcare-adjacent lab system handling patient and specimen data, confirm what data-protection regime applies in your jurisdiction (e.g. health data handling, retention, and breach-notification rules) and align backup encryption/retention with it.</w:t>
      </w:r>
    </w:p>
    <w:p>
      <w:pPr>
        <w:pStyle w:val="Heading1"/>
        <w:pBdr>
          <w:bottom w:val="single" w:color="1F3864" w:sz="8" w:space="4"/>
        </w:pBdr>
        <w:spacing w:after="200" w:before="400"/>
      </w:pPr>
      <w:r>
        <w:rPr>
          <w:b/>
          <w:bCs/>
          <w:color w:val="1F3864"/>
          <w:sz w:val="30"/>
          <w:szCs w:val="30"/>
        </w:rPr>
        <w:t xml:space="preserve">Part F — Monitoring &amp; Maintenance</w:t>
      </w:r>
    </w:p>
    <w:p>
      <w:pPr>
        <w:pStyle w:val="ListParagraph"/>
        <w:numPr>
          <w:ilvl w:val="0"/>
          <w:numId w:val="2"/>
        </w:numPr>
        <w:spacing w:after="100"/>
      </w:pPr>
      <w:r>
        <w:rPr>
          <w:sz w:val="22"/>
          <w:szCs w:val="22"/>
        </w:rPr>
        <w:t xml:space="preserve">Container health: docker compose ps / a scheduled healthcheck script; alert (email via the existing Resend integration, or a simple scheduled task) if a container is down.</w:t>
      </w:r>
    </w:p>
    <w:p>
      <w:pPr>
        <w:pStyle w:val="ListParagraph"/>
        <w:numPr>
          <w:ilvl w:val="0"/>
          <w:numId w:val="2"/>
        </w:numPr>
        <w:spacing w:after="100"/>
      </w:pPr>
      <w:r>
        <w:rPr>
          <w:sz w:val="22"/>
          <w:szCs w:val="22"/>
        </w:rPr>
        <w:t xml:space="preserve">Disk space alerts on the backup and Docker volume drives — Postgres dumps and Storage backups grow every week.</w:t>
      </w:r>
    </w:p>
    <w:p>
      <w:pPr>
        <w:pStyle w:val="ListParagraph"/>
        <w:numPr>
          <w:ilvl w:val="0"/>
          <w:numId w:val="2"/>
        </w:numPr>
        <w:spacing w:after="100"/>
      </w:pPr>
      <w:r>
        <w:rPr>
          <w:sz w:val="22"/>
          <w:szCs w:val="22"/>
        </w:rPr>
        <w:t xml:space="preserve">Log rotation for both IIS logs and the Node process's stdout/stderr (PM2 has built-in log rotation; NSSM needs an external log rotator).</w:t>
      </w:r>
    </w:p>
    <w:p>
      <w:pPr>
        <w:pStyle w:val="ListParagraph"/>
        <w:numPr>
          <w:ilvl w:val="0"/>
          <w:numId w:val="2"/>
        </w:numPr>
        <w:spacing w:after="100"/>
      </w:pPr>
      <w:r>
        <w:rPr>
          <w:sz w:val="22"/>
          <w:szCs w:val="22"/>
        </w:rPr>
        <w:t xml:space="preserve">Keep a simple runbook: how to restart the app (PM2/NSSM commands), how to restart the Supabase stack (docker compose restart), and who to call if either won't come back up.</w:t>
      </w:r>
    </w:p>
    <w:p>
      <w:pPr>
        <w:pStyle w:val="Heading1"/>
        <w:pBdr>
          <w:bottom w:val="single" w:color="1F3864" w:sz="8" w:space="4"/>
        </w:pBdr>
        <w:spacing w:after="200" w:before="400"/>
      </w:pPr>
      <w:r>
        <w:rPr>
          <w:b/>
          <w:bCs/>
          <w:color w:val="1F3864"/>
          <w:sz w:val="30"/>
          <w:szCs w:val="30"/>
        </w:rPr>
        <w:t xml:space="preserve">Part G — Deploying Updates &amp; Ongoing Releases</w:t>
      </w:r>
    </w:p>
    <w:p>
      <w:pPr>
        <w:spacing w:after="160" w:line="276"/>
      </w:pPr>
      <w:r>
        <w:rPr>
          <w:sz w:val="22"/>
          <w:szCs w:val="22"/>
        </w:rPr>
        <w:t xml:space="preserve">There is no CI/CD pipeline in the project today, and the client runs everything on their own Windows box — so updates need a repeatable, documented process rather than an ad-hoc RDP session. This section sets that process up.</w:t>
      </w:r>
    </w:p>
    <w:p>
      <w:pPr>
        <w:pStyle w:val="Heading2"/>
        <w:spacing w:after="140" w:before="300"/>
      </w:pPr>
      <w:r>
        <w:rPr>
          <w:b/>
          <w:bCs/>
          <w:color w:val="2E74B5"/>
          <w:sz w:val="25"/>
          <w:szCs w:val="25"/>
        </w:rPr>
        <w:t xml:space="preserve">G.1 Ship changes through git, not file copies</w:t>
      </w:r>
    </w:p>
    <w:p>
      <w:pPr>
        <w:pStyle w:val="ListParagraph"/>
        <w:numPr>
          <w:ilvl w:val="0"/>
          <w:numId w:val="2"/>
        </w:numPr>
        <w:spacing w:after="100"/>
      </w:pPr>
      <w:r>
        <w:rPr>
          <w:sz w:val="22"/>
          <w:szCs w:val="22"/>
        </w:rPr>
        <w:t xml:space="preserve">Keep the project in a git repository (GitHub/GitLab/etc.) as the single source of truth.</w:t>
      </w:r>
    </w:p>
    <w:p>
      <w:pPr>
        <w:pStyle w:val="ListParagraph"/>
        <w:numPr>
          <w:ilvl w:val="0"/>
          <w:numId w:val="2"/>
        </w:numPr>
        <w:spacing w:after="100"/>
      </w:pPr>
      <w:r>
        <w:rPr>
          <w:sz w:val="22"/>
          <w:szCs w:val="22"/>
        </w:rPr>
        <w:t xml:space="preserve">Tag every release (e.g. v1.4.0) so both your team and the client always know exactly what build is running in production.</w:t>
      </w:r>
    </w:p>
    <w:p>
      <w:pPr>
        <w:pStyle w:val="ListParagraph"/>
        <w:numPr>
          <w:ilvl w:val="0"/>
          <w:numId w:val="2"/>
        </w:numPr>
        <w:spacing w:after="100"/>
      </w:pPr>
      <w:r>
        <w:rPr>
          <w:sz w:val="22"/>
          <w:szCs w:val="22"/>
        </w:rPr>
        <w:t xml:space="preserve">Never hand-edit files directly on the client's server — every change starts as a commit and reaches production only through the deploy process below.</w:t>
      </w:r>
    </w:p>
    <w:p>
      <w:pPr>
        <w:pStyle w:val="Heading2"/>
        <w:spacing w:after="140" w:before="300"/>
      </w:pPr>
      <w:r>
        <w:rPr>
          <w:b/>
          <w:bCs/>
          <w:color w:val="2E74B5"/>
          <w:sz w:val="25"/>
          <w:szCs w:val="25"/>
        </w:rPr>
        <w:t xml:space="preserve">G.2 Getting the code onto the client's server</w:t>
      </w:r>
    </w:p>
    <w:p>
      <w:pPr>
        <w:pStyle w:val="Heading3"/>
        <w:spacing w:after="100" w:before="220"/>
      </w:pPr>
      <w:r>
        <w:rPr>
          <w:b/>
          <w:bCs/>
          <w:color w:val="333333"/>
          <w:sz w:val="22"/>
          <w:szCs w:val="22"/>
        </w:rPr>
        <w:t xml:space="preserve">Option 1 — Self-hosted CI/CD runner (recommended once updates become routine)</w:t>
      </w:r>
    </w:p>
    <w:p>
      <w:pPr>
        <w:pStyle w:val="ListParagraph"/>
        <w:numPr>
          <w:ilvl w:val="0"/>
          <w:numId w:val="2"/>
        </w:numPr>
        <w:spacing w:after="100"/>
      </w:pPr>
      <w:r>
        <w:rPr>
          <w:sz w:val="22"/>
          <w:szCs w:val="22"/>
        </w:rPr>
        <w:t xml:space="preserve">Install a GitHub Actions self-hosted runner (or GitLab Runner) as a Windows service on the client's server, or on a jump box on their network.</w:t>
      </w:r>
    </w:p>
    <w:p>
      <w:pPr>
        <w:pStyle w:val="ListParagraph"/>
        <w:numPr>
          <w:ilvl w:val="0"/>
          <w:numId w:val="2"/>
        </w:numPr>
        <w:spacing w:after="100"/>
      </w:pPr>
      <w:r>
        <w:rPr>
          <w:sz w:val="22"/>
          <w:szCs w:val="22"/>
        </w:rPr>
        <w:t xml:space="preserve">The runner only makes outbound connections to your git host to fetch jobs — no inbound port needs to be opened into the client's network, which is usually the sticking point when a client is protective of their infrastructure.</w:t>
      </w:r>
    </w:p>
    <w:p>
      <w:pPr>
        <w:pStyle w:val="ListParagraph"/>
        <w:numPr>
          <w:ilvl w:val="0"/>
          <w:numId w:val="2"/>
        </w:numPr>
        <w:spacing w:after="100"/>
      </w:pPr>
      <w:r>
        <w:rPr>
          <w:sz w:val="22"/>
          <w:szCs w:val="22"/>
        </w:rPr>
        <w:t xml:space="preserve">On push of a release tag, the runner pulls the code, builds it, and runs the deploy script in G.3 automatically.</w:t>
      </w:r>
    </w:p>
    <w:p>
      <w:pPr>
        <w:pStyle w:val="Heading3"/>
        <w:spacing w:after="100" w:before="220"/>
      </w:pPr>
      <w:r>
        <w:rPr>
          <w:b/>
          <w:bCs/>
          <w:color w:val="333333"/>
          <w:sz w:val="22"/>
          <w:szCs w:val="22"/>
        </w:rPr>
        <w:t xml:space="preserve">Option 2 — Manual/remote deploy (fine for a single site with infrequent updates)</w:t>
      </w:r>
    </w:p>
    <w:p>
      <w:pPr>
        <w:pStyle w:val="ListParagraph"/>
        <w:numPr>
          <w:ilvl w:val="0"/>
          <w:numId w:val="2"/>
        </w:numPr>
        <w:spacing w:after="100"/>
      </w:pPr>
      <w:r>
        <w:rPr>
          <w:sz w:val="22"/>
          <w:szCs w:val="22"/>
        </w:rPr>
        <w:t xml:space="preserve">Connect via VPN or RDP into the client's network and run the same deploy script by hand from a PowerShell session.</w:t>
      </w:r>
    </w:p>
    <w:p>
      <w:pPr>
        <w:pStyle w:val="Heading2"/>
        <w:spacing w:after="140" w:before="300"/>
      </w:pPr>
      <w:r>
        <w:rPr>
          <w:b/>
          <w:bCs/>
          <w:color w:val="2E74B5"/>
          <w:sz w:val="25"/>
          <w:szCs w:val="25"/>
        </w:rPr>
        <w:t xml:space="preserve">G.3 Deploy with dated release folders (zero downtime, instant rollback)</w:t>
      </w:r>
    </w:p>
    <w:p>
      <w:pPr>
        <w:spacing w:after="160" w:line="276"/>
      </w:pPr>
      <w:r>
        <w:rPr>
          <w:sz w:val="22"/>
          <w:szCs w:val="22"/>
        </w:rPr>
        <w:t xml:space="preserve">Avoid overwriting the running build in place. Keep each release in its own dated folder and switch a pointer between them:</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color="auto" w:val="clear"/>
            <w:tcMar>
              <w:top w:type="dxa" w:w="120"/>
              <w:left w:type="dxa" w:w="160"/>
              <w:bottom w:type="dxa" w:w="120"/>
              <w:right w:type="dxa" w:w="160"/>
            </w:tcMar>
          </w:tcPr>
          <w:p>
            <w:pPr>
              <w:spacing w:after="20"/>
            </w:pPr>
            <w:r>
              <w:rPr>
                <w:rFonts w:ascii="Consolas" w:cs="Consolas" w:eastAsia="Consolas" w:hAnsi="Consolas"/>
                <w:color w:val="1A1A1A"/>
                <w:sz w:val="19"/>
                <w:szCs w:val="19"/>
              </w:rPr>
              <w:t xml:space="preserve">C:\inetpub\edos-lmis\releases\2026-07-14\</w:t>
            </w:r>
          </w:p>
          <w:p>
            <w:pPr>
              <w:spacing w:after="20"/>
            </w:pPr>
            <w:r>
              <w:rPr>
                <w:rFonts w:ascii="Consolas" w:cs="Consolas" w:eastAsia="Consolas" w:hAnsi="Consolas"/>
                <w:color w:val="1A1A1A"/>
                <w:sz w:val="19"/>
                <w:szCs w:val="19"/>
              </w:rPr>
              <w:t xml:space="preserve">C:\inetpub\edos-lmis\releases\2026-07-21\</w:t>
            </w:r>
          </w:p>
          <w:p>
            <w:pPr>
              <w:spacing w:after="20"/>
            </w:pPr>
            <w:r>
              <w:rPr>
                <w:rFonts w:ascii="Consolas" w:cs="Consolas" w:eastAsia="Consolas" w:hAnsi="Consolas"/>
                <w:color w:val="1A1A1A"/>
                <w:sz w:val="19"/>
                <w:szCs w:val="19"/>
              </w:rPr>
              <w:t xml:space="preserve">C:\inetpub\edos-lmis\current   &lt;- junction/symlink pointed at the live release</w:t>
            </w:r>
          </w:p>
        </w:tc>
      </w:tr>
    </w:tbl>
    <w:p>
      <w:pPr>
        <w:pStyle w:val="ListParagraph"/>
        <w:numPr>
          <w:ilvl w:val="0"/>
          <w:numId w:val="8"/>
        </w:numPr>
        <w:spacing w:after="100"/>
      </w:pPr>
      <w:r>
        <w:rPr>
          <w:sz w:val="22"/>
          <w:szCs w:val="22"/>
        </w:rPr>
        <w:t xml:space="preserve">Check out the new release tag into a fresh dated folder under releases\.</w:t>
      </w:r>
    </w:p>
    <w:p>
      <w:pPr>
        <w:pStyle w:val="ListParagraph"/>
        <w:numPr>
          <w:ilvl w:val="0"/>
          <w:numId w:val="8"/>
        </w:numPr>
        <w:spacing w:after="100"/>
      </w:pPr>
      <w:r>
        <w:rPr>
          <w:sz w:val="22"/>
          <w:szCs w:val="22"/>
        </w:rPr>
        <w:t xml:space="preserve">Run npm install and npm run build inside that new folder.</w:t>
      </w:r>
    </w:p>
    <w:p>
      <w:pPr>
        <w:pStyle w:val="ListParagraph"/>
        <w:numPr>
          <w:ilvl w:val="0"/>
          <w:numId w:val="8"/>
        </w:numPr>
        <w:spacing w:after="100"/>
      </w:pPr>
      <w:r>
        <w:rPr>
          <w:sz w:val="22"/>
          <w:szCs w:val="22"/>
        </w:rPr>
        <w:t xml:space="preserve">Stop the PM2/NSSM-managed Node process.</w:t>
      </w:r>
    </w:p>
    <w:p>
      <w:pPr>
        <w:pStyle w:val="ListParagraph"/>
        <w:numPr>
          <w:ilvl w:val="0"/>
          <w:numId w:val="8"/>
        </w:numPr>
        <w:spacing w:after="100"/>
      </w:pPr>
      <w:r>
        <w:rPr>
          <w:sz w:val="22"/>
          <w:szCs w:val="22"/>
        </w:rPr>
        <w:t xml:space="preserve">Re-point the current junction (mklink /J) at the new release folder.</w:t>
      </w:r>
    </w:p>
    <w:p>
      <w:pPr>
        <w:pStyle w:val="ListParagraph"/>
        <w:numPr>
          <w:ilvl w:val="0"/>
          <w:numId w:val="8"/>
        </w:numPr>
        <w:spacing w:after="100"/>
      </w:pPr>
      <w:r>
        <w:rPr>
          <w:sz w:val="22"/>
          <w:szCs w:val="22"/>
        </w:rPr>
        <w:t xml:space="preserve">Start PM2/NSSM again — it always runs against C:\inetpub\edos-lmis\current, so IIS never needs reconfiguring.</w:t>
      </w:r>
    </w:p>
    <w:p>
      <w:pPr>
        <w:pStyle w:val="ListParagraph"/>
        <w:numPr>
          <w:ilvl w:val="0"/>
          <w:numId w:val="8"/>
        </w:numPr>
        <w:spacing w:after="100"/>
      </w:pPr>
      <w:r>
        <w:rPr>
          <w:sz w:val="22"/>
          <w:szCs w:val="22"/>
        </w:rPr>
        <w:t xml:space="preserve">Keep the last 3–5 release folders. Rolling back is just re-pointing current at the previous folder and restarting the service — seconds, not a redeploy.</w:t>
      </w:r>
    </w:p>
    <w:p>
      <w:pPr>
        <w:pStyle w:val="Heading2"/>
        <w:spacing w:after="140" w:before="300"/>
      </w:pPr>
      <w:r>
        <w:rPr>
          <w:b/>
          <w:bCs/>
          <w:color w:val="2E74B5"/>
          <w:sz w:val="25"/>
          <w:szCs w:val="25"/>
        </w:rPr>
        <w:t xml:space="preserve">G.4 Database migrations travel with the release, not ahead of it</w:t>
      </w:r>
    </w:p>
    <w:p>
      <w:pPr>
        <w:pStyle w:val="ListParagraph"/>
        <w:numPr>
          <w:ilvl w:val="0"/>
          <w:numId w:val="2"/>
        </w:numPr>
        <w:spacing w:after="100"/>
      </w:pPr>
      <w:r>
        <w:rPr>
          <w:sz w:val="22"/>
          <w:szCs w:val="22"/>
        </w:rPr>
        <w:t xml:space="preserve">Any new SQL files added to supabase/migrations ship in the same release as the code that depends on them.</w:t>
      </w:r>
    </w:p>
    <w:p>
      <w:pPr>
        <w:pStyle w:val="ListParagraph"/>
        <w:numPr>
          <w:ilvl w:val="0"/>
          <w:numId w:val="2"/>
        </w:numPr>
        <w:spacing w:after="100"/>
      </w:pPr>
      <w:r>
        <w:rPr>
          <w:sz w:val="22"/>
          <w:szCs w:val="22"/>
        </w:rPr>
        <w:t xml:space="preserve">Before applying, take an on-demand pg_dump in addition to the weekly scheduled one — this on-demand dump is the actual rollback point if a migration goes wrong.</w:t>
      </w:r>
    </w:p>
    <w:p>
      <w:pPr>
        <w:pStyle w:val="ListParagraph"/>
        <w:numPr>
          <w:ilvl w:val="0"/>
          <w:numId w:val="2"/>
        </w:numPr>
        <w:spacing w:after="100"/>
      </w:pPr>
      <w:r>
        <w:rPr>
          <w:sz w:val="22"/>
          <w:szCs w:val="22"/>
        </w:rPr>
        <w:t xml:space="preserve">Apply only the new migration files, not the whole history — track which migrations have already run (a simple schema_migrations table, or the Supabase CLI's own tracking) so the deploy script knows what's new.</w:t>
      </w:r>
    </w:p>
    <w:p>
      <w:pPr>
        <w:pStyle w:val="ListParagraph"/>
        <w:numPr>
          <w:ilvl w:val="0"/>
          <w:numId w:val="2"/>
        </w:numPr>
        <w:spacing w:after="100"/>
      </w:pPr>
      <w:r>
        <w:rPr>
          <w:sz w:val="22"/>
          <w:szCs w:val="22"/>
        </w:rPr>
        <w:t xml:space="preserve">Test the exact migration-plus-app pairing against a staging copy of the client's data first if a staging environment exists (see the staging-environment gap in Section 7) — this is the single highest-value place for that environment to earn its keep.</w:t>
      </w:r>
    </w:p>
    <w:p>
      <w:pPr>
        <w:pStyle w:val="Heading2"/>
        <w:spacing w:after="140" w:before="300"/>
      </w:pPr>
      <w:r>
        <w:rPr>
          <w:b/>
          <w:bCs/>
          <w:color w:val="2E74B5"/>
          <w:sz w:val="25"/>
          <w:szCs w:val="25"/>
        </w:rPr>
        <w:t xml:space="preserve">G.5 Release checklist</w:t>
      </w:r>
    </w:p>
    <w:p>
      <w:pPr>
        <w:pStyle w:val="ListParagraph"/>
        <w:numPr>
          <w:ilvl w:val="0"/>
          <w:numId w:val="9"/>
        </w:numPr>
        <w:spacing w:after="100"/>
      </w:pPr>
      <w:r>
        <w:rPr>
          <w:sz w:val="22"/>
          <w:szCs w:val="22"/>
        </w:rPr>
        <w:t xml:space="preserve">Back up the database on demand (not just relying on the weekly schedule).</w:t>
      </w:r>
    </w:p>
    <w:p>
      <w:pPr>
        <w:pStyle w:val="ListParagraph"/>
        <w:numPr>
          <w:ilvl w:val="0"/>
          <w:numId w:val="9"/>
        </w:numPr>
        <w:spacing w:after="100"/>
      </w:pPr>
      <w:r>
        <w:rPr>
          <w:sz w:val="22"/>
          <w:szCs w:val="22"/>
        </w:rPr>
        <w:t xml:space="preserve">Deploy to staging first, if available, and sanity-check it there.</w:t>
      </w:r>
    </w:p>
    <w:p>
      <w:pPr>
        <w:pStyle w:val="ListParagraph"/>
        <w:numPr>
          <w:ilvl w:val="0"/>
          <w:numId w:val="9"/>
        </w:numPr>
        <w:spacing w:after="100"/>
      </w:pPr>
      <w:r>
        <w:rPr>
          <w:sz w:val="22"/>
          <w:szCs w:val="22"/>
        </w:rPr>
        <w:t xml:space="preserve">Run the deploy script (G.3) against production.</w:t>
      </w:r>
    </w:p>
    <w:p>
      <w:pPr>
        <w:pStyle w:val="ListParagraph"/>
        <w:numPr>
          <w:ilvl w:val="0"/>
          <w:numId w:val="9"/>
        </w:numPr>
        <w:spacing w:after="100"/>
      </w:pPr>
      <w:r>
        <w:rPr>
          <w:sz w:val="22"/>
          <w:szCs w:val="22"/>
        </w:rPr>
        <w:t xml:space="preserve">Smoke-test immediately: log in, open a patient/order/result screen, confirm the new build and data are correct.</w:t>
      </w:r>
    </w:p>
    <w:p>
      <w:pPr>
        <w:pStyle w:val="ListParagraph"/>
        <w:numPr>
          <w:ilvl w:val="0"/>
          <w:numId w:val="9"/>
        </w:numPr>
        <w:spacing w:after="100"/>
      </w:pPr>
      <w:r>
        <w:rPr>
          <w:sz w:val="22"/>
          <w:szCs w:val="22"/>
        </w:rPr>
        <w:t xml:space="preserve">If anything looks wrong, roll back via G.3 right away rather than trying to hotfix in place.</w:t>
      </w:r>
    </w:p>
    <w:p>
      <w:pPr>
        <w:pStyle w:val="Heading1"/>
        <w:pBdr>
          <w:bottom w:val="single" w:color="1F3864" w:sz="8" w:space="4"/>
        </w:pBdr>
        <w:spacing w:after="200" w:before="400"/>
      </w:pPr>
      <w:r>
        <w:rPr>
          <w:b/>
          <w:bCs/>
          <w:color w:val="1F3864"/>
          <w:sz w:val="30"/>
          <w:szCs w:val="30"/>
        </w:rPr>
        <w:t xml:space="preserve">5. Future Path to the Cloud</w:t>
      </w:r>
    </w:p>
    <w:p>
      <w:pPr>
        <w:spacing w:after="160" w:line="276"/>
      </w:pPr>
      <w:r>
        <w:rPr>
          <w:sz w:val="22"/>
          <w:szCs w:val="22"/>
        </w:rPr>
        <w:t xml:space="preserve">Because the local setup keeps the exact same Postgres schema and the exact same Supabase-shaped API (Auth + PostgREST + Storage), moving to the cloud later is a data-and-DNS migration, not a rewrite. Two realistic routes:</w:t>
      </w:r>
    </w:p>
    <w:p>
      <w:pPr>
        <w:pStyle w:val="Heading2"/>
        <w:spacing w:after="140" w:before="300"/>
      </w:pPr>
      <w:r>
        <w:rPr>
          <w:b/>
          <w:bCs/>
          <w:color w:val="2E74B5"/>
          <w:sz w:val="25"/>
          <w:szCs w:val="25"/>
        </w:rPr>
        <w:t xml:space="preserve">Option 1 — Move back to Supabase Cloud</w:t>
      </w:r>
    </w:p>
    <w:p>
      <w:pPr>
        <w:pStyle w:val="ListParagraph"/>
        <w:numPr>
          <w:ilvl w:val="0"/>
          <w:numId w:val="10"/>
        </w:numPr>
        <w:spacing w:after="100"/>
      </w:pPr>
      <w:r>
        <w:rPr>
          <w:sz w:val="22"/>
          <w:szCs w:val="22"/>
        </w:rPr>
        <w:t xml:space="preserve">pg_dump the local database, pg_restore it into a new/paused Supabase Cloud project (or use Supabase's migration tooling).</w:t>
      </w:r>
    </w:p>
    <w:p>
      <w:pPr>
        <w:pStyle w:val="ListParagraph"/>
        <w:numPr>
          <w:ilvl w:val="0"/>
          <w:numId w:val="10"/>
        </w:numPr>
        <w:spacing w:after="100"/>
      </w:pPr>
      <w:r>
        <w:rPr>
          <w:sz w:val="22"/>
          <w:szCs w:val="22"/>
        </w:rPr>
        <w:t xml:space="preserve">Copy Storage objects across via the Supabase Storage API or CLI.</w:t>
      </w:r>
    </w:p>
    <w:p>
      <w:pPr>
        <w:pStyle w:val="ListParagraph"/>
        <w:numPr>
          <w:ilvl w:val="0"/>
          <w:numId w:val="10"/>
        </w:numPr>
        <w:spacing w:after="100"/>
      </w:pPr>
      <w:r>
        <w:rPr>
          <w:sz w:val="22"/>
          <w:szCs w:val="22"/>
        </w:rPr>
        <w:t xml:space="preserve">Swap the three Supabase env vars to the cloud project's URL/keys, redeploy the Next.js app (to Vercel, or keep it on the same IIS box pointing at the cloud database, or both during a transition window).</w:t>
      </w:r>
    </w:p>
    <w:p>
      <w:pPr>
        <w:pStyle w:val="ListParagraph"/>
        <w:numPr>
          <w:ilvl w:val="0"/>
          <w:numId w:val="10"/>
        </w:numPr>
        <w:spacing w:after="100"/>
      </w:pPr>
      <w:r>
        <w:rPr>
          <w:sz w:val="22"/>
          <w:szCs w:val="22"/>
        </w:rPr>
        <w:t xml:space="preserve">Cut DNS over once verified; keep the local stack running in read-only/standby mode for a few days as a fallback.</w:t>
      </w:r>
    </w:p>
    <w:p>
      <w:pPr>
        <w:pStyle w:val="Heading2"/>
        <w:spacing w:after="140" w:before="300"/>
      </w:pPr>
      <w:r>
        <w:rPr>
          <w:b/>
          <w:bCs/>
          <w:color w:val="2E74B5"/>
          <w:sz w:val="25"/>
          <w:szCs w:val="25"/>
        </w:rPr>
        <w:t xml:space="preserve">Option 2 — Self-hosted Supabase stack on a cloud VM</w:t>
      </w:r>
    </w:p>
    <w:p>
      <w:pPr>
        <w:spacing w:after="160" w:line="276"/>
      </w:pPr>
      <w:r>
        <w:rPr>
          <w:sz w:val="22"/>
          <w:szCs w:val="22"/>
        </w:rPr>
        <w:t xml:space="preserve">If full control over the database (rather than Supabase's managed cloud) is preferred long-term, the same Docker Compose project from Part B can be lifted onto an Azure/AWS/GCP VM almost unchanged — this is the lowest-risk cloud step since nothing about the app or the data model changes, only where the containers run.</w:t>
      </w:r>
    </w:p>
    <w:tbl>
      <w:tblPr>
        <w:tblW w:type="pct" w:w="100%"/>
        <w:tblBorders>
          <w:top w:val="none" w:color="FFFFFF" w:sz="0"/>
          <w:left w:val="single" w:color="2E74B5" w:sz="24"/>
          <w:bottom w:val="none" w:color="FFFFFF" w:sz="0"/>
          <w:right w:val="none" w:color="FFFFFF" w:sz="0"/>
          <w:insideH w:val="none" w:color="FFFFFF" w:sz="0"/>
          <w:insideV w:val="none" w:color="FFFFFF" w:sz="0"/>
        </w:tblBorders>
      </w:tblPr>
      <w:tblGrid>
        <w:gridCol w:w="100"/>
      </w:tblGrid>
      <w:tr>
        <w:tc>
          <w:tcPr>
            <w:shd w:fill="EAF1F8" w:color="auto" w:val="clear"/>
            <w:tcMar>
              <w:top w:type="dxa" w:w="120"/>
              <w:left w:type="dxa" w:w="200"/>
              <w:bottom w:type="dxa" w:w="120"/>
              <w:right w:type="dxa" w:w="200"/>
            </w:tcMar>
          </w:tcPr>
          <w:p>
            <w:r>
              <w:rPr>
                <w:b/>
                <w:bCs/>
                <w:color w:val="1F3864"/>
                <w:sz w:val="21"/>
                <w:szCs w:val="21"/>
              </w:rPr>
              <w:t xml:space="preserve">Note: </w:t>
            </w:r>
            <w:r>
              <w:rPr>
                <w:color w:val="1A1A1A"/>
                <w:sz w:val="21"/>
                <w:szCs w:val="21"/>
              </w:rPr>
              <w:t xml:space="preserve">Either cloud route benefits from doing a staged cutover: run local and cloud side by side, replicate/sync the data, verify with real users on a subset of traffic, then switch DNS. Avoid a single big-bang cutover on a system handling patient/specimen records.</w:t>
            </w:r>
          </w:p>
        </w:tc>
      </w:tr>
    </w:tbl>
    <w:p>
      <w:pPr>
        <w:pStyle w:val="Heading1"/>
        <w:pBdr>
          <w:bottom w:val="single" w:color="1F3864" w:sz="8" w:space="4"/>
        </w:pBdr>
        <w:spacing w:after="200" w:before="400"/>
      </w:pPr>
      <w:r>
        <w:rPr>
          <w:b/>
          <w:bCs/>
          <w:color w:val="1F3864"/>
          <w:sz w:val="30"/>
          <w:szCs w:val="30"/>
        </w:rPr>
        <w:t xml:space="preserve">6. UI / Frontend Continuity</w:t>
      </w:r>
    </w:p>
    <w:p>
      <w:pPr>
        <w:spacing w:after="160" w:line="276"/>
      </w:pPr>
      <w:r>
        <w:rPr>
          <w:sz w:val="22"/>
          <w:szCs w:val="22"/>
        </w:rPr>
        <w:t xml:space="preserve">None of the above touches app/, components/, or the visual design — those only ever talk to the Supabase client SDK, and that SDK's interface is identical whether it's pointed at Supabase Cloud or a self-hosted Supabase stack. The UI is unaffected by any of the changes in this guide, in both the local deployment and the eventual cloud move.</w:t>
      </w:r>
    </w:p>
    <w:p>
      <w:pPr>
        <w:pStyle w:val="Heading1"/>
        <w:pBdr>
          <w:bottom w:val="single" w:color="1F3864" w:sz="8" w:space="4"/>
        </w:pBdr>
        <w:spacing w:after="200" w:before="400"/>
      </w:pPr>
      <w:r>
        <w:rPr>
          <w:b/>
          <w:bCs/>
          <w:color w:val="1F3864"/>
          <w:sz w:val="30"/>
          <w:szCs w:val="30"/>
        </w:rPr>
        <w:t xml:space="preserve">7. Gaps to Close Before Client Handover</w:t>
      </w:r>
    </w:p>
    <w:p>
      <w:pPr>
        <w:spacing w:after="160" w:line="276"/>
      </w:pPr>
      <w:r>
        <w:rPr>
          <w:sz w:val="22"/>
          <w:szCs w:val="22"/>
        </w:rPr>
        <w:t xml:space="preserve">Beyond the deployment mechanics above, a few things aren't yet in the project and are worth addressing before this goes in front of an end client:</w:t>
      </w:r>
    </w:p>
    <w:p>
      <w:pPr>
        <w:pStyle w:val="Heading3"/>
        <w:spacing w:after="100" w:before="220"/>
      </w:pPr>
      <w:r>
        <w:rPr>
          <w:b/>
          <w:bCs/>
          <w:color w:val="333333"/>
          <w:sz w:val="22"/>
          <w:szCs w:val="22"/>
        </w:rPr>
        <w:t xml:space="preserve">Operational readiness</w:t>
      </w:r>
    </w:p>
    <w:p>
      <w:pPr>
        <w:pStyle w:val="ListParagraph"/>
        <w:numPr>
          <w:ilvl w:val="0"/>
          <w:numId w:val="2"/>
        </w:numPr>
        <w:spacing w:after="100"/>
      </w:pPr>
      <w:r>
        <w:rPr>
          <w:sz w:val="22"/>
          <w:szCs w:val="22"/>
        </w:rPr>
        <w:t xml:space="preserve">No backup process exists yet anywhere (local or cloud) — Part D above needs to actually be built and tested, not just documented.</w:t>
      </w:r>
    </w:p>
    <w:p>
      <w:pPr>
        <w:pStyle w:val="ListParagraph"/>
        <w:numPr>
          <w:ilvl w:val="0"/>
          <w:numId w:val="2"/>
        </w:numPr>
        <w:spacing w:after="100"/>
      </w:pPr>
      <w:r>
        <w:rPr>
          <w:sz w:val="22"/>
          <w:szCs w:val="22"/>
        </w:rPr>
        <w:t xml:space="preserve">No staging/UAT environment separate from production — recommend standing up a second, smaller instance of the same stack for testing migrations and updates before they hit the live system.</w:t>
      </w:r>
    </w:p>
    <w:p>
      <w:pPr>
        <w:pStyle w:val="ListParagraph"/>
        <w:numPr>
          <w:ilvl w:val="0"/>
          <w:numId w:val="2"/>
        </w:numPr>
        <w:spacing w:after="100"/>
      </w:pPr>
      <w:r>
        <w:rPr>
          <w:sz w:val="22"/>
          <w:szCs w:val="22"/>
        </w:rPr>
        <w:t xml:space="preserve">No CI/CD pipeline evident in the repo — builds and deploys currently appear to be manual, which is a bigger risk on a self-managed Windows server than on Vercel.</w:t>
      </w:r>
    </w:p>
    <w:p>
      <w:pPr>
        <w:pStyle w:val="ListParagraph"/>
        <w:numPr>
          <w:ilvl w:val="0"/>
          <w:numId w:val="2"/>
        </w:numPr>
        <w:spacing w:after="100"/>
      </w:pPr>
      <w:r>
        <w:rPr>
          <w:sz w:val="22"/>
          <w:szCs w:val="22"/>
        </w:rPr>
        <w:t xml:space="preserve">No health-check endpoint (e.g. /api/health) for IIS or an external monitor to poll — worth adding so failures are caught automatically rather than reported by users.</w:t>
      </w:r>
    </w:p>
    <w:p>
      <w:pPr>
        <w:pStyle w:val="Heading3"/>
        <w:spacing w:after="100" w:before="220"/>
      </w:pPr>
      <w:r>
        <w:rPr>
          <w:b/>
          <w:bCs/>
          <w:color w:val="333333"/>
          <w:sz w:val="22"/>
          <w:szCs w:val="22"/>
        </w:rPr>
        <w:t xml:space="preserve">Observability</w:t>
      </w:r>
    </w:p>
    <w:p>
      <w:pPr>
        <w:pStyle w:val="ListParagraph"/>
        <w:numPr>
          <w:ilvl w:val="0"/>
          <w:numId w:val="2"/>
        </w:numPr>
        <w:spacing w:after="100"/>
      </w:pPr>
      <w:r>
        <w:rPr>
          <w:sz w:val="22"/>
          <w:szCs w:val="22"/>
        </w:rPr>
        <w:t xml:space="preserve">No error tracking (e.g. Sentry) or structured application logging — right now, diagnosing a production issue means reading raw PM2/IIS logs.</w:t>
      </w:r>
    </w:p>
    <w:p>
      <w:pPr>
        <w:pStyle w:val="ListParagraph"/>
        <w:numPr>
          <w:ilvl w:val="0"/>
          <w:numId w:val="2"/>
        </w:numPr>
        <w:spacing w:after="100"/>
      </w:pPr>
      <w:r>
        <w:rPr>
          <w:sz w:val="22"/>
          <w:szCs w:val="22"/>
        </w:rPr>
        <w:t xml:space="preserve">No audit log surfaced to admins for sensitive actions (patient record access, result edits, staff role changes) beyond whatever Postgres-level history exists — worth checking against any compliance requirement for this data.</w:t>
      </w:r>
    </w:p>
    <w:p>
      <w:pPr>
        <w:pStyle w:val="Heading3"/>
        <w:spacing w:after="100" w:before="220"/>
      </w:pPr>
      <w:r>
        <w:rPr>
          <w:b/>
          <w:bCs/>
          <w:color w:val="333333"/>
          <w:sz w:val="22"/>
          <w:szCs w:val="22"/>
        </w:rPr>
        <w:t xml:space="preserve">Testing</w:t>
      </w:r>
    </w:p>
    <w:p>
      <w:pPr>
        <w:pStyle w:val="ListParagraph"/>
        <w:numPr>
          <w:ilvl w:val="0"/>
          <w:numId w:val="2"/>
        </w:numPr>
        <w:spacing w:after="100"/>
      </w:pPr>
      <w:r>
        <w:rPr>
          <w:sz w:val="22"/>
          <w:szCs w:val="22"/>
        </w:rPr>
        <w:t xml:space="preserve">Test coverage is minimal (a single test file, lib/money.test.ts) for a system with 30+ functional modules — before this is relied on by a client, the core clinical workflows (orders, results, billing) deserve real test coverage.</w:t>
      </w:r>
    </w:p>
    <w:p>
      <w:pPr>
        <w:pStyle w:val="Heading3"/>
        <w:spacing w:after="100" w:before="220"/>
      </w:pPr>
      <w:r>
        <w:rPr>
          <w:b/>
          <w:bCs/>
          <w:color w:val="333333"/>
          <w:sz w:val="22"/>
          <w:szCs w:val="22"/>
        </w:rPr>
        <w:t xml:space="preserve">Data protection &amp; compliance</w:t>
      </w:r>
    </w:p>
    <w:p>
      <w:pPr>
        <w:pStyle w:val="ListParagraph"/>
        <w:numPr>
          <w:ilvl w:val="0"/>
          <w:numId w:val="2"/>
        </w:numPr>
        <w:spacing w:after="100"/>
      </w:pPr>
      <w:r>
        <w:rPr>
          <w:sz w:val="22"/>
          <w:szCs w:val="22"/>
        </w:rPr>
        <w:t xml:space="preserve">Confirm and document the applicable health-data regulations for the deployment's jurisdiction, and make sure backup encryption, access logging, and retention periods are set to match — this wasn't in scope of the current codebase and needs a decision from the client/compliance side, not a technical default.</w:t>
      </w:r>
    </w:p>
    <w:p>
      <w:pPr>
        <w:pStyle w:val="ListParagraph"/>
        <w:numPr>
          <w:ilvl w:val="0"/>
          <w:numId w:val="2"/>
        </w:numPr>
        <w:spacing w:after="100"/>
      </w:pPr>
      <w:r>
        <w:rPr>
          <w:sz w:val="22"/>
          <w:szCs w:val="22"/>
        </w:rPr>
        <w:t xml:space="preserve">Define and document RTO/RPO (how much downtime and how much data loss is acceptable) — this determines whether weekly backups are actually sufficient, or whether daily/continuous backup is warranted for the database.</w:t>
      </w:r>
    </w:p>
    <w:p>
      <w:pPr>
        <w:pStyle w:val="Heading3"/>
        <w:spacing w:after="100" w:before="220"/>
      </w:pPr>
      <w:r>
        <w:rPr>
          <w:b/>
          <w:bCs/>
          <w:color w:val="333333"/>
          <w:sz w:val="22"/>
          <w:szCs w:val="22"/>
        </w:rPr>
        <w:t xml:space="preserve">Scale &amp; availability</w:t>
      </w:r>
    </w:p>
    <w:p>
      <w:pPr>
        <w:pStyle w:val="ListParagraph"/>
        <w:numPr>
          <w:ilvl w:val="0"/>
          <w:numId w:val="2"/>
        </w:numPr>
        <w:spacing w:after="100"/>
      </w:pPr>
      <w:r>
        <w:rPr>
          <w:sz w:val="22"/>
          <w:szCs w:val="22"/>
        </w:rPr>
        <w:t xml:space="preserve">A single Windows box running both IIS and the Docker Supabase stack is a single point of failure — acceptable for a single-site pilot, but worth flagging to the client as a known limitation versus the multi-AZ redundancy Supabase Cloud provides today.</w:t>
      </w:r>
    </w:p>
    <w:p>
      <w:pPr>
        <w:spacing w:after="300"/>
      </w:pPr>
    </w:p>
    <w:p>
      <w:pPr>
        <w:pBdr>
          <w:top w:val="single" w:color="CCCCCC" w:sz="6" w:space="8"/>
        </w:pBdr>
      </w:pPr>
    </w:p>
    <w:p>
      <w:pPr>
        <w:spacing w:after="160" w:line="276"/>
      </w:pPr>
      <w:r>
        <w:rPr>
          <w:i/>
          <w:iCs/>
          <w:color w:val="595959"/>
          <w:sz w:val="22"/>
          <w:szCs w:val="22"/>
        </w:rPr>
        <w:t xml:space="preserve">This guide reflects an assessment of the codebase as of 14 July 2026. No source files in the project were modified in the course of producing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50" w:hanging="260"/>
      </w:pPr>
    </w:lvl>
  </w:abstractNum>
  <w:abstractNum w:abstractNumId="3" w15:restartNumberingAfterBreak="0">
    <w:multiLevelType w:val="hybridMultilevel"/>
    <w:lvl w:ilvl="0" w15:tentative="1">
      <w:start w:val="1"/>
      <w:numFmt w:val="decimal"/>
      <w:lvlText w:val="%1."/>
      <w:lvlJc w:val="start"/>
      <w:pPr>
        <w:ind w:left="450" w:hanging="260"/>
      </w:pPr>
    </w:lvl>
  </w:abstractNum>
  <w:abstractNum w:abstractNumId="4" w15:restartNumberingAfterBreak="0">
    <w:multiLevelType w:val="hybridMultilevel"/>
    <w:lvl w:ilvl="0" w15:tentative="1">
      <w:start w:val="1"/>
      <w:numFmt w:val="decimal"/>
      <w:lvlText w:val="%1."/>
      <w:lvlJc w:val="start"/>
      <w:pPr>
        <w:ind w:left="450" w:hanging="260"/>
      </w:pPr>
    </w:lvl>
  </w:abstractNum>
  <w:abstractNum w:abstractNumId="5" w15:restartNumberingAfterBreak="0">
    <w:multiLevelType w:val="hybridMultilevel"/>
    <w:lvl w:ilvl="0" w15:tentative="1">
      <w:start w:val="1"/>
      <w:numFmt w:val="decimal"/>
      <w:lvlText w:val="%1."/>
      <w:lvlJc w:val="start"/>
      <w:pPr>
        <w:ind w:left="450" w:hanging="260"/>
      </w:pPr>
    </w:lvl>
  </w:abstractNum>
  <w:abstractNum w:abstractNumId="6" w15:restartNumberingAfterBreak="0">
    <w:multiLevelType w:val="hybridMultilevel"/>
    <w:lvl w:ilvl="0" w15:tentative="1">
      <w:start w:val="1"/>
      <w:numFmt w:val="decimal"/>
      <w:lvlText w:val="%1."/>
      <w:lvlJc w:val="start"/>
      <w:pPr>
        <w:ind w:left="450" w:hanging="260"/>
      </w:pPr>
    </w:lvl>
  </w:abstractNum>
  <w:abstractNum w:abstractNumId="7" w15:restartNumberingAfterBreak="0">
    <w:multiLevelType w:val="hybridMultilevel"/>
    <w:lvl w:ilvl="0" w15:tentative="1">
      <w:start w:val="1"/>
      <w:numFmt w:val="decimal"/>
      <w:lvlText w:val="%1."/>
      <w:lvlJc w:val="start"/>
      <w:pPr>
        <w:ind w:left="450" w:hanging="260"/>
      </w:pPr>
    </w:lvl>
  </w:abstractNum>
  <w:abstractNum w:abstractNumId="8" w15:restartNumberingAfterBreak="0">
    <w:multiLevelType w:val="hybridMultilevel"/>
    <w:lvl w:ilvl="0" w15:tentative="1">
      <w:start w:val="1"/>
      <w:numFmt w:val="decimal"/>
      <w:lvlText w:val="%1."/>
      <w:lvlJc w:val="start"/>
      <w:pPr>
        <w:ind w:left="450" w:hanging="260"/>
      </w:pPr>
    </w:lvl>
  </w:abstractNum>
  <w:abstractNum w:abstractNumId="9" w15:restartNumberingAfterBreak="0">
    <w:multiLevelType w:val="hybridMultilevel"/>
    <w:lvl w:ilvl="0" w15:tentative="1">
      <w:start w:val="1"/>
      <w:numFmt w:val="decimal"/>
      <w:lvlText w:val="%1."/>
      <w:lvlJc w:val="start"/>
      <w:pPr>
        <w:ind w:left="450" w:hanging="260"/>
      </w:pPr>
    </w:lvl>
  </w:abstractNum>
  <w:abstractNum w:abstractNumId="10"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2026-07-14T10:44:38.551Z</dcterms:created>
  <dcterms:modified xsi:type="dcterms:W3CDTF">2026-07-14T10:44:38.552Z</dcterms:modified>
</cp:coreProperties>
</file>

<file path=docProps/custom.xml><?xml version="1.0" encoding="utf-8"?>
<Properties xmlns="http://schemas.openxmlformats.org/officeDocument/2006/custom-properties" xmlns:vt="http://schemas.openxmlformats.org/officeDocument/2006/docPropsVTypes"/>
</file>