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SEKOLAH TINGGI ILMU EKONOMI WIRA BHAKTI MAKASSAR</w:t>
        <w:br/>
        <w:t>PROGRAM STUDI AKUNTANSI</w:t>
        <w:br/>
        <w:br/>
      </w:r>
      <w:r>
        <w:rPr>
          <w:b/>
          <w:sz w:val="28"/>
        </w:rPr>
        <w:t>RENCANA PEMBELAJARAN SEMESTER (RPS)</w:t>
      </w:r>
    </w:p>
    <w:p>
      <w:pPr>
        <w:pStyle w:val="Heading2"/>
      </w:pPr>
      <w:r>
        <w:t>A. Identitas &amp; Otorisasi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Nama Mata Kuliah</w:t>
            </w:r>
          </w:p>
        </w:tc>
        <w:tc>
          <w:tcPr>
            <w:tcW w:type="dxa" w:w="2160"/>
          </w:tcPr>
          <w:p>
            <w:r>
              <w:t>HUKUM BISNIS</w:t>
            </w:r>
          </w:p>
        </w:tc>
        <w:tc>
          <w:tcPr>
            <w:tcW w:type="dxa" w:w="2160"/>
          </w:tcPr>
          <w:p>
            <w:r>
              <w:t>Kode MK</w:t>
            </w:r>
          </w:p>
        </w:tc>
        <w:tc>
          <w:tcPr>
            <w:tcW w:type="dxa" w:w="2160"/>
          </w:tcPr>
          <w:p>
            <w:r>
              <w:t>2KA315</w:t>
            </w:r>
          </w:p>
        </w:tc>
      </w:tr>
      <w:tr>
        <w:tc>
          <w:tcPr>
            <w:tcW w:type="dxa" w:w="2160"/>
          </w:tcPr>
          <w:p>
            <w:r>
              <w:t>Bobot (SKS)</w:t>
            </w:r>
          </w:p>
        </w:tc>
        <w:tc>
          <w:tcPr>
            <w:tcW w:type="dxa" w:w="2160"/>
          </w:tcPr>
          <w:p>
            <w:r>
              <w:t>2 SKS</w:t>
            </w:r>
          </w:p>
        </w:tc>
        <w:tc>
          <w:tcPr>
            <w:tcW w:type="dxa" w:w="2160"/>
          </w:tcPr>
          <w:p>
            <w:r>
              <w:t>Semester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Tanggal Penyusunan</w:t>
            </w:r>
          </w:p>
        </w:tc>
        <w:tc>
          <w:tcPr>
            <w:tcW w:type="dxa" w:w="2160"/>
          </w:tcPr>
          <w:p>
            <w:r>
              <w:t>26 Mei 2024</w:t>
            </w:r>
          </w:p>
        </w:tc>
        <w:tc>
          <w:tcPr>
            <w:tcW w:type="dxa" w:w="2160"/>
          </w:tcPr>
          <w:p>
            <w:r>
              <w:t>No Dokumen</w:t>
            </w:r>
          </w:p>
        </w:tc>
        <w:tc>
          <w:tcPr>
            <w:tcW w:type="dxa" w:w="2160"/>
          </w:tcPr>
          <w:p>
            <w:r>
              <w:t>RPS-2KA315-2025-REVISED</w:t>
            </w:r>
          </w:p>
        </w:tc>
      </w:tr>
      <w:tr>
        <w:tc>
          <w:tcPr>
            <w:tcW w:type="dxa" w:w="8640"/>
            <w:gridSpan w:val="4"/>
          </w:tcPr>
          <w:p>
            <w:r>
              <w:t>OTORISASI</w:t>
            </w:r>
          </w:p>
        </w:tc>
      </w:tr>
      <w:tr>
        <w:tc>
          <w:tcPr>
            <w:tcW w:type="dxa" w:w="4320"/>
            <w:gridSpan w:val="2"/>
          </w:tcPr>
          <w:p>
            <w:r>
              <w:t>Koordinator Pengembang RPS</w:t>
            </w:r>
          </w:p>
        </w:tc>
        <w:tc>
          <w:tcPr>
            <w:tcW w:type="dxa" w:w="2160"/>
          </w:tcPr>
          <w:p>
            <w:r>
              <w:t>Koordinator Rumpun MK</w:t>
            </w:r>
          </w:p>
        </w:tc>
        <w:tc>
          <w:tcPr>
            <w:tcW w:type="dxa" w:w="2160"/>
          </w:tcPr>
          <w:p>
            <w:r>
              <w:t>Ka PRODI</w:t>
            </w:r>
          </w:p>
        </w:tc>
      </w:tr>
      <w:tr>
        <w:tc>
          <w:tcPr>
            <w:tcW w:type="dxa" w:w="4320"/>
            <w:gridSpan w:val="2"/>
          </w:tcPr>
          <w:p>
            <w:r>
              <w:t>Tanda tangan</w:t>
              <w:br/>
              <w:br/>
              <w:br/>
              <w:t>Siti Rahayu, S.E.</w:t>
            </w:r>
          </w:p>
        </w:tc>
        <w:tc>
          <w:tcPr>
            <w:tcW w:type="dxa" w:w="2160"/>
          </w:tcPr>
          <w:p>
            <w:r>
              <w:t>Tanda tangan</w:t>
              <w:br/>
              <w:br/>
              <w:br/>
              <w:t>Prof. Dr. Amelia Wijaya, M.Ak.</w:t>
            </w:r>
          </w:p>
        </w:tc>
        <w:tc>
          <w:tcPr>
            <w:tcW w:type="dxa" w:w="2160"/>
          </w:tcPr>
          <w:p>
            <w:r>
              <w:t>Tanda tangan</w:t>
              <w:br/>
              <w:br/>
              <w:br/>
              <w:t>Prof. Dr. Amelia Wijaya, M.Ak.</w:t>
            </w:r>
          </w:p>
        </w:tc>
      </w:tr>
      <w:tr>
        <w:tc>
          <w:tcPr>
            <w:tcW w:type="dxa" w:w="2160"/>
          </w:tcPr>
          <w:p>
            <w:r>
              <w:t>Dosen Pengampu</w:t>
            </w:r>
          </w:p>
        </w:tc>
        <w:tc>
          <w:tcPr>
            <w:tcW w:type="dxa" w:w="6480"/>
            <w:gridSpan w:val="3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Mata Kuliah Prasyarat</w:t>
            </w:r>
          </w:p>
        </w:tc>
        <w:tc>
          <w:tcPr>
            <w:tcW w:type="dxa" w:w="6480"/>
            <w:gridSpan w:val="3"/>
          </w:tcPr>
          <w:p>
            <w:r>
              <w:t>-</w:t>
            </w:r>
          </w:p>
        </w:tc>
      </w:tr>
    </w:tbl>
    <w:p>
      <w:pPr>
        <w:pStyle w:val="Heading2"/>
      </w:pPr>
      <w:r>
        <w:t>B. Capaian Pembelajaran (CP)</w:t>
      </w:r>
    </w:p>
    <w:p>
      <w:r>
        <w:rPr>
          <w:b/>
        </w:rPr>
        <w:t>1. Capaian Pembelajaran Lulusan Program Studi (CPL-PRODI) Yang Dibebankan Pada Mata Kuliah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Kode CPL</w:t>
            </w:r>
          </w:p>
        </w:tc>
        <w:tc>
          <w:tcPr>
            <w:tcW w:type="dxa" w:w="4320"/>
          </w:tcPr>
          <w:p>
            <w:r>
              <w:t>Deskripsi CPL yang Dibebankan</w:t>
            </w:r>
          </w:p>
        </w:tc>
      </w:tr>
      <w:tr>
        <w:tc>
          <w:tcPr>
            <w:tcW w:type="dxa" w:w="4320"/>
          </w:tcPr>
          <w:p>
            <w:r>
              <w:t>CPL-S1</w:t>
            </w:r>
          </w:p>
        </w:tc>
        <w:tc>
          <w:tcPr>
            <w:tcW w:type="dxa" w:w="4320"/>
          </w:tcPr>
          <w:p>
            <w:r>
              <w:t>Menunjukkan sikap integritas, etika profesional, tanggung jawab sosial, dan kepedulian kemanusiaan dalam setiap pelaksanaan tugas akademik dan profesional.</w:t>
            </w:r>
          </w:p>
        </w:tc>
      </w:tr>
      <w:tr>
        <w:tc>
          <w:tcPr>
            <w:tcW w:type="dxa" w:w="4320"/>
          </w:tcPr>
          <w:p>
            <w:r>
              <w:t>CPL-P2</w:t>
            </w:r>
          </w:p>
        </w:tc>
        <w:tc>
          <w:tcPr>
            <w:tcW w:type="dxa" w:w="4320"/>
          </w:tcPr>
          <w:p>
            <w:r>
              <w:t>Menganalisis isu-isu ekonomi dan bisnis menggunakan pendekatan akuntansi untuk mengidentifikasi peluang dan memecahkan masalah praktis.</w:t>
            </w:r>
          </w:p>
        </w:tc>
      </w:tr>
      <w:tr>
        <w:tc>
          <w:tcPr>
            <w:tcW w:type="dxa" w:w="4320"/>
          </w:tcPr>
          <w:p>
            <w:r>
              <w:t>CPL-KU1</w:t>
            </w:r>
          </w:p>
        </w:tc>
        <w:tc>
          <w:tcPr>
            <w:tcW w:type="dxa" w:w="4320"/>
          </w:tcPr>
          <w:p>
            <w:r>
              <w:t>Mampu berkomunikasi secara efektif, baik lisan maupun tulisan, dalam konteks profesional dan akademik, termasuk penggunaan bahasa asing.</w:t>
            </w:r>
          </w:p>
        </w:tc>
      </w:tr>
    </w:tbl>
    <w:p/>
    <w:p>
      <w:r>
        <w:rPr>
          <w:b/>
        </w:rPr>
        <w:t>2. Capaian Pembelajaran Mata Kuliah (CPMK)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Kode CPMK</w:t>
            </w:r>
          </w:p>
        </w:tc>
        <w:tc>
          <w:tcPr>
            <w:tcW w:type="dxa" w:w="2880"/>
          </w:tcPr>
          <w:p>
            <w:r>
              <w:t>Deskripsi CPMK</w:t>
            </w:r>
          </w:p>
        </w:tc>
        <w:tc>
          <w:tcPr>
            <w:tcW w:type="dxa" w:w="2880"/>
          </w:tcPr>
          <w:p>
            <w:r>
              <w:t>CPL Terkait</w:t>
            </w:r>
          </w:p>
        </w:tc>
      </w:tr>
      <w:tr>
        <w:tc>
          <w:tcPr>
            <w:tcW w:type="dxa" w:w="2880"/>
          </w:tcPr>
          <w:p>
            <w:r>
              <w:t>CPMK1</w:t>
            </w:r>
          </w:p>
        </w:tc>
        <w:tc>
          <w:tcPr>
            <w:tcW w:type="dxa" w:w="2880"/>
          </w:tcPr>
          <w:p>
            <w:r>
              <w:t>Mahasiswa mampu menganalisis konsep dasar hukum bisnis dan mengidentifikasi kerangka regulasi yang relevan dalam konteks akuntansi dan pengambilan keputusan bisnis.</w:t>
            </w:r>
          </w:p>
        </w:tc>
        <w:tc>
          <w:tcPr>
            <w:tcW w:type="dxa" w:w="2880"/>
          </w:tcPr>
          <w:p>
            <w:r>
              <w:t>CPL-P2, CPL-KU1</w:t>
            </w:r>
          </w:p>
        </w:tc>
      </w:tr>
      <w:tr>
        <w:tc>
          <w:tcPr>
            <w:tcW w:type="dxa" w:w="2880"/>
          </w:tcPr>
          <w:p>
            <w:r>
              <w:t>CPMK2</w:t>
            </w:r>
          </w:p>
        </w:tc>
        <w:tc>
          <w:tcPr>
            <w:tcW w:type="dxa" w:w="2880"/>
          </w:tcPr>
          <w:p>
            <w:r>
              <w:t>Mahasiswa mampu menerapkan prinsip etika dan integritas profesional dalam menghadapi dilema hukum dan praktik bisnis sehari-hari.</w:t>
            </w:r>
          </w:p>
        </w:tc>
        <w:tc>
          <w:tcPr>
            <w:tcW w:type="dxa" w:w="2880"/>
          </w:tcPr>
          <w:p>
            <w:r>
              <w:t>CPL-S1, CPL-KU1</w:t>
            </w:r>
          </w:p>
        </w:tc>
      </w:tr>
      <w:tr>
        <w:tc>
          <w:tcPr>
            <w:tcW w:type="dxa" w:w="2880"/>
          </w:tcPr>
          <w:p>
            <w:r>
              <w:t>CPMK3</w:t>
            </w:r>
          </w:p>
        </w:tc>
        <w:tc>
          <w:tcPr>
            <w:tcW w:type="dxa" w:w="2880"/>
          </w:tcPr>
          <w:p>
            <w:r>
              <w:t>Mahasiswa mampu mengomunikasikan hasil analisis hukum bisnis secara efektif, baik secara lisan maupun tulisan, serta mampu mengintegrasikan teknologi digital dalam pemahaman regulasi.</w:t>
            </w:r>
          </w:p>
        </w:tc>
        <w:tc>
          <w:tcPr>
            <w:tcW w:type="dxa" w:w="2880"/>
          </w:tcPr>
          <w:p>
            <w:r>
              <w:t>CPL-KU1</w:t>
            </w:r>
          </w:p>
        </w:tc>
      </w:tr>
    </w:tbl>
    <w:p/>
    <w:p>
      <w:pPr>
        <w:pStyle w:val="Heading2"/>
      </w:pPr>
      <w:r>
        <w:t>C. Deskripsi Singkat MK</w:t>
      </w:r>
    </w:p>
    <w:p/>
    <w:p>
      <w:pPr>
        <w:pStyle w:val="Heading2"/>
      </w:pPr>
      <w:r>
        <w:t>E. Bahan Kajian / Pokok Bahasan</w:t>
      </w:r>
    </w:p>
    <w:p>
      <w:pPr>
        <w:pStyle w:val="Heading2"/>
      </w:pPr>
      <w:r>
        <w:t>F. Media Pembelajaran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Perangkat Lunak (Software)</w:t>
            </w:r>
          </w:p>
        </w:tc>
        <w:tc>
          <w:tcPr>
            <w:tcW w:type="dxa" w:w="4320"/>
          </w:tcPr>
          <w:p>
            <w:r>
              <w:t>Perangkat Keras (Hardware)</w:t>
            </w:r>
          </w:p>
        </w:tc>
      </w:tr>
      <w:tr>
        <w:tc>
          <w:tcPr>
            <w:tcW w:type="dxa" w:w="4320"/>
          </w:tcPr>
          <w:p>
            <w:r>
              <w:t>Microsoft PowerPoint</w:t>
              <w:br/>
              <w:t>Google Classroom</w:t>
              <w:br/>
              <w:t>Zoom</w:t>
              <w:br/>
              <w:t>Platform E-Learning Prodi</w:t>
            </w:r>
          </w:p>
        </w:tc>
        <w:tc>
          <w:tcPr>
            <w:tcW w:type="dxa" w:w="4320"/>
          </w:tcPr>
          <w:p>
            <w:r>
              <w:t>LCD &amp; Projector</w:t>
              <w:br/>
              <w:t>Whiteboard</w:t>
              <w:br/>
              <w:t>Notebook</w:t>
            </w:r>
          </w:p>
        </w:tc>
      </w:tr>
    </w:tbl>
    <w:p>
      <w:pPr>
        <w:pStyle w:val="Heading2"/>
      </w:pPr>
      <w:r>
        <w:t>G. Daftar Referensi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Referensi Utama</w:t>
            </w:r>
          </w:p>
        </w:tc>
        <w:tc>
          <w:tcPr>
            <w:tcW w:type="dxa" w:w="4320"/>
          </w:tcPr>
          <w:p>
            <w:r>
              <w:t>Referensi Pendukung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H. Evaluasi &amp; Penilaian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Komponen Penilaian</w:t>
            </w:r>
          </w:p>
        </w:tc>
        <w:tc>
          <w:tcPr>
            <w:tcW w:type="dxa" w:w="2880"/>
          </w:tcPr>
          <w:p>
            <w:r>
              <w:t>Bobot (%)</w:t>
            </w:r>
          </w:p>
        </w:tc>
        <w:tc>
          <w:tcPr>
            <w:tcW w:type="dxa" w:w="2880"/>
          </w:tcPr>
          <w:p>
            <w:r>
              <w:t>Rentang Nilai Akhir &amp; Predikat</w:t>
            </w:r>
          </w:p>
        </w:tc>
      </w:tr>
      <w:tr>
        <w:tc>
          <w:tcPr>
            <w:tcW w:type="dxa" w:w="2880"/>
          </w:tcPr>
          <w:p>
            <w:r>
              <w:t>Tugas Individu (Ringkasan Konsep) (tugas)</w:t>
              <w:br/>
              <w:t>Laporan Analisis Kasus (Kelompok) (tugas)</w:t>
              <w:br/>
              <w:t>Jurnal Refleksi Etika (tugas)</w:t>
              <w:br/>
              <w:t>Ujian Tengah Semester (UTS) (ujian)</w:t>
            </w:r>
          </w:p>
        </w:tc>
        <w:tc>
          <w:tcPr>
            <w:tcW w:type="dxa" w:w="2880"/>
          </w:tcPr>
          <w:p>
            <w:r>
              <w:t>20%</w:t>
              <w:br/>
              <w:t>30%</w:t>
              <w:br/>
              <w:t>15%</w:t>
              <w:br/>
              <w:t>25%</w:t>
            </w:r>
          </w:p>
        </w:tc>
        <w:tc>
          <w:tcPr>
            <w:tcW w:type="dxa" w:w="2880"/>
          </w:tcPr>
          <w:p>
            <w:r>
              <w:t>A (85-100), B+ (80-84), B (75-79), C+ (70-74), C (60-69), D (50-59), E (&lt;50)</w:t>
            </w:r>
          </w:p>
        </w:tc>
      </w:tr>
    </w:tbl>
    <w:p>
      <w:pPr>
        <w:pStyle w:val="Heading2"/>
      </w:pPr>
      <w:r>
        <w:t>I. Rencana Kegiatan Pembelajaran Mingguan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Mg Ke-</w:t>
            </w:r>
          </w:p>
        </w:tc>
        <w:tc>
          <w:tcPr>
            <w:tcW w:type="dxa" w:w="1080"/>
          </w:tcPr>
          <w:p>
            <w:r>
              <w:t>Sub-CP-MK (Kemampuan Akhir yg Diharapkan)</w:t>
            </w:r>
          </w:p>
        </w:tc>
        <w:tc>
          <w:tcPr>
            <w:tcW w:type="dxa" w:w="1080"/>
          </w:tcPr>
          <w:p>
            <w:r>
              <w:t>Materi Pembelajaran</w:t>
            </w:r>
          </w:p>
        </w:tc>
        <w:tc>
          <w:tcPr>
            <w:tcW w:type="dxa" w:w="1080"/>
          </w:tcPr>
          <w:p>
            <w:r>
              <w:t>Bentuk &amp; Metode Pembelajaran</w:t>
            </w:r>
          </w:p>
        </w:tc>
        <w:tc>
          <w:tcPr>
            <w:tcW w:type="dxa" w:w="1080"/>
          </w:tcPr>
          <w:p>
            <w:r>
              <w:t>Estimasi Waktu</w:t>
            </w:r>
          </w:p>
        </w:tc>
        <w:tc>
          <w:tcPr>
            <w:tcW w:type="dxa" w:w="1080"/>
          </w:tcPr>
          <w:p>
            <w:r>
              <w:t>Pengalaman Belajar Mahasiswa</w:t>
            </w:r>
          </w:p>
        </w:tc>
        <w:tc>
          <w:tcPr>
            <w:tcW w:type="dxa" w:w="1080"/>
          </w:tcPr>
          <w:p>
            <w:r>
              <w:t>Kriteria &amp; Bentuk Penilaian</w:t>
            </w:r>
          </w:p>
        </w:tc>
        <w:tc>
          <w:tcPr>
            <w:tcW w:type="dxa" w:w="1080"/>
          </w:tcPr>
          <w:p>
            <w:r>
              <w:t>Bobot (%)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Sub-CPMK 1</w:t>
              <w:br/>
              <w:t>Mahasiswa dapat menjelaskan konsep dasar hukum bisnis dan mengidentifikasi regulasi akuntansi yang relevan.</w:t>
            </w:r>
          </w:p>
        </w:tc>
        <w:tc>
          <w:tcPr>
            <w:tcW w:type="dxa" w:w="1080"/>
          </w:tcPr>
          <w:p>
            <w:r>
              <w:t>Pengantar Hukum Bisnis: Definisi, Ruang Lingkup, dan Hubungan dengan Akuntansi.</w:t>
            </w:r>
          </w:p>
        </w:tc>
        <w:tc>
          <w:tcPr>
            <w:tcW w:type="dxa" w:w="1080"/>
          </w:tcPr>
          <w:p>
            <w:r>
              <w:t>Kuliah interaktif, Brainstorming konsep awal.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Membaca literatur pengantar, diskusi kelompok mengenai peran hukum dalam bisnis modern.</w:t>
            </w:r>
          </w:p>
        </w:tc>
        <w:tc>
          <w:tcPr>
            <w:tcW w:type="dxa" w:w="1080"/>
          </w:tcPr>
          <w:p>
            <w:r>
              <w:t>Kriteria: Keaktifan diskusi. Bentuk non-test: Kuis singkat konsep.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Sub-CPMK 1</w:t>
              <w:br/>
              <w:t>Mahasiswa dapat menjelaskan konsep dasar hukum bisnis dan mengidentifikasi regulasi akuntansi yang relevan.</w:t>
            </w:r>
          </w:p>
        </w:tc>
        <w:tc>
          <w:tcPr>
            <w:tcW w:type="dxa" w:w="1080"/>
          </w:tcPr>
          <w:p>
            <w:r>
              <w:t>Dasar-dasar Hukum Kontrak dan Perjanjian dalam Transaksi Bisnis.</w:t>
            </w:r>
          </w:p>
        </w:tc>
        <w:tc>
          <w:tcPr>
            <w:tcW w:type="dxa" w:w="1080"/>
          </w:tcPr>
          <w:p>
            <w:r>
              <w:t>Kuliah, Analisis contoh kontrak.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Menganalisis contoh kontrak sederhana, membuat peta konsep regulasi kontrak.</w:t>
            </w:r>
          </w:p>
        </w:tc>
        <w:tc>
          <w:tcPr>
            <w:tcW w:type="dxa" w:w="1080"/>
          </w:tcPr>
          <w:p>
            <w:r>
              <w:t>Kriteria: Ketepatan mengidentifikasi elemen kontrak. Bentuk non-test: Tugas ringkasan kontrak.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Sub-CPMK 2</w:t>
              <w:br/>
              <w:t>Mahasiswa mampu menganalisis studi kasus hukum bisnis untuk mengidentifikasi masalah dan solusi berbasis regulasi.</w:t>
            </w:r>
          </w:p>
        </w:tc>
        <w:tc>
          <w:tcPr>
            <w:tcW w:type="dxa" w:w="1080"/>
          </w:tcPr>
          <w:p>
            <w:r>
              <w:t>Hukum Perusahaan: Struktur Badan Usaha (PT, CV) dan Aspek Legalitas Pendirian.</w:t>
            </w:r>
          </w:p>
        </w:tc>
        <w:tc>
          <w:tcPr>
            <w:tcW w:type="dxa" w:w="1080"/>
          </w:tcPr>
          <w:p>
            <w:r>
              <w:t>Problem Based Learning (PBL), Diskusi kasus.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Kelompok menganalisis kasus pendirian perusahaan, merumuskan langkah legalitas.</w:t>
            </w:r>
          </w:p>
        </w:tc>
        <w:tc>
          <w:tcPr>
            <w:tcW w:type="dxa" w:w="1080"/>
          </w:tcPr>
          <w:p>
            <w:r>
              <w:t>Kriteria: Kedalaman analisis kasus. Bentuk non-test: Laporan analisis kasus mini.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Sub-CPMK 2</w:t>
              <w:br/>
              <w:t>Mahasiswa mampu menganalisis studi kasus hukum bisnis untuk mengidentifikasi masalah dan solusi berbasis regulasi.</w:t>
            </w:r>
          </w:p>
        </w:tc>
        <w:tc>
          <w:tcPr>
            <w:tcW w:type="dxa" w:w="1080"/>
          </w:tcPr>
          <w:p>
            <w:r>
              <w:t>Hukum Ketenagakerjaan: Kontrak Kerja, Hak dan Kewajiban Karyawan, dan Isu Etika Ketenagakerjaan.</w:t>
            </w:r>
          </w:p>
        </w:tc>
        <w:tc>
          <w:tcPr>
            <w:tcW w:type="dxa" w:w="1080"/>
          </w:tcPr>
          <w:p>
            <w:r>
              <w:t>Diskusi panel, Simulasi negosiasi kontrak kerja.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Simulasi peran sebagai HRD/Karyawan untuk memahami implikasi hukum ketenagakerjaan.</w:t>
            </w:r>
          </w:p>
        </w:tc>
        <w:tc>
          <w:tcPr>
            <w:tcW w:type="dxa" w:w="1080"/>
          </w:tcPr>
          <w:p>
            <w:r>
              <w:t>Kriteria: Kemampuan mengidentifikasi pelanggaran hukum ketenagakerjaan. Bentuk non-test: Kuis berbasis skenario.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Sub-CPMK 3</w:t>
              <w:br/>
              <w:t>Mahasiswa menunjukkan sikap integritas dan etika profesional saat membahas isu-isu dilema hukum bisnis.</w:t>
            </w:r>
          </w:p>
        </w:tc>
        <w:tc>
          <w:tcPr>
            <w:tcW w:type="dxa" w:w="1080"/>
          </w:tcPr>
          <w:p>
            <w:r>
              <w:t>Etika Bisnis dan Tanggung Jawab Sosial Perusahaan (CSR) dalam Perspektif Hukum.</w:t>
            </w:r>
          </w:p>
        </w:tc>
        <w:tc>
          <w:tcPr>
            <w:tcW w:type="dxa" w:w="1080"/>
          </w:tcPr>
          <w:p>
            <w:r>
              <w:t>Diskusi mendalam (Socratic Dialogue), Refleksi diri.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Diskusi mengenai kasus korporasi yang melibatkan pelanggaran etika dan dampaknya terhadap masyarakat.</w:t>
            </w:r>
          </w:p>
        </w:tc>
        <w:tc>
          <w:tcPr>
            <w:tcW w:type="dxa" w:w="1080"/>
          </w:tcPr>
          <w:p>
            <w:r>
              <w:t>Kriteria: Kedalaman refleksi etis. Bentuk non-test: Jurnal refleksi mingguan.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Sub-CPMK 4</w:t>
              <w:br/>
              <w:t>Mahasiswa mampu menyajikan hasil analisis hukum bisnis secara terstruktur dan komunikatif, termasuk penggunaan terminologi hukum yang tepat.</w:t>
            </w:r>
          </w:p>
        </w:tc>
        <w:tc>
          <w:tcPr>
            <w:tcW w:type="dxa" w:w="1080"/>
          </w:tcPr>
          <w:p>
            <w:r>
              <w:t>Pengantar Komunikasi Hukum: Teknik Penyusunan Laporan dan Argumentasi Hukum.</w:t>
            </w:r>
          </w:p>
        </w:tc>
        <w:tc>
          <w:tcPr>
            <w:tcW w:type="dxa" w:w="1080"/>
          </w:tcPr>
          <w:p>
            <w:r>
              <w:t>Workshop penulisan, Peer Review (peninjauan sejawat).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Mahasiswa mulai menyusun kerangka laporan analisis kasus.</w:t>
            </w:r>
          </w:p>
        </w:tc>
        <w:tc>
          <w:tcPr>
            <w:tcW w:type="dxa" w:w="1080"/>
          </w:tcPr>
          <w:p>
            <w:r>
              <w:t>Kriteria: Ketepatan penggunaan terminologi hukum. Bentuk non-test: Draft kerangka laporan.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Sub-CPMK 4</w:t>
              <w:br/>
              <w:t>Mahasiswa mampu menyajikan hasil analisis hukum bisnis secara terstruktur dan komunikatif, termasuk penggunaan terminologi hukum yang tepat.</w:t>
            </w:r>
          </w:p>
        </w:tc>
        <w:tc>
          <w:tcPr>
            <w:tcW w:type="dxa" w:w="1080"/>
          </w:tcPr>
          <w:p>
            <w:r>
              <w:t>Hukum Bisnis Digital: Regulasi Perlindungan Data Pribadi dan E-Commerce.</w:t>
            </w:r>
          </w:p>
        </w:tc>
        <w:tc>
          <w:tcPr>
            <w:tcW w:type="dxa" w:w="1080"/>
          </w:tcPr>
          <w:p>
            <w:r>
              <w:t>Kuliah pakar (jika memungkinkan), Analisis regulasi digital.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Menganalisis bagaimana hukum digital memengaruhi praktik akuntansi dan bisnis.</w:t>
            </w:r>
          </w:p>
        </w:tc>
        <w:tc>
          <w:tcPr>
            <w:tcW w:type="dxa" w:w="1080"/>
          </w:tcPr>
          <w:p>
            <w:r>
              <w:t>Kriteria: Kemampuan mengintegrasikan aspek digital dalam analisis. Bentuk non-test: Presentasi mini temuan digital.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Sub-CPMK 2</w:t>
              <w:br/>
              <w:t>Mahasiswa mampu menganalisis studi kasus hukum bisnis untuk mengidentifikasi masalah dan solusi berbasis regulasi.</w:t>
            </w:r>
          </w:p>
        </w:tc>
        <w:tc>
          <w:tcPr>
            <w:tcW w:type="dxa" w:w="1080"/>
          </w:tcPr>
          <w:p>
            <w:r>
              <w:t>Hukum Kekayaan Intelektual (HKI) dan Perlindungan Aset Bisnis.</w:t>
            </w:r>
          </w:p>
        </w:tc>
        <w:tc>
          <w:tcPr>
            <w:tcW w:type="dxa" w:w="1080"/>
          </w:tcPr>
          <w:p>
            <w:r>
              <w:t>Studi kasus mendalam, Diskusi berbasis teknologi.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Menganalisis kasus pelanggaran HKI dan strategi perlindungan hukumnya.</w:t>
            </w:r>
          </w:p>
        </w:tc>
        <w:tc>
          <w:tcPr>
            <w:tcW w:type="dxa" w:w="1080"/>
          </w:tcPr>
          <w:p>
            <w:r>
              <w:t>Kriteria: Ketepatan identifikasi aset dan risiko HKI. Bentuk non-test: Tugas analisis HKI.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Sub-CPMK 1</w:t>
              <w:br/>
              <w:t>Mahasiswa dapat menjelaskan konsep dasar hukum bisnis dan mengidentifikasi regulasi akuntansi yang relevan.</w:t>
            </w:r>
          </w:p>
        </w:tc>
        <w:tc>
          <w:tcPr>
            <w:tcW w:type="dxa" w:w="1080"/>
          </w:tcPr>
          <w:p>
            <w:r>
              <w:t>Regulasi Perpajakan Dasar dan Kepatuhan Hukum (Tax Compliance).</w:t>
            </w:r>
          </w:p>
        </w:tc>
        <w:tc>
          <w:tcPr>
            <w:tcW w:type="dxa" w:w="1080"/>
          </w:tcPr>
          <w:p>
            <w:r>
              <w:t>Kuliah, Diskusi tentang implikasi pajak bagi entitas bisnis.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Memahami bagaimana kepatuhan pajak memengaruhi pelaporan akuntansi.</w:t>
            </w:r>
          </w:p>
        </w:tc>
        <w:tc>
          <w:tcPr>
            <w:tcW w:type="dxa" w:w="1080"/>
          </w:tcPr>
          <w:p>
            <w:r>
              <w:t>Kriteria: Pemahaman konsep perpajakan. Bentuk non-test: Kuis pemahaman regulasi pajak.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Sub-CPMK 2</w:t>
              <w:br/>
              <w:t>Mahasiswa mampu menganalisis studi kasus hukum bisnis untuk mengidentifikasi masalah dan solusi berbasis regulasi.</w:t>
            </w:r>
          </w:p>
        </w:tc>
        <w:tc>
          <w:tcPr>
            <w:tcW w:type="dxa" w:w="1080"/>
          </w:tcPr>
          <w:p>
            <w:r>
              <w:t>Studi Kasus Integratif: Menggabungkan Hukum Kontrak, Ketenagakerjaan, dan Etika.</w:t>
            </w:r>
          </w:p>
        </w:tc>
        <w:tc>
          <w:tcPr>
            <w:tcW w:type="dxa" w:w="1080"/>
          </w:tcPr>
          <w:p>
            <w:r>
              <w:t>Project Based Learning (PBL) kelompok, Debat hukum.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Kelompok mengerjakan proyek analisis kasus kompleks yang melibatkan berbagai aspek hukum.</w:t>
            </w:r>
          </w:p>
        </w:tc>
        <w:tc>
          <w:tcPr>
            <w:tcW w:type="dxa" w:w="1080"/>
          </w:tcPr>
          <w:p>
            <w:r>
              <w:t>Kriteria: Kualitas solusi yang ditawarkan. Bentuk non-test: Laporan proyek kelompok.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Sub-CPMK 4</w:t>
              <w:br/>
              <w:t>Mahasiswa mampu menyajikan hasil analisis hukum bisnis secara terstruktur dan komunikatif, termasuk penggunaan terminologi hukum yang tepat.</w:t>
            </w:r>
          </w:p>
        </w:tc>
        <w:tc>
          <w:tcPr>
            <w:tcW w:type="dxa" w:w="1080"/>
          </w:tcPr>
          <w:p>
            <w:r>
              <w:t>Teknik Argumentasi Hukum dan Penyusunan Dokumen Profesional.</w:t>
            </w:r>
          </w:p>
        </w:tc>
        <w:tc>
          <w:tcPr>
            <w:tcW w:type="dxa" w:w="1080"/>
          </w:tcPr>
          <w:p>
            <w:r>
              <w:t>Workshop penulisan esai hukum, Sesi feedback intensif.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Mahasiswa berlatih menyusun argumen hukum yang kuat dan persuasif.</w:t>
            </w:r>
          </w:p>
        </w:tc>
        <w:tc>
          <w:tcPr>
            <w:tcW w:type="dxa" w:w="1080"/>
          </w:tcPr>
          <w:p>
            <w:r>
              <w:t>Kriteria: Kejelasan struktur argumentasi. Bentuk non-test: Draft esai argumentasi.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Sub-CPMK 3</w:t>
              <w:br/>
              <w:t>Mahasiswa menunjukkan sikap integritas dan etika profesional saat membahas isu-isu dilema hukum bisnis.</w:t>
            </w:r>
          </w:p>
        </w:tc>
        <w:tc>
          <w:tcPr>
            <w:tcW w:type="dxa" w:w="1080"/>
          </w:tcPr>
          <w:p>
            <w:r>
              <w:t>Review dan Diskusi Kasus Etika Lanjutan (Fokus pada Integritas dan Akuntabilitas).</w:t>
            </w:r>
          </w:p>
        </w:tc>
        <w:tc>
          <w:tcPr>
            <w:tcW w:type="dxa" w:w="1080"/>
          </w:tcPr>
          <w:p>
            <w:r>
              <w:t>Diskusi terbuka, Role-playing dilema etika.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Refleksi mendalam mengenai peran akuntan/profesional dalam menjaga integritas.</w:t>
            </w:r>
          </w:p>
        </w:tc>
        <w:tc>
          <w:tcPr>
            <w:tcW w:type="dxa" w:w="1080"/>
          </w:tcPr>
          <w:p>
            <w:r>
              <w:t>Kriteria: Kedalaman refleksi etis dan kesadaran tanggung jawab. Bentuk non-test: Kuis reflektif.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Sub-CPMK 4</w:t>
              <w:br/>
              <w:t>Mahasiswa mampu menyajikan hasil analisis hukum bisnis secara terstruktur dan komunikatif, termasuk penggunaan terminologi hukum yang tepat.</w:t>
            </w:r>
          </w:p>
        </w:tc>
        <w:tc>
          <w:tcPr>
            <w:tcW w:type="dxa" w:w="1080"/>
          </w:tcPr>
          <w:p>
            <w:r>
              <w:t>Persiapan Presentasi Akhir dan Review Materi.</w:t>
            </w:r>
          </w:p>
        </w:tc>
        <w:tc>
          <w:tcPr>
            <w:tcW w:type="dxa" w:w="1080"/>
          </w:tcPr>
          <w:p>
            <w:r>
              <w:t>Latihan presentasi (simulasi sidang/presentasi profesional).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Mahasiswa memfinalisasi materi presentasi dan menerima masukan.</w:t>
            </w:r>
          </w:p>
        </w:tc>
        <w:tc>
          <w:tcPr>
            <w:tcW w:type="dxa" w:w="1080"/>
          </w:tcPr>
          <w:p>
            <w:r>
              <w:t>Kriteria: Kualitas presentasi dan kemampuan menjawab pertanyaan. Bentuk non-test: Penilaian presentasi.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Sub-CPMK 4</w:t>
              <w:br/>
              <w:t>Mahasiswa mampu menyajikan hasil analisis hukum bisnis secara terstruktur dan komunikatif, termasuk penggunaan terminologi hukum yang tepat.</w:t>
            </w:r>
          </w:p>
        </w:tc>
        <w:tc>
          <w:tcPr>
            <w:tcW w:type="dxa" w:w="1080"/>
          </w:tcPr>
          <w:p>
            <w:r>
              <w:t>Ujian Tengah Semester (UTS) dan Review Materi Akhir.</w:t>
            </w:r>
          </w:p>
        </w:tc>
        <w:tc>
          <w:tcPr>
            <w:tcW w:type="dxa" w:w="1080"/>
          </w:tcPr>
          <w:p>
            <w:r>
              <w:t>Ujian Tertulis (Esai Analitis).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Evaluasi komprehensif pemahaman materi 1-7.</w:t>
            </w:r>
          </w:p>
        </w:tc>
        <w:tc>
          <w:tcPr>
            <w:tcW w:type="dxa" w:w="1080"/>
          </w:tcPr>
          <w:p>
            <w:r>
              <w:t>Kriteria: Penguasaan materi sebelum UTS. Bentuk non-test: Ujian Tengah Semester.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Sub-CPMK 4</w:t>
              <w:br/>
              <w:t>Mahasiswa mampu menyajikan hasil analisis hukum bisnis secara terstruktur dan komunikatif, termasuk penggunaan terminologi hukum yang tepat.</w:t>
            </w:r>
          </w:p>
        </w:tc>
        <w:tc>
          <w:tcPr>
            <w:tcW w:type="dxa" w:w="1080"/>
          </w:tcPr>
          <w:p>
            <w:r>
              <w:t>Review Materi Akhir dan Persiapan Ujian Akhir Semester (UAS).</w:t>
            </w:r>
          </w:p>
        </w:tc>
        <w:tc>
          <w:tcPr>
            <w:tcW w:type="dxa" w:w="1080"/>
          </w:tcPr>
          <w:p>
            <w:r>
              <w:t>Sesi tanya jawab terbuka, Konsultasi tugas akhir.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Sesi tanya jawab untuk memperkuat pemahaman sebelum UAS.</w:t>
            </w:r>
          </w:p>
        </w:tc>
        <w:tc>
          <w:tcPr>
            <w:tcW w:type="dxa" w:w="1080"/>
          </w:tcPr>
          <w:p>
            <w:r>
              <w:t>Kriteria: Kesiapan mahasiswa menghadapi UAS. Bentuk non-test: Kuis akhir.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Sub-CPMK 4</w:t>
              <w:br/>
              <w:t>Mahasiswa mampu menyajikan hasil analisis hukum bisnis secara terstruktur dan komunikatif, termasuk penggunaan terminologi hukum yang tepat.</w:t>
            </w:r>
          </w:p>
        </w:tc>
        <w:tc>
          <w:tcPr>
            <w:tcW w:type="dxa" w:w="1080"/>
          </w:tcPr>
          <w:p>
            <w:r>
              <w:t>Ujian Akhir Semester (UAS).</w:t>
            </w:r>
          </w:p>
        </w:tc>
        <w:tc>
          <w:tcPr>
            <w:tcW w:type="dxa" w:w="1080"/>
          </w:tcPr>
          <w:p>
            <w:r>
              <w:t>Ujian Akhir Semester (UAS) berbasis studi kasus komprehensif.</w:t>
            </w:r>
          </w:p>
        </w:tc>
        <w:tc>
          <w:tcPr>
            <w:tcW w:type="dxa" w:w="1080"/>
          </w:tcPr>
          <w:p>
            <w:r>
              <w:t>TM: 1x3x50' BT: 1x3x60' BM: 1x3x60'</w:t>
            </w:r>
          </w:p>
        </w:tc>
        <w:tc>
          <w:tcPr>
            <w:tcW w:type="dxa" w:w="1080"/>
          </w:tcPr>
          <w:p>
            <w:r>
              <w:t>Evaluasi akhir seluruh capaian pembelajaran mata kuliah.</w:t>
            </w:r>
          </w:p>
        </w:tc>
        <w:tc>
          <w:tcPr>
            <w:tcW w:type="dxa" w:w="1080"/>
          </w:tcPr>
          <w:p>
            <w:r>
              <w:t>Kriteria: Pencapaian seluruh CPMK. Bentuk non-test: Ujian Akhir Semester.</w:t>
            </w:r>
          </w:p>
        </w:tc>
        <w:tc>
          <w:tcPr>
            <w:tcW w:type="dxa" w:w="1080"/>
          </w:tcPr>
          <w:p>
            <w:r>
              <w:t>None%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