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Reflect on this</w:t>
      </w:r>
    </w:p>
    <w:p>
      <w:pPr>
        <w:pStyle w:val="Heading1"/>
      </w:pPr>
      <w:r>
        <w:t xml:space="preserve">Reflect</w:t>
      </w:r>
    </w:p>
    <w:p>
      <w:r>
        <w:rPr>
          <w:b/>
          <w:bCs/>
          <w:sz w:val="28"/>
          <w:szCs w:val="28"/>
        </w:rPr>
        <w:br/>
      </w:r>
      <w:r>
        <w:rPr>
          <w:sz w:val="28"/>
          <w:szCs w:val="28"/>
        </w:rPr>
        <w:br/>
        <w:t xml:space="preserve">This makes it very hard for me to believe how AI works, especially how foundation models can provide the information we need through LLMs.</w:t>
      </w:r>
    </w:p>
    <w:sectPr>
      <w:pgSz w:w="11906" w:h="16838" w:orient="portrait"/>
      <w:pgMar w:top="1in" w:right="1in" w:bottom="1in" w:left="1in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2026-04-03T13:25:34.490Z</dcterms:created>
  <dcterms:modified xsi:type="dcterms:W3CDTF">2026-04-03T13:25:34.490Z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