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ustomTitle"/>
        <w:jc w:val="center"/>
      </w:pPr>
      <w:r>
        <w:t>Implementation Document</w:t>
        <w:br/>
        <w:t>Semantic 3D Urban Digital Twin Pipeline</w:t>
      </w:r>
    </w:p>
    <w:p>
      <w:pPr>
        <w:pStyle w:val="Subtitle"/>
        <w:jc w:val="center"/>
      </w:pPr>
      <w:r>
        <w:t>Target stack: Python, CloudCompare, C++/Qt, Unity</w:t>
      </w:r>
    </w:p>
    <w:tbl>
      <w:tblPr>
        <w:tblW w:type="auto" w:w="0"/>
        <w:jc w:val="center"/>
        <w:tblLayout w:type="fixed"/>
        <w:tblLook w:firstColumn="1" w:firstRow="1" w:lastColumn="0" w:lastRow="0" w:noHBand="0" w:noVBand="1" w:val="04A0"/>
      </w:tblPr>
      <w:tblGrid>
        <w:gridCol w:w="8957"/>
      </w:tblGrid>
      <w:tr>
        <w:tc>
          <w:tcPr>
            <w:tcW w:type="dxa" w:w="9746"/>
            <w:shd w:fill="EAF2F8"/>
            <w:vAlign w:val="center"/>
          </w:tcPr>
          <w:p>
            <w:r/>
            <w:r>
              <w:rPr>
                <w:rFonts w:ascii="Aptos" w:hAnsi="Aptos"/>
                <w:b w:val="0"/>
                <w:sz w:val="20"/>
              </w:rPr>
              <w:t>Purpose: define a production-style pipeline for generating terrain, buildings, roads, bridges, and semantic metadata from Swedish geospatial datasets, then rendering them as separately selectable interactive assets in Unity.</w:t>
            </w:r>
          </w:p>
        </w:tc>
      </w:tr>
    </w:tbl>
    <w:p/>
    <w:p>
      <w:r>
        <w:rPr>
          <w:b/>
        </w:rPr>
        <w:t>Primary source roles</w:t>
      </w:r>
      <w:r>
        <w:t>: Laserdata NH for accurate terrain and structural heights; Ytmodell for dense visible-surface detail; Byggnad for building footprints; transport and hydrography layers for roads and bridge logic; population and address layers for semantics.</w:t>
      </w:r>
    </w:p>
    <w:p>
      <w:pPr>
        <w:pStyle w:val="Heading1"/>
      </w:pPr>
      <w:r>
        <w:t>1. System overview</w:t>
      </w:r>
    </w:p>
    <w:p>
      <w:r>
        <w:t>The system is organized as a multi-layer pipeline. Geometry is generated from authoritative vectors plus measured heights. Semantics are joined separately. Runtime rendering and interaction are handled in Unity rather than in the preprocessing layer.</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AF7"/>
            <w:vAlign w:val="center"/>
          </w:tcPr>
          <w:p>
            <w:pPr>
              <w:jc w:val="center"/>
            </w:pPr>
            <w:r/>
            <w:r>
              <w:rPr>
                <w:rFonts w:ascii="Aptos" w:hAnsi="Aptos"/>
                <w:b/>
                <w:color w:val="1F4E79"/>
                <w:sz w:val="20"/>
              </w:rPr>
              <w:t>Layer</w:t>
            </w:r>
          </w:p>
        </w:tc>
        <w:tc>
          <w:tcPr>
            <w:tcW w:type="dxa" w:w="2436"/>
            <w:shd w:fill="D9EAF7"/>
            <w:vAlign w:val="center"/>
          </w:tcPr>
          <w:p>
            <w:pPr>
              <w:jc w:val="center"/>
            </w:pPr>
            <w:r/>
            <w:r>
              <w:rPr>
                <w:rFonts w:ascii="Aptos" w:hAnsi="Aptos"/>
                <w:b/>
                <w:color w:val="1F4E79"/>
                <w:sz w:val="20"/>
              </w:rPr>
              <w:t>Main tools</w:t>
            </w:r>
          </w:p>
        </w:tc>
        <w:tc>
          <w:tcPr>
            <w:tcW w:type="dxa" w:w="2436"/>
            <w:shd w:fill="D9EAF7"/>
            <w:vAlign w:val="center"/>
          </w:tcPr>
          <w:p>
            <w:pPr>
              <w:jc w:val="center"/>
            </w:pPr>
            <w:r/>
            <w:r>
              <w:rPr>
                <w:rFonts w:ascii="Aptos" w:hAnsi="Aptos"/>
                <w:b/>
                <w:color w:val="1F4E79"/>
                <w:sz w:val="20"/>
              </w:rPr>
              <w:t>Output</w:t>
            </w:r>
          </w:p>
        </w:tc>
        <w:tc>
          <w:tcPr>
            <w:tcW w:type="dxa" w:w="2436"/>
            <w:shd w:fill="D9EAF7"/>
            <w:vAlign w:val="center"/>
          </w:tcPr>
          <w:p>
            <w:pPr>
              <w:jc w:val="center"/>
            </w:pPr>
            <w:r/>
            <w:r>
              <w:rPr>
                <w:rFonts w:ascii="Aptos" w:hAnsi="Aptos"/>
                <w:b/>
                <w:color w:val="1F4E79"/>
                <w:sz w:val="20"/>
              </w:rPr>
              <w:t>Responsibility</w:t>
            </w:r>
          </w:p>
        </w:tc>
      </w:tr>
      <w:tr>
        <w:tc>
          <w:tcPr>
            <w:tcW w:type="dxa" w:w="2436"/>
            <w:vAlign w:val="center"/>
          </w:tcPr>
          <w:p>
            <w:pPr>
              <w:jc w:val="center"/>
            </w:pPr>
            <w:r/>
            <w:r>
              <w:rPr>
                <w:rFonts w:ascii="Aptos" w:hAnsi="Aptos"/>
                <w:b w:val="0"/>
                <w:sz w:val="20"/>
              </w:rPr>
              <w:t>Source data</w:t>
            </w:r>
          </w:p>
        </w:tc>
        <w:tc>
          <w:tcPr>
            <w:tcW w:type="dxa" w:w="2436"/>
            <w:vAlign w:val="center"/>
          </w:tcPr>
          <w:p>
            <w:pPr>
              <w:jc w:val="left"/>
            </w:pPr>
            <w:r/>
            <w:r>
              <w:rPr>
                <w:rFonts w:ascii="Aptos" w:hAnsi="Aptos"/>
                <w:b w:val="0"/>
                <w:sz w:val="20"/>
              </w:rPr>
              <w:t>Raw datasets</w:t>
            </w:r>
          </w:p>
        </w:tc>
        <w:tc>
          <w:tcPr>
            <w:tcW w:type="dxa" w:w="2436"/>
            <w:vAlign w:val="center"/>
          </w:tcPr>
          <w:p>
            <w:pPr>
              <w:jc w:val="left"/>
            </w:pPr>
            <w:r/>
            <w:r>
              <w:rPr>
                <w:rFonts w:ascii="Aptos" w:hAnsi="Aptos"/>
                <w:b w:val="0"/>
                <w:sz w:val="20"/>
              </w:rPr>
              <w:t>LAZ / GPKG / SHP / TIF</w:t>
            </w:r>
          </w:p>
        </w:tc>
        <w:tc>
          <w:tcPr>
            <w:tcW w:type="dxa" w:w="2436"/>
            <w:vAlign w:val="center"/>
          </w:tcPr>
          <w:p>
            <w:pPr>
              <w:jc w:val="left"/>
            </w:pPr>
            <w:r/>
            <w:r>
              <w:rPr>
                <w:rFonts w:ascii="Aptos" w:hAnsi="Aptos"/>
                <w:b w:val="0"/>
                <w:sz w:val="20"/>
              </w:rPr>
              <w:t>Authoritative measurement and GIS inputs</w:t>
            </w:r>
          </w:p>
        </w:tc>
      </w:tr>
      <w:tr>
        <w:tc>
          <w:tcPr>
            <w:tcW w:type="dxa" w:w="2436"/>
            <w:vAlign w:val="center"/>
          </w:tcPr>
          <w:p>
            <w:pPr>
              <w:jc w:val="center"/>
            </w:pPr>
            <w:r/>
            <w:r>
              <w:rPr>
                <w:rFonts w:ascii="Aptos" w:hAnsi="Aptos"/>
                <w:b w:val="0"/>
                <w:sz w:val="20"/>
              </w:rPr>
              <w:t>Processing</w:t>
            </w:r>
          </w:p>
        </w:tc>
        <w:tc>
          <w:tcPr>
            <w:tcW w:type="dxa" w:w="2436"/>
            <w:vAlign w:val="center"/>
          </w:tcPr>
          <w:p>
            <w:pPr>
              <w:jc w:val="left"/>
            </w:pPr>
            <w:r/>
            <w:r>
              <w:rPr>
                <w:rFonts w:ascii="Aptos" w:hAnsi="Aptos"/>
                <w:b w:val="0"/>
                <w:sz w:val="20"/>
              </w:rPr>
              <w:t>Python</w:t>
            </w:r>
          </w:p>
        </w:tc>
        <w:tc>
          <w:tcPr>
            <w:tcW w:type="dxa" w:w="2436"/>
            <w:vAlign w:val="center"/>
          </w:tcPr>
          <w:p>
            <w:pPr>
              <w:jc w:val="left"/>
            </w:pPr>
            <w:r/>
            <w:r>
              <w:rPr>
                <w:rFonts w:ascii="Aptos" w:hAnsi="Aptos"/>
                <w:b w:val="0"/>
                <w:sz w:val="20"/>
              </w:rPr>
              <w:t>Meshes, heightmaps, metadata</w:t>
            </w:r>
          </w:p>
        </w:tc>
        <w:tc>
          <w:tcPr>
            <w:tcW w:type="dxa" w:w="2436"/>
            <w:vAlign w:val="center"/>
          </w:tcPr>
          <w:p>
            <w:pPr>
              <w:jc w:val="left"/>
            </w:pPr>
            <w:r/>
            <w:r>
              <w:rPr>
                <w:rFonts w:ascii="Aptos" w:hAnsi="Aptos"/>
                <w:b w:val="0"/>
                <w:sz w:val="20"/>
              </w:rPr>
              <w:t>ETL, reconstruction, semantic joins</w:t>
            </w:r>
          </w:p>
        </w:tc>
      </w:tr>
      <w:tr>
        <w:tc>
          <w:tcPr>
            <w:tcW w:type="dxa" w:w="2436"/>
            <w:vAlign w:val="center"/>
          </w:tcPr>
          <w:p>
            <w:pPr>
              <w:jc w:val="center"/>
            </w:pPr>
            <w:r/>
            <w:r>
              <w:rPr>
                <w:rFonts w:ascii="Aptos" w:hAnsi="Aptos"/>
                <w:b w:val="0"/>
                <w:sz w:val="20"/>
              </w:rPr>
              <w:t>Validation</w:t>
            </w:r>
          </w:p>
        </w:tc>
        <w:tc>
          <w:tcPr>
            <w:tcW w:type="dxa" w:w="2436"/>
            <w:vAlign w:val="center"/>
          </w:tcPr>
          <w:p>
            <w:pPr>
              <w:jc w:val="left"/>
            </w:pPr>
            <w:r/>
            <w:r>
              <w:rPr>
                <w:rFonts w:ascii="Aptos" w:hAnsi="Aptos"/>
                <w:b w:val="0"/>
                <w:sz w:val="20"/>
              </w:rPr>
              <w:t>CloudCompare, Qt</w:t>
            </w:r>
          </w:p>
        </w:tc>
        <w:tc>
          <w:tcPr>
            <w:tcW w:type="dxa" w:w="2436"/>
            <w:vAlign w:val="center"/>
          </w:tcPr>
          <w:p>
            <w:pPr>
              <w:jc w:val="left"/>
            </w:pPr>
            <w:r/>
            <w:r>
              <w:rPr>
                <w:rFonts w:ascii="Aptos" w:hAnsi="Aptos"/>
                <w:b w:val="0"/>
                <w:sz w:val="20"/>
              </w:rPr>
              <w:t>QC reports, manual fixes</w:t>
            </w:r>
          </w:p>
        </w:tc>
        <w:tc>
          <w:tcPr>
            <w:tcW w:type="dxa" w:w="2436"/>
            <w:vAlign w:val="center"/>
          </w:tcPr>
          <w:p>
            <w:pPr>
              <w:jc w:val="left"/>
            </w:pPr>
            <w:r/>
            <w:r>
              <w:rPr>
                <w:rFonts w:ascii="Aptos" w:hAnsi="Aptos"/>
                <w:b w:val="0"/>
                <w:sz w:val="20"/>
              </w:rPr>
              <w:t>Inspection and quality control</w:t>
            </w:r>
          </w:p>
        </w:tc>
      </w:tr>
      <w:tr>
        <w:tc>
          <w:tcPr>
            <w:tcW w:type="dxa" w:w="2436"/>
            <w:vAlign w:val="center"/>
          </w:tcPr>
          <w:p>
            <w:pPr>
              <w:jc w:val="center"/>
            </w:pPr>
            <w:r/>
            <w:r>
              <w:rPr>
                <w:rFonts w:ascii="Aptos" w:hAnsi="Aptos"/>
                <w:b w:val="0"/>
                <w:sz w:val="20"/>
              </w:rPr>
              <w:t>Runtime</w:t>
            </w:r>
          </w:p>
        </w:tc>
        <w:tc>
          <w:tcPr>
            <w:tcW w:type="dxa" w:w="2436"/>
            <w:vAlign w:val="center"/>
          </w:tcPr>
          <w:p>
            <w:pPr>
              <w:jc w:val="left"/>
            </w:pPr>
            <w:r/>
            <w:r>
              <w:rPr>
                <w:rFonts w:ascii="Aptos" w:hAnsi="Aptos"/>
                <w:b w:val="0"/>
                <w:sz w:val="20"/>
              </w:rPr>
              <w:t>Unity</w:t>
            </w:r>
          </w:p>
        </w:tc>
        <w:tc>
          <w:tcPr>
            <w:tcW w:type="dxa" w:w="2436"/>
            <w:vAlign w:val="center"/>
          </w:tcPr>
          <w:p>
            <w:pPr>
              <w:jc w:val="left"/>
            </w:pPr>
            <w:r/>
            <w:r>
              <w:rPr>
                <w:rFonts w:ascii="Aptos" w:hAnsi="Aptos"/>
                <w:b w:val="0"/>
                <w:sz w:val="20"/>
              </w:rPr>
              <w:t>Interactive 3D city</w:t>
            </w:r>
          </w:p>
        </w:tc>
        <w:tc>
          <w:tcPr>
            <w:tcW w:type="dxa" w:w="2436"/>
            <w:vAlign w:val="center"/>
          </w:tcPr>
          <w:p>
            <w:pPr>
              <w:jc w:val="left"/>
            </w:pPr>
            <w:r/>
            <w:r>
              <w:rPr>
                <w:rFonts w:ascii="Aptos" w:hAnsi="Aptos"/>
                <w:b w:val="0"/>
                <w:sz w:val="20"/>
              </w:rPr>
              <w:t>Rendering, hover/click, filtering</w:t>
            </w:r>
          </w:p>
        </w:tc>
      </w:tr>
    </w:tbl>
    <w:p/>
    <w:p>
      <w:pPr>
        <w:pStyle w:val="Heading1"/>
      </w:pPr>
      <w:r>
        <w:t>2. Source datasets and intended use</w:t>
      </w:r>
    </w:p>
    <w:p>
      <w:r>
        <w:t>Use point clouds as measurement sources, not as the final runtime geometry. Use vectors as structured city objects, and export final assets as meshes or heightmaps.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AF7"/>
            <w:vAlign w:val="center"/>
          </w:tcPr>
          <w:p>
            <w:pPr>
              <w:jc w:val="center"/>
            </w:pPr>
            <w:r/>
            <w:r>
              <w:rPr>
                <w:rFonts w:ascii="Aptos" w:hAnsi="Aptos"/>
                <w:b/>
                <w:color w:val="1F4E79"/>
                <w:sz w:val="20"/>
              </w:rPr>
              <w:t>Dataset</w:t>
            </w:r>
          </w:p>
        </w:tc>
        <w:tc>
          <w:tcPr>
            <w:tcW w:type="dxa" w:w="2436"/>
            <w:shd w:fill="D9EAF7"/>
            <w:vAlign w:val="center"/>
          </w:tcPr>
          <w:p>
            <w:pPr>
              <w:jc w:val="center"/>
            </w:pPr>
            <w:r/>
            <w:r>
              <w:rPr>
                <w:rFonts w:ascii="Aptos" w:hAnsi="Aptos"/>
                <w:b/>
                <w:color w:val="1F4E79"/>
                <w:sz w:val="20"/>
              </w:rPr>
              <w:t>Type</w:t>
            </w:r>
          </w:p>
        </w:tc>
        <w:tc>
          <w:tcPr>
            <w:tcW w:type="dxa" w:w="2436"/>
            <w:shd w:fill="D9EAF7"/>
            <w:vAlign w:val="center"/>
          </w:tcPr>
          <w:p>
            <w:pPr>
              <w:jc w:val="center"/>
            </w:pPr>
            <w:r/>
            <w:r>
              <w:rPr>
                <w:rFonts w:ascii="Aptos" w:hAnsi="Aptos"/>
                <w:b/>
                <w:color w:val="1F4E79"/>
                <w:sz w:val="20"/>
              </w:rPr>
              <w:t>Primary use</w:t>
            </w:r>
          </w:p>
        </w:tc>
        <w:tc>
          <w:tcPr>
            <w:tcW w:type="dxa" w:w="2436"/>
            <w:shd w:fill="D9EAF7"/>
            <w:vAlign w:val="center"/>
          </w:tcPr>
          <w:p>
            <w:pPr>
              <w:jc w:val="center"/>
            </w:pPr>
            <w:r/>
            <w:r>
              <w:rPr>
                <w:rFonts w:ascii="Aptos" w:hAnsi="Aptos"/>
                <w:b/>
                <w:color w:val="1F4E79"/>
                <w:sz w:val="20"/>
              </w:rPr>
              <w:t>Priority</w:t>
            </w:r>
          </w:p>
        </w:tc>
      </w:tr>
      <w:tr>
        <w:tc>
          <w:tcPr>
            <w:tcW w:type="dxa" w:w="2436"/>
            <w:vAlign w:val="center"/>
          </w:tcPr>
          <w:p>
            <w:pPr>
              <w:jc w:val="left"/>
            </w:pPr>
            <w:r/>
            <w:r>
              <w:rPr>
                <w:rFonts w:ascii="Aptos" w:hAnsi="Aptos"/>
                <w:b w:val="0"/>
                <w:sz w:val="20"/>
              </w:rPr>
              <w:t>Byggnad</w:t>
            </w:r>
          </w:p>
        </w:tc>
        <w:tc>
          <w:tcPr>
            <w:tcW w:type="dxa" w:w="2436"/>
            <w:vAlign w:val="center"/>
          </w:tcPr>
          <w:p>
            <w:pPr>
              <w:jc w:val="left"/>
            </w:pPr>
            <w:r/>
            <w:r>
              <w:rPr>
                <w:rFonts w:ascii="Aptos" w:hAnsi="Aptos"/>
                <w:b w:val="0"/>
                <w:sz w:val="20"/>
              </w:rPr>
              <w:t>Vector building footprints</w:t>
            </w:r>
          </w:p>
        </w:tc>
        <w:tc>
          <w:tcPr>
            <w:tcW w:type="dxa" w:w="2436"/>
            <w:vAlign w:val="center"/>
          </w:tcPr>
          <w:p>
            <w:pPr>
              <w:jc w:val="left"/>
            </w:pPr>
            <w:r/>
            <w:r>
              <w:rPr>
                <w:rFonts w:ascii="Aptos" w:hAnsi="Aptos"/>
                <w:b w:val="0"/>
                <w:sz w:val="20"/>
              </w:rPr>
              <w:t>Building boundaries and stable IDs</w:t>
            </w:r>
          </w:p>
        </w:tc>
        <w:tc>
          <w:tcPr>
            <w:tcW w:type="dxa" w:w="2436"/>
            <w:vAlign w:val="center"/>
          </w:tcPr>
          <w:p>
            <w:pPr>
              <w:jc w:val="center"/>
            </w:pPr>
            <w:r/>
            <w:r>
              <w:rPr>
                <w:rFonts w:ascii="Aptos" w:hAnsi="Aptos"/>
                <w:b w:val="0"/>
                <w:sz w:val="20"/>
              </w:rPr>
              <w:t>Essential</w:t>
            </w:r>
          </w:p>
        </w:tc>
      </w:tr>
      <w:tr>
        <w:tc>
          <w:tcPr>
            <w:tcW w:type="dxa" w:w="2436"/>
            <w:vAlign w:val="center"/>
          </w:tcPr>
          <w:p>
            <w:pPr>
              <w:jc w:val="left"/>
            </w:pPr>
            <w:r/>
            <w:r>
              <w:rPr>
                <w:rFonts w:ascii="Aptos" w:hAnsi="Aptos"/>
                <w:b w:val="0"/>
                <w:sz w:val="20"/>
              </w:rPr>
              <w:t>Laserdata NH</w:t>
            </w:r>
          </w:p>
        </w:tc>
        <w:tc>
          <w:tcPr>
            <w:tcW w:type="dxa" w:w="2436"/>
            <w:vAlign w:val="center"/>
          </w:tcPr>
          <w:p>
            <w:pPr>
              <w:jc w:val="left"/>
            </w:pPr>
            <w:r/>
            <w:r>
              <w:rPr>
                <w:rFonts w:ascii="Aptos" w:hAnsi="Aptos"/>
                <w:b w:val="0"/>
                <w:sz w:val="20"/>
              </w:rPr>
              <w:t>Classified LiDAR point cloud</w:t>
            </w:r>
          </w:p>
        </w:tc>
        <w:tc>
          <w:tcPr>
            <w:tcW w:type="dxa" w:w="2436"/>
            <w:vAlign w:val="center"/>
          </w:tcPr>
          <w:p>
            <w:pPr>
              <w:jc w:val="left"/>
            </w:pPr>
            <w:r/>
            <w:r>
              <w:rPr>
                <w:rFonts w:ascii="Aptos" w:hAnsi="Aptos"/>
                <w:b w:val="0"/>
                <w:sz w:val="20"/>
              </w:rPr>
              <w:t>Terrain, building heights, bridge evidence</w:t>
            </w:r>
          </w:p>
        </w:tc>
        <w:tc>
          <w:tcPr>
            <w:tcW w:type="dxa" w:w="2436"/>
            <w:vAlign w:val="center"/>
          </w:tcPr>
          <w:p>
            <w:pPr>
              <w:jc w:val="center"/>
            </w:pPr>
            <w:r/>
            <w:r>
              <w:rPr>
                <w:rFonts w:ascii="Aptos" w:hAnsi="Aptos"/>
                <w:b w:val="0"/>
                <w:sz w:val="20"/>
              </w:rPr>
              <w:t>Essential</w:t>
            </w:r>
          </w:p>
        </w:tc>
      </w:tr>
      <w:tr>
        <w:tc>
          <w:tcPr>
            <w:tcW w:type="dxa" w:w="2436"/>
            <w:vAlign w:val="center"/>
          </w:tcPr>
          <w:p>
            <w:pPr>
              <w:jc w:val="left"/>
            </w:pPr>
            <w:r/>
            <w:r>
              <w:rPr>
                <w:rFonts w:ascii="Aptos" w:hAnsi="Aptos"/>
                <w:b w:val="0"/>
                <w:sz w:val="20"/>
              </w:rPr>
              <w:t>Ytmodell</w:t>
            </w:r>
          </w:p>
        </w:tc>
        <w:tc>
          <w:tcPr>
            <w:tcW w:type="dxa" w:w="2436"/>
            <w:vAlign w:val="center"/>
          </w:tcPr>
          <w:p>
            <w:pPr>
              <w:jc w:val="left"/>
            </w:pPr>
            <w:r/>
            <w:r>
              <w:rPr>
                <w:rFonts w:ascii="Aptos" w:hAnsi="Aptos"/>
                <w:b w:val="0"/>
                <w:sz w:val="20"/>
              </w:rPr>
              <w:t>Photogrammetric surface point cloud</w:t>
            </w:r>
          </w:p>
        </w:tc>
        <w:tc>
          <w:tcPr>
            <w:tcW w:type="dxa" w:w="2436"/>
            <w:vAlign w:val="center"/>
          </w:tcPr>
          <w:p>
            <w:pPr>
              <w:jc w:val="left"/>
            </w:pPr>
            <w:r/>
            <w:r>
              <w:rPr>
                <w:rFonts w:ascii="Aptos" w:hAnsi="Aptos"/>
                <w:b w:val="0"/>
                <w:sz w:val="20"/>
              </w:rPr>
              <w:t>Surface refinement and visible roof detail</w:t>
            </w:r>
          </w:p>
        </w:tc>
        <w:tc>
          <w:tcPr>
            <w:tcW w:type="dxa" w:w="2436"/>
            <w:vAlign w:val="center"/>
          </w:tcPr>
          <w:p>
            <w:pPr>
              <w:jc w:val="center"/>
            </w:pPr>
            <w:r/>
            <w:r>
              <w:rPr>
                <w:rFonts w:ascii="Aptos" w:hAnsi="Aptos"/>
                <w:b w:val="0"/>
                <w:sz w:val="20"/>
              </w:rPr>
              <w:t>Important</w:t>
            </w:r>
          </w:p>
        </w:tc>
      </w:tr>
      <w:tr>
        <w:tc>
          <w:tcPr>
            <w:tcW w:type="dxa" w:w="2436"/>
            <w:vAlign w:val="center"/>
          </w:tcPr>
          <w:p>
            <w:pPr>
              <w:jc w:val="left"/>
            </w:pPr>
            <w:r/>
            <w:r>
              <w:rPr>
                <w:rFonts w:ascii="Aptos" w:hAnsi="Aptos"/>
                <w:b w:val="0"/>
                <w:sz w:val="20"/>
              </w:rPr>
              <w:t>Transport networks / Vägkartan</w:t>
            </w:r>
          </w:p>
        </w:tc>
        <w:tc>
          <w:tcPr>
            <w:tcW w:type="dxa" w:w="2436"/>
            <w:vAlign w:val="center"/>
          </w:tcPr>
          <w:p>
            <w:pPr>
              <w:jc w:val="left"/>
            </w:pPr>
            <w:r/>
            <w:r>
              <w:rPr>
                <w:rFonts w:ascii="Aptos" w:hAnsi="Aptos"/>
                <w:b w:val="0"/>
                <w:sz w:val="20"/>
              </w:rPr>
              <w:t>Vector lines</w:t>
            </w:r>
          </w:p>
        </w:tc>
        <w:tc>
          <w:tcPr>
            <w:tcW w:type="dxa" w:w="2436"/>
            <w:vAlign w:val="center"/>
          </w:tcPr>
          <w:p>
            <w:pPr>
              <w:jc w:val="left"/>
            </w:pPr>
            <w:r/>
            <w:r>
              <w:rPr>
                <w:rFonts w:ascii="Aptos" w:hAnsi="Aptos"/>
                <w:b w:val="0"/>
                <w:sz w:val="20"/>
              </w:rPr>
              <w:t>Road mesh generation</w:t>
            </w:r>
          </w:p>
        </w:tc>
        <w:tc>
          <w:tcPr>
            <w:tcW w:type="dxa" w:w="2436"/>
            <w:vAlign w:val="center"/>
          </w:tcPr>
          <w:p>
            <w:pPr>
              <w:jc w:val="center"/>
            </w:pPr>
            <w:r/>
            <w:r>
              <w:rPr>
                <w:rFonts w:ascii="Aptos" w:hAnsi="Aptos"/>
                <w:b w:val="0"/>
                <w:sz w:val="20"/>
              </w:rPr>
              <w:t>Essential</w:t>
            </w:r>
          </w:p>
        </w:tc>
      </w:tr>
      <w:tr>
        <w:tc>
          <w:tcPr>
            <w:tcW w:type="dxa" w:w="2436"/>
            <w:vAlign w:val="center"/>
          </w:tcPr>
          <w:p>
            <w:pPr>
              <w:jc w:val="left"/>
            </w:pPr>
            <w:r/>
            <w:r>
              <w:rPr>
                <w:rFonts w:ascii="Aptos" w:hAnsi="Aptos"/>
                <w:b w:val="0"/>
                <w:sz w:val="20"/>
              </w:rPr>
              <w:t>Hydrography</w:t>
            </w:r>
          </w:p>
        </w:tc>
        <w:tc>
          <w:tcPr>
            <w:tcW w:type="dxa" w:w="2436"/>
            <w:vAlign w:val="center"/>
          </w:tcPr>
          <w:p>
            <w:pPr>
              <w:jc w:val="left"/>
            </w:pPr>
            <w:r/>
            <w:r>
              <w:rPr>
                <w:rFonts w:ascii="Aptos" w:hAnsi="Aptos"/>
                <w:b w:val="0"/>
                <w:sz w:val="20"/>
              </w:rPr>
              <w:t>Vector polygons/lines</w:t>
            </w:r>
          </w:p>
        </w:tc>
        <w:tc>
          <w:tcPr>
            <w:tcW w:type="dxa" w:w="2436"/>
            <w:vAlign w:val="center"/>
          </w:tcPr>
          <w:p>
            <w:pPr>
              <w:jc w:val="left"/>
            </w:pPr>
            <w:r/>
            <w:r>
              <w:rPr>
                <w:rFonts w:ascii="Aptos" w:hAnsi="Aptos"/>
                <w:b w:val="0"/>
                <w:sz w:val="20"/>
              </w:rPr>
              <w:t>Bridge crossing validation</w:t>
            </w:r>
          </w:p>
        </w:tc>
        <w:tc>
          <w:tcPr>
            <w:tcW w:type="dxa" w:w="2436"/>
            <w:vAlign w:val="center"/>
          </w:tcPr>
          <w:p>
            <w:pPr>
              <w:jc w:val="center"/>
            </w:pPr>
            <w:r/>
            <w:r>
              <w:rPr>
                <w:rFonts w:ascii="Aptos" w:hAnsi="Aptos"/>
                <w:b w:val="0"/>
                <w:sz w:val="20"/>
              </w:rPr>
              <w:t>Important</w:t>
            </w:r>
          </w:p>
        </w:tc>
      </w:tr>
      <w:tr>
        <w:tc>
          <w:tcPr>
            <w:tcW w:type="dxa" w:w="2436"/>
            <w:vAlign w:val="center"/>
          </w:tcPr>
          <w:p>
            <w:pPr>
              <w:jc w:val="left"/>
            </w:pPr>
            <w:r/>
            <w:r>
              <w:rPr>
                <w:rFonts w:ascii="Aptos" w:hAnsi="Aptos"/>
                <w:b w:val="0"/>
                <w:sz w:val="20"/>
              </w:rPr>
              <w:t>Population / address / POI</w:t>
            </w:r>
          </w:p>
        </w:tc>
        <w:tc>
          <w:tcPr>
            <w:tcW w:type="dxa" w:w="2436"/>
            <w:vAlign w:val="center"/>
          </w:tcPr>
          <w:p>
            <w:pPr>
              <w:jc w:val="left"/>
            </w:pPr>
            <w:r/>
            <w:r>
              <w:rPr>
                <w:rFonts w:ascii="Aptos" w:hAnsi="Aptos"/>
                <w:b w:val="0"/>
                <w:sz w:val="20"/>
              </w:rPr>
              <w:t>Thematic and tabular</w:t>
            </w:r>
          </w:p>
        </w:tc>
        <w:tc>
          <w:tcPr>
            <w:tcW w:type="dxa" w:w="2436"/>
            <w:vAlign w:val="center"/>
          </w:tcPr>
          <w:p>
            <w:pPr>
              <w:jc w:val="left"/>
            </w:pPr>
            <w:r/>
            <w:r>
              <w:rPr>
                <w:rFonts w:ascii="Aptos" w:hAnsi="Aptos"/>
                <w:b w:val="0"/>
                <w:sz w:val="20"/>
              </w:rPr>
              <w:t>Building semantics and hover data</w:t>
            </w:r>
          </w:p>
        </w:tc>
        <w:tc>
          <w:tcPr>
            <w:tcW w:type="dxa" w:w="2436"/>
            <w:vAlign w:val="center"/>
          </w:tcPr>
          <w:p>
            <w:pPr>
              <w:jc w:val="center"/>
            </w:pPr>
            <w:r/>
            <w:r>
              <w:rPr>
                <w:rFonts w:ascii="Aptos" w:hAnsi="Aptos"/>
                <w:b w:val="0"/>
                <w:sz w:val="20"/>
              </w:rPr>
              <w:t>Essential</w:t>
            </w:r>
          </w:p>
        </w:tc>
      </w:tr>
    </w:tbl>
    <w:p>
      <w:pPr>
        <w:pStyle w:val="NoteBox"/>
      </w:pPr>
      <w:r>
        <w:t>Rule: buildings should not be reconstructed directly from raw point clouds when authoritative footprints are available. Use footprints plus LiDAR-derived heights for clean, scalable geometry.</w:t>
      </w:r>
    </w:p>
    <w:p>
      <w:pPr>
        <w:pStyle w:val="Heading1"/>
      </w:pPr>
      <w:r>
        <w:t>3. Project structure and data contracts</w:t>
      </w:r>
    </w:p>
    <w:p>
      <w:r>
        <w:t>A predictable folder structure is required for industrial-scale processing, QA, and reruns. Keep raw data immutable. Store intermediate products and final runtime outputs separately.</w:t>
      </w:r>
    </w:p>
    <w:p>
      <w:pPr>
        <w:pStyle w:val="NoSpacing"/>
      </w:pPr>
      <w:r>
        <w:rPr>
          <w:rFonts w:ascii="Consolas" w:hAnsi="Consolas"/>
          <w:sz w:val="19"/>
        </w:rPr>
        <w:t>project_root/</w:t>
      </w:r>
    </w:p>
    <w:p>
      <w:pPr>
        <w:pStyle w:val="NoSpacing"/>
      </w:pPr>
      <w:r>
        <w:rPr>
          <w:rFonts w:ascii="Consolas" w:hAnsi="Consolas"/>
          <w:sz w:val="19"/>
        </w:rPr>
        <w:t xml:space="preserve">  data_raw/          # authoritative inputs</w:t>
      </w:r>
    </w:p>
    <w:p>
      <w:pPr>
        <w:pStyle w:val="NoSpacing"/>
      </w:pPr>
      <w:r>
        <w:rPr>
          <w:rFonts w:ascii="Consolas" w:hAnsi="Consolas"/>
          <w:sz w:val="19"/>
        </w:rPr>
        <w:t xml:space="preserve">  data_intermediate/ # normalized layers, tile caches, height tables</w:t>
      </w:r>
    </w:p>
    <w:p>
      <w:pPr>
        <w:pStyle w:val="NoSpacing"/>
      </w:pPr>
      <w:r>
        <w:rPr>
          <w:rFonts w:ascii="Consolas" w:hAnsi="Consolas"/>
          <w:sz w:val="19"/>
        </w:rPr>
        <w:t xml:space="preserve">  data_output/       # exported runtime assets by tile</w:t>
      </w:r>
    </w:p>
    <w:p>
      <w:pPr>
        <w:pStyle w:val="NoSpacing"/>
      </w:pPr>
      <w:r>
        <w:rPr>
          <w:rFonts w:ascii="Consolas" w:hAnsi="Consolas"/>
          <w:sz w:val="19"/>
        </w:rPr>
        <w:t xml:space="preserve">  tools/             # python scripts, Qt tools, import helpers</w:t>
      </w:r>
    </w:p>
    <w:p>
      <w:pPr>
        <w:pStyle w:val="NoSpacing"/>
      </w:pPr>
      <w:r>
        <w:rPr>
          <w:rFonts w:ascii="Consolas" w:hAnsi="Consolas"/>
          <w:sz w:val="19"/>
        </w:rPr>
        <w:t xml:space="preserve">  unity_project/     # runtime application</w:t>
      </w:r>
    </w:p>
    <w:p>
      <w:r>
        <w:t>Every exported runtime object must have a stable ID. IDs must not depend on mesh order, Unity hierarchy order, or ad hoc manual naming.</w:t>
      </w:r>
    </w:p>
    <w:p>
      <w:pPr>
        <w:pStyle w:val="Heading1"/>
      </w:pPr>
      <w:r>
        <w:t>4. Processing pipeline</w:t>
      </w:r>
    </w:p>
    <w:p>
      <w:pPr>
        <w:pStyle w:val="Heading2"/>
      </w:pPr>
      <w:r>
        <w:t>4.1 Ingestion and normalization</w:t>
      </w:r>
    </w:p>
    <w:p>
      <w:r>
        <w:t>Read all raw datasets, validate CRS, normalize attributes, repair invalid geometries, and assign every source object to a processing tile. Internally standardize everything in SWEREF 99 TM with metric heights.</w:t>
      </w:r>
    </w:p>
    <w:p>
      <w:pPr>
        <w:pStyle w:val="Heading2"/>
      </w:pPr>
      <w:r>
        <w:t>4.2 Terrain extraction</w:t>
      </w:r>
    </w:p>
    <w:p>
      <w:r>
        <w:t>Filter LiDAR ground points and interpolate a terrain surface. Export either a terrain mesh or a Unity-compatible heightmap. Use terrain rasters only as fallback or validation layers.</w:t>
      </w:r>
    </w:p>
    <w:p>
      <w:pPr>
        <w:pStyle w:val="Heading2"/>
      </w:pPr>
      <w:r>
        <w:t>4.3 Building height extraction</w:t>
      </w:r>
    </w:p>
    <w:p>
      <w:r>
        <w:t>For each building footprint, estimate local ground elevation outside or around the footprint and roof elevation from LiDAR or DSM points inside the footprint. Store height, roof elevation, and QC values per building.</w:t>
      </w:r>
    </w:p>
    <w:p>
      <w:pPr>
        <w:pStyle w:val="Heading2"/>
      </w:pPr>
      <w:r>
        <w:t>4.4 Building mesh generation</w:t>
      </w:r>
    </w:p>
    <w:p>
      <w:r>
        <w:t>Generate LOD1 by extruding each footprint from ground elevation to roof elevation. Keep one exported mesh per building so each object remains separately selectable and independently colorable at runtime.</w:t>
      </w:r>
    </w:p>
    <w:p>
      <w:pPr>
        <w:pStyle w:val="Heading2"/>
      </w:pPr>
      <w:r>
        <w:t>4.5 Road mesh generation</w:t>
      </w:r>
    </w:p>
    <w:p>
      <w:r>
        <w:t>Buffer road centerlines using width-by-class rules, fit the resulting polygons to terrain, triangulate, and export road meshes per segment or tile.</w:t>
      </w:r>
    </w:p>
    <w:p>
      <w:pPr>
        <w:pStyle w:val="Heading2"/>
      </w:pPr>
      <w:r>
        <w:t>4.6 Bridge detection and bridge meshes</w:t>
      </w:r>
    </w:p>
    <w:p>
      <w:r>
        <w:t>Detect candidate bridges where roads cross water or terrain depressions and the road surface is above local terrain by a threshold. Use LiDAR bridge-class evidence where available. Export each bridge as its own asset.</w:t>
      </w:r>
    </w:p>
    <w:p>
      <w:pPr>
        <w:pStyle w:val="Heading2"/>
      </w:pPr>
      <w:r>
        <w:t>4.7 Semantic enrichment</w:t>
      </w:r>
    </w:p>
    <w:p>
      <w:r>
        <w:t>Join addresses, POIs, land-use or institutional datasets, and population sources to building IDs. Normalize raw labels into a controlled building taxonomy such as residential_house, school, hospital, office, industrial, retail, government, or unknown.</w:t>
      </w:r>
    </w:p>
    <w:p>
      <w:pPr>
        <w:pStyle w:val="Heading2"/>
      </w:pPr>
      <w:r>
        <w:t>4.8 Export</w:t>
      </w:r>
    </w:p>
    <w:p>
      <w:r>
        <w:t>Export geometry as GLB/GLTF and store metadata in SQLite plus optional per-tile JSON caches. Each tile should be independently loadable in Unity.</w:t>
      </w:r>
    </w:p>
    <w:p>
      <w:pPr>
        <w:pStyle w:val="Heading1"/>
      </w:pPr>
      <w:r>
        <w:t>5. Semantic schema</w:t>
      </w:r>
    </w:p>
    <w:p>
      <w:r>
        <w:t>The metadata layer should be designed as a first-class system. Geometry lives in mesh files; truth about the object lives in metadata.</w:t>
      </w:r>
    </w:p>
    <w:tbl>
      <w:tblPr>
        <w:tblStyle w:val="TableGrid"/>
        <w:tblW w:type="auto" w:w="0"/>
        <w:tblLook w:firstColumn="1" w:firstRow="1" w:lastColumn="0" w:lastRow="0" w:noHBand="0" w:noVBand="1" w:val="04A0"/>
      </w:tblPr>
      <w:tblGrid>
        <w:gridCol w:w="3249"/>
        <w:gridCol w:w="3249"/>
        <w:gridCol w:w="3249"/>
      </w:tblGrid>
      <w:tr>
        <w:tc>
          <w:tcPr>
            <w:tcW w:type="dxa" w:w="3249"/>
            <w:shd w:fill="D9EAF7"/>
            <w:vAlign w:val="center"/>
          </w:tcPr>
          <w:p>
            <w:pPr>
              <w:jc w:val="center"/>
            </w:pPr>
            <w:r/>
            <w:r>
              <w:rPr>
                <w:rFonts w:ascii="Aptos" w:hAnsi="Aptos"/>
                <w:b/>
                <w:color w:val="1F4E79"/>
                <w:sz w:val="20"/>
              </w:rPr>
              <w:t>Entity</w:t>
            </w:r>
          </w:p>
        </w:tc>
        <w:tc>
          <w:tcPr>
            <w:tcW w:type="dxa" w:w="3249"/>
            <w:shd w:fill="D9EAF7"/>
            <w:vAlign w:val="center"/>
          </w:tcPr>
          <w:p>
            <w:pPr>
              <w:jc w:val="center"/>
            </w:pPr>
            <w:r/>
            <w:r>
              <w:rPr>
                <w:rFonts w:ascii="Aptos" w:hAnsi="Aptos"/>
                <w:b/>
                <w:color w:val="1F4E79"/>
                <w:sz w:val="20"/>
              </w:rPr>
              <w:t>Required fields</w:t>
            </w:r>
          </w:p>
        </w:tc>
        <w:tc>
          <w:tcPr>
            <w:tcW w:type="dxa" w:w="3249"/>
            <w:shd w:fill="D9EAF7"/>
            <w:vAlign w:val="center"/>
          </w:tcPr>
          <w:p>
            <w:pPr>
              <w:jc w:val="center"/>
            </w:pPr>
            <w:r/>
            <w:r>
              <w:rPr>
                <w:rFonts w:ascii="Aptos" w:hAnsi="Aptos"/>
                <w:b/>
                <w:color w:val="1F4E79"/>
                <w:sz w:val="20"/>
              </w:rPr>
              <w:t>Notes</w:t>
            </w:r>
          </w:p>
        </w:tc>
      </w:tr>
      <w:tr>
        <w:tc>
          <w:tcPr>
            <w:tcW w:type="dxa" w:w="3249"/>
            <w:vAlign w:val="center"/>
          </w:tcPr>
          <w:p>
            <w:r/>
            <w:r>
              <w:rPr>
                <w:rFonts w:ascii="Aptos" w:hAnsi="Aptos"/>
                <w:b w:val="0"/>
                <w:sz w:val="20"/>
              </w:rPr>
              <w:t>Building</w:t>
            </w:r>
          </w:p>
        </w:tc>
        <w:tc>
          <w:tcPr>
            <w:tcW w:type="dxa" w:w="3249"/>
            <w:vAlign w:val="center"/>
          </w:tcPr>
          <w:p>
            <w:r/>
            <w:r>
              <w:rPr>
                <w:rFonts w:ascii="Aptos" w:hAnsi="Aptos"/>
                <w:b w:val="0"/>
                <w:sz w:val="20"/>
              </w:rPr>
              <w:t>id, tile_id, type_normalized, address, population_estimate, height_m, mesh_file</w:t>
            </w:r>
          </w:p>
        </w:tc>
        <w:tc>
          <w:tcPr>
            <w:tcW w:type="dxa" w:w="3249"/>
            <w:vAlign w:val="center"/>
          </w:tcPr>
          <w:p>
            <w:r/>
            <w:r>
              <w:rPr>
                <w:rFonts w:ascii="Aptos" w:hAnsi="Aptos"/>
                <w:b w:val="0"/>
                <w:sz w:val="20"/>
              </w:rPr>
              <w:t>One logical building object; separate runtime selection</w:t>
            </w:r>
          </w:p>
        </w:tc>
      </w:tr>
      <w:tr>
        <w:tc>
          <w:tcPr>
            <w:tcW w:type="dxa" w:w="3249"/>
            <w:vAlign w:val="center"/>
          </w:tcPr>
          <w:p>
            <w:r/>
            <w:r>
              <w:rPr>
                <w:rFonts w:ascii="Aptos" w:hAnsi="Aptos"/>
                <w:b w:val="0"/>
                <w:sz w:val="20"/>
              </w:rPr>
              <w:t>Road segment</w:t>
            </w:r>
          </w:p>
        </w:tc>
        <w:tc>
          <w:tcPr>
            <w:tcW w:type="dxa" w:w="3249"/>
            <w:vAlign w:val="center"/>
          </w:tcPr>
          <w:p>
            <w:r/>
            <w:r>
              <w:rPr>
                <w:rFonts w:ascii="Aptos" w:hAnsi="Aptos"/>
                <w:b w:val="0"/>
                <w:sz w:val="20"/>
              </w:rPr>
              <w:t>id, tile_id, class_normalized, width_m, mesh_file</w:t>
            </w:r>
          </w:p>
        </w:tc>
        <w:tc>
          <w:tcPr>
            <w:tcW w:type="dxa" w:w="3249"/>
            <w:vAlign w:val="center"/>
          </w:tcPr>
          <w:p>
            <w:r/>
            <w:r>
              <w:rPr>
                <w:rFonts w:ascii="Aptos" w:hAnsi="Aptos"/>
                <w:b w:val="0"/>
                <w:sz w:val="20"/>
              </w:rPr>
              <w:t>Road mesh generated from vectors</w:t>
            </w:r>
          </w:p>
        </w:tc>
      </w:tr>
      <w:tr>
        <w:tc>
          <w:tcPr>
            <w:tcW w:type="dxa" w:w="3249"/>
            <w:vAlign w:val="center"/>
          </w:tcPr>
          <w:p>
            <w:r/>
            <w:r>
              <w:rPr>
                <w:rFonts w:ascii="Aptos" w:hAnsi="Aptos"/>
                <w:b w:val="0"/>
                <w:sz w:val="20"/>
              </w:rPr>
              <w:t>Bridge</w:t>
            </w:r>
          </w:p>
        </w:tc>
        <w:tc>
          <w:tcPr>
            <w:tcW w:type="dxa" w:w="3249"/>
            <w:vAlign w:val="center"/>
          </w:tcPr>
          <w:p>
            <w:r/>
            <w:r>
              <w:rPr>
                <w:rFonts w:ascii="Aptos" w:hAnsi="Aptos"/>
                <w:b w:val="0"/>
                <w:sz w:val="20"/>
              </w:rPr>
              <w:t>id, parent_road_id, deck_elevation_m, span_length_m, mesh_file</w:t>
            </w:r>
          </w:p>
        </w:tc>
        <w:tc>
          <w:tcPr>
            <w:tcW w:type="dxa" w:w="3249"/>
            <w:vAlign w:val="center"/>
          </w:tcPr>
          <w:p>
            <w:r/>
            <w:r>
              <w:rPr>
                <w:rFonts w:ascii="Aptos" w:hAnsi="Aptos"/>
                <w:b w:val="0"/>
                <w:sz w:val="20"/>
              </w:rPr>
              <w:t>Separate asset and category</w:t>
            </w:r>
          </w:p>
        </w:tc>
      </w:tr>
      <w:tr>
        <w:tc>
          <w:tcPr>
            <w:tcW w:type="dxa" w:w="3249"/>
            <w:vAlign w:val="center"/>
          </w:tcPr>
          <w:p>
            <w:r/>
            <w:r>
              <w:rPr>
                <w:rFonts w:ascii="Aptos" w:hAnsi="Aptos"/>
                <w:b w:val="0"/>
                <w:sz w:val="20"/>
              </w:rPr>
              <w:t>Tile</w:t>
            </w:r>
          </w:p>
        </w:tc>
        <w:tc>
          <w:tcPr>
            <w:tcW w:type="dxa" w:w="3249"/>
            <w:vAlign w:val="center"/>
          </w:tcPr>
          <w:p>
            <w:r/>
            <w:r>
              <w:rPr>
                <w:rFonts w:ascii="Aptos" w:hAnsi="Aptos"/>
                <w:b w:val="0"/>
                <w:sz w:val="20"/>
              </w:rPr>
              <w:t>tile_id, local_origin, bounds, asset_list</w:t>
            </w:r>
          </w:p>
        </w:tc>
        <w:tc>
          <w:tcPr>
            <w:tcW w:type="dxa" w:w="3249"/>
            <w:vAlign w:val="center"/>
          </w:tcPr>
          <w:p>
            <w:r/>
            <w:r>
              <w:rPr>
                <w:rFonts w:ascii="Aptos" w:hAnsi="Aptos"/>
                <w:b w:val="0"/>
                <w:sz w:val="20"/>
              </w:rPr>
              <w:t>Runtime streaming unit</w:t>
            </w:r>
          </w:p>
        </w:tc>
      </w:tr>
    </w:tbl>
    <w:p>
      <w:pPr>
        <w:pStyle w:val="NoteBox"/>
      </w:pPr>
      <w:r>
        <w:t>Recommended production storage: SQLite for metadata, GLB for geometry, optional JSON for debugging and inspection.</w:t>
      </w:r>
    </w:p>
    <w:p>
      <w:pPr>
        <w:pStyle w:val="Heading1"/>
      </w:pPr>
      <w:r>
        <w:t>6. Classification and color policy</w:t>
      </w:r>
    </w:p>
    <w:p>
      <w:r>
        <w:t>Classification is primarily a semantic join problem, not a geometry problem. The preferred order is official building-use data, then attributes already present in building data, then municipal or OSM POIs, then rule-based inference, and finally unknown.</w:t>
      </w:r>
    </w:p>
    <w:tbl>
      <w:tblPr>
        <w:tblStyle w:val="TableGrid"/>
        <w:tblW w:type="auto" w:w="0"/>
        <w:tblLook w:firstColumn="1" w:firstRow="1" w:lastColumn="0" w:lastRow="0" w:noHBand="0" w:noVBand="1" w:val="04A0"/>
      </w:tblPr>
      <w:tblGrid>
        <w:gridCol w:w="4873"/>
        <w:gridCol w:w="4873"/>
      </w:tblGrid>
      <w:tr>
        <w:tc>
          <w:tcPr>
            <w:tcW w:type="dxa" w:w="4873"/>
            <w:shd w:fill="D9EAF7"/>
            <w:vAlign w:val="center"/>
          </w:tcPr>
          <w:p>
            <w:pPr>
              <w:jc w:val="center"/>
            </w:pPr>
            <w:r/>
            <w:r>
              <w:rPr>
                <w:rFonts w:ascii="Aptos" w:hAnsi="Aptos"/>
                <w:b/>
                <w:color w:val="1F4E79"/>
                <w:sz w:val="20"/>
              </w:rPr>
              <w:t>Normalized class</w:t>
            </w:r>
          </w:p>
        </w:tc>
        <w:tc>
          <w:tcPr>
            <w:tcW w:type="dxa" w:w="4873"/>
            <w:shd w:fill="D9EAF7"/>
            <w:vAlign w:val="center"/>
          </w:tcPr>
          <w:p>
            <w:pPr>
              <w:jc w:val="center"/>
            </w:pPr>
            <w:r/>
            <w:r>
              <w:rPr>
                <w:rFonts w:ascii="Aptos" w:hAnsi="Aptos"/>
                <w:b/>
                <w:color w:val="1F4E79"/>
                <w:sz w:val="20"/>
              </w:rPr>
              <w:t>Default runtime color</w:t>
            </w:r>
          </w:p>
        </w:tc>
      </w:tr>
      <w:tr>
        <w:tc>
          <w:tcPr>
            <w:tcW w:type="dxa" w:w="4873"/>
            <w:vAlign w:val="center"/>
          </w:tcPr>
          <w:p>
            <w:pPr>
              <w:jc w:val="left"/>
            </w:pPr>
            <w:r/>
            <w:r>
              <w:rPr>
                <w:rFonts w:ascii="Aptos" w:hAnsi="Aptos"/>
                <w:b w:val="0"/>
                <w:sz w:val="20"/>
              </w:rPr>
              <w:t>residential_house / residential_apartment</w:t>
            </w:r>
          </w:p>
        </w:tc>
        <w:tc>
          <w:tcPr>
            <w:tcW w:type="dxa" w:w="4873"/>
            <w:vAlign w:val="center"/>
          </w:tcPr>
          <w:p>
            <w:pPr>
              <w:jc w:val="center"/>
            </w:pPr>
            <w:r/>
            <w:r>
              <w:rPr>
                <w:rFonts w:ascii="Aptos" w:hAnsi="Aptos"/>
                <w:b w:val="0"/>
                <w:sz w:val="20"/>
              </w:rPr>
              <w:t>yellow / orange</w:t>
            </w:r>
          </w:p>
        </w:tc>
      </w:tr>
      <w:tr>
        <w:tc>
          <w:tcPr>
            <w:tcW w:type="dxa" w:w="4873"/>
            <w:vAlign w:val="center"/>
          </w:tcPr>
          <w:p>
            <w:pPr>
              <w:jc w:val="left"/>
            </w:pPr>
            <w:r/>
            <w:r>
              <w:rPr>
                <w:rFonts w:ascii="Aptos" w:hAnsi="Aptos"/>
                <w:b w:val="0"/>
                <w:sz w:val="20"/>
              </w:rPr>
              <w:t>school</w:t>
            </w:r>
          </w:p>
        </w:tc>
        <w:tc>
          <w:tcPr>
            <w:tcW w:type="dxa" w:w="4873"/>
            <w:vAlign w:val="center"/>
          </w:tcPr>
          <w:p>
            <w:pPr>
              <w:jc w:val="center"/>
            </w:pPr>
            <w:r/>
            <w:r>
              <w:rPr>
                <w:rFonts w:ascii="Aptos" w:hAnsi="Aptos"/>
                <w:b w:val="0"/>
                <w:sz w:val="20"/>
              </w:rPr>
              <w:t>blue</w:t>
            </w:r>
          </w:p>
        </w:tc>
      </w:tr>
      <w:tr>
        <w:tc>
          <w:tcPr>
            <w:tcW w:type="dxa" w:w="4873"/>
            <w:vAlign w:val="center"/>
          </w:tcPr>
          <w:p>
            <w:pPr>
              <w:jc w:val="left"/>
            </w:pPr>
            <w:r/>
            <w:r>
              <w:rPr>
                <w:rFonts w:ascii="Aptos" w:hAnsi="Aptos"/>
                <w:b w:val="0"/>
                <w:sz w:val="20"/>
              </w:rPr>
              <w:t>hospital</w:t>
            </w:r>
          </w:p>
        </w:tc>
        <w:tc>
          <w:tcPr>
            <w:tcW w:type="dxa" w:w="4873"/>
            <w:vAlign w:val="center"/>
          </w:tcPr>
          <w:p>
            <w:pPr>
              <w:jc w:val="center"/>
            </w:pPr>
            <w:r/>
            <w:r>
              <w:rPr>
                <w:rFonts w:ascii="Aptos" w:hAnsi="Aptos"/>
                <w:b w:val="0"/>
                <w:sz w:val="20"/>
              </w:rPr>
              <w:t>red</w:t>
            </w:r>
          </w:p>
        </w:tc>
      </w:tr>
      <w:tr>
        <w:tc>
          <w:tcPr>
            <w:tcW w:type="dxa" w:w="4873"/>
            <w:vAlign w:val="center"/>
          </w:tcPr>
          <w:p>
            <w:pPr>
              <w:jc w:val="left"/>
            </w:pPr>
            <w:r/>
            <w:r>
              <w:rPr>
                <w:rFonts w:ascii="Aptos" w:hAnsi="Aptos"/>
                <w:b w:val="0"/>
                <w:sz w:val="20"/>
              </w:rPr>
              <w:t>office</w:t>
            </w:r>
          </w:p>
        </w:tc>
        <w:tc>
          <w:tcPr>
            <w:tcW w:type="dxa" w:w="4873"/>
            <w:vAlign w:val="center"/>
          </w:tcPr>
          <w:p>
            <w:pPr>
              <w:jc w:val="center"/>
            </w:pPr>
            <w:r/>
            <w:r>
              <w:rPr>
                <w:rFonts w:ascii="Aptos" w:hAnsi="Aptos"/>
                <w:b w:val="0"/>
                <w:sz w:val="20"/>
              </w:rPr>
              <w:t>cyan</w:t>
            </w:r>
          </w:p>
        </w:tc>
      </w:tr>
      <w:tr>
        <w:tc>
          <w:tcPr>
            <w:tcW w:type="dxa" w:w="4873"/>
            <w:vAlign w:val="center"/>
          </w:tcPr>
          <w:p>
            <w:pPr>
              <w:jc w:val="left"/>
            </w:pPr>
            <w:r/>
            <w:r>
              <w:rPr>
                <w:rFonts w:ascii="Aptos" w:hAnsi="Aptos"/>
                <w:b w:val="0"/>
                <w:sz w:val="20"/>
              </w:rPr>
              <w:t>industrial</w:t>
            </w:r>
          </w:p>
        </w:tc>
        <w:tc>
          <w:tcPr>
            <w:tcW w:type="dxa" w:w="4873"/>
            <w:vAlign w:val="center"/>
          </w:tcPr>
          <w:p>
            <w:pPr>
              <w:jc w:val="center"/>
            </w:pPr>
            <w:r/>
            <w:r>
              <w:rPr>
                <w:rFonts w:ascii="Aptos" w:hAnsi="Aptos"/>
                <w:b w:val="0"/>
                <w:sz w:val="20"/>
              </w:rPr>
              <w:t>gray</w:t>
            </w:r>
          </w:p>
        </w:tc>
      </w:tr>
      <w:tr>
        <w:tc>
          <w:tcPr>
            <w:tcW w:type="dxa" w:w="4873"/>
            <w:vAlign w:val="center"/>
          </w:tcPr>
          <w:p>
            <w:pPr>
              <w:jc w:val="left"/>
            </w:pPr>
            <w:r/>
            <w:r>
              <w:rPr>
                <w:rFonts w:ascii="Aptos" w:hAnsi="Aptos"/>
                <w:b w:val="0"/>
                <w:sz w:val="20"/>
              </w:rPr>
              <w:t>retail</w:t>
            </w:r>
          </w:p>
        </w:tc>
        <w:tc>
          <w:tcPr>
            <w:tcW w:type="dxa" w:w="4873"/>
            <w:vAlign w:val="center"/>
          </w:tcPr>
          <w:p>
            <w:pPr>
              <w:jc w:val="center"/>
            </w:pPr>
            <w:r/>
            <w:r>
              <w:rPr>
                <w:rFonts w:ascii="Aptos" w:hAnsi="Aptos"/>
                <w:b w:val="0"/>
                <w:sz w:val="20"/>
              </w:rPr>
              <w:t>green</w:t>
            </w:r>
          </w:p>
        </w:tc>
      </w:tr>
      <w:tr>
        <w:tc>
          <w:tcPr>
            <w:tcW w:type="dxa" w:w="4873"/>
            <w:vAlign w:val="center"/>
          </w:tcPr>
          <w:p>
            <w:pPr>
              <w:jc w:val="left"/>
            </w:pPr>
            <w:r/>
            <w:r>
              <w:rPr>
                <w:rFonts w:ascii="Aptos" w:hAnsi="Aptos"/>
                <w:b w:val="0"/>
                <w:sz w:val="20"/>
              </w:rPr>
              <w:t>government</w:t>
            </w:r>
          </w:p>
        </w:tc>
        <w:tc>
          <w:tcPr>
            <w:tcW w:type="dxa" w:w="4873"/>
            <w:vAlign w:val="center"/>
          </w:tcPr>
          <w:p>
            <w:pPr>
              <w:jc w:val="center"/>
            </w:pPr>
            <w:r/>
            <w:r>
              <w:rPr>
                <w:rFonts w:ascii="Aptos" w:hAnsi="Aptos"/>
                <w:b w:val="0"/>
                <w:sz w:val="20"/>
              </w:rPr>
              <w:t>purple</w:t>
            </w:r>
          </w:p>
        </w:tc>
      </w:tr>
      <w:tr>
        <w:tc>
          <w:tcPr>
            <w:tcW w:type="dxa" w:w="4873"/>
            <w:vAlign w:val="center"/>
          </w:tcPr>
          <w:p>
            <w:pPr>
              <w:jc w:val="left"/>
            </w:pPr>
            <w:r/>
            <w:r>
              <w:rPr>
                <w:rFonts w:ascii="Aptos" w:hAnsi="Aptos"/>
                <w:b w:val="0"/>
                <w:sz w:val="20"/>
              </w:rPr>
              <w:t>unknown</w:t>
            </w:r>
          </w:p>
        </w:tc>
        <w:tc>
          <w:tcPr>
            <w:tcW w:type="dxa" w:w="4873"/>
            <w:vAlign w:val="center"/>
          </w:tcPr>
          <w:p>
            <w:pPr>
              <w:jc w:val="center"/>
            </w:pPr>
            <w:r/>
            <w:r>
              <w:rPr>
                <w:rFonts w:ascii="Aptos" w:hAnsi="Aptos"/>
                <w:b w:val="0"/>
                <w:sz w:val="20"/>
              </w:rPr>
              <w:t>white</w:t>
            </w:r>
          </w:p>
        </w:tc>
      </w:tr>
    </w:tbl>
    <w:p>
      <w:pPr>
        <w:pStyle w:val="Heading1"/>
      </w:pPr>
      <w:r>
        <w:t>7. Unity runtime implementation</w:t>
      </w:r>
    </w:p>
    <w:p>
      <w:r>
        <w:t>Use tile-based loading. Each tile contains terrain, buildings, roads, bridges, and a metadata subset. Load only nearby tiles and unload distant tiles to maintain frame rate.</w:t>
      </w:r>
    </w:p>
    <w:p>
      <w:r>
        <w:t>Each runtime object must carry a stable semantic ID. On hover or click, Unity should raycast to the object, read its ID, query the metadata dictionary or SQLite-backed cache, and populate the UI panel.</w:t>
      </w:r>
    </w:p>
    <w:p>
      <w:r>
        <w:t>Support multiple visual modes: category colors, height colors, population colors, and highlight/filter modes such as schools only or hospitals only.</w:t>
      </w:r>
    </w:p>
    <w:p>
      <w:r>
        <w:t>Keep logical object separation even if rendering optimization later introduces batching or instancing. Selection must still resolve back to one building ID.</w:t>
      </w:r>
    </w:p>
    <w:p>
      <w:pPr>
        <w:pStyle w:val="Heading1"/>
      </w:pPr>
      <w:r>
        <w:t>8. Development milestones</w:t>
      </w:r>
    </w:p>
    <w:p>
      <w:pPr>
        <w:pStyle w:val="ListBullet"/>
      </w:pPr>
      <w:r>
        <w:rPr>
          <w:b/>
        </w:rPr>
        <w:t xml:space="preserve">Milestone 1 — vertical slice: </w:t>
      </w:r>
      <w:r>
        <w:t>One small urban area with terrain, 50–200 buildings, roads, one bridge, hover metadata, and category colors.</w:t>
      </w:r>
    </w:p>
    <w:p>
      <w:pPr>
        <w:pStyle w:val="ListBullet"/>
      </w:pPr>
      <w:r>
        <w:rPr>
          <w:b/>
        </w:rPr>
        <w:t xml:space="preserve">Milestone 2 — semantic expansion: </w:t>
      </w:r>
      <w:r>
        <w:t>Address integration, population estimates, and normalized building classification.</w:t>
      </w:r>
    </w:p>
    <w:p>
      <w:pPr>
        <w:pStyle w:val="ListBullet"/>
      </w:pPr>
      <w:r>
        <w:rPr>
          <w:b/>
        </w:rPr>
        <w:t xml:space="preserve">Milestone 3 — performance and scaling: </w:t>
      </w:r>
      <w:r>
        <w:t>Tile streaming, LODs, asynchronous loading, profiling, and QA tooling.</w:t>
      </w:r>
    </w:p>
    <w:p>
      <w:pPr>
        <w:pStyle w:val="ListBullet"/>
      </w:pPr>
      <w:r>
        <w:rPr>
          <w:b/>
        </w:rPr>
        <w:t xml:space="preserve">Milestone 4 — higher detail: </w:t>
      </w:r>
      <w:r>
        <w:t>Optional roof refinement, better bridge geometry, and richer UI/query modes.</w:t>
      </w:r>
    </w:p>
    <w:p>
      <w:pPr>
        <w:pStyle w:val="Heading1"/>
      </w:pPr>
      <w:r>
        <w:t>9. Risks, quality gates, and non-goals</w:t>
      </w:r>
    </w:p>
    <w:p>
      <w:pPr>
        <w:pStyle w:val="ListBullet"/>
      </w:pPr>
      <w:r>
        <w:t>Do not use raw point clouds as final runtime building geometry when clean footprints are available.</w:t>
      </w:r>
    </w:p>
    <w:p>
      <w:pPr>
        <w:pStyle w:val="ListBullet"/>
      </w:pPr>
      <w:r>
        <w:t>Do not export one giant city mesh; preserve tile-based structure.</w:t>
      </w:r>
    </w:p>
    <w:p>
      <w:pPr>
        <w:pStyle w:val="ListBullet"/>
      </w:pPr>
      <w:r>
        <w:t>Do not hardcode all semantics directly inside Unity prefabs; keep metadata external and versioned.</w:t>
      </w:r>
    </w:p>
    <w:p>
      <w:pPr>
        <w:pStyle w:val="ListBullet"/>
      </w:pPr>
      <w:r>
        <w:t>Do not rely on manual CloudCompare steps for the full production pipeline; use it for inspection and QA only.</w:t>
      </w:r>
    </w:p>
    <w:p>
      <w:pPr>
        <w:pStyle w:val="ListBullet"/>
      </w:pPr>
      <w:r>
        <w:t>Before accepting a tile, validate geometry continuity, negative heights, floating buildings, missing metadata, and bridge anomalies.</w:t>
      </w:r>
    </w:p>
    <w:p>
      <w:pPr>
        <w:pStyle w:val="Heading1"/>
      </w:pPr>
      <w:r>
        <w:t>10. Recommended division of responsibilities</w:t>
      </w:r>
    </w:p>
    <w:tbl>
      <w:tblPr>
        <w:tblStyle w:val="TableGrid"/>
        <w:tblW w:type="auto" w:w="0"/>
        <w:tblLook w:firstColumn="1" w:firstRow="1" w:lastColumn="0" w:lastRow="0" w:noHBand="0" w:noVBand="1" w:val="04A0"/>
      </w:tblPr>
      <w:tblGrid>
        <w:gridCol w:w="4873"/>
        <w:gridCol w:w="4873"/>
      </w:tblGrid>
      <w:tr>
        <w:tc>
          <w:tcPr>
            <w:tcW w:type="dxa" w:w="4873"/>
            <w:shd w:fill="D9EAF7"/>
            <w:vAlign w:val="center"/>
          </w:tcPr>
          <w:p>
            <w:pPr>
              <w:jc w:val="center"/>
            </w:pPr>
            <w:r/>
            <w:r>
              <w:rPr>
                <w:rFonts w:ascii="Aptos" w:hAnsi="Aptos"/>
                <w:b/>
                <w:color w:val="1F4E79"/>
                <w:sz w:val="20"/>
              </w:rPr>
              <w:t>Tool</w:t>
            </w:r>
          </w:p>
        </w:tc>
        <w:tc>
          <w:tcPr>
            <w:tcW w:type="dxa" w:w="4873"/>
            <w:shd w:fill="D9EAF7"/>
            <w:vAlign w:val="center"/>
          </w:tcPr>
          <w:p>
            <w:pPr>
              <w:jc w:val="center"/>
            </w:pPr>
            <w:r/>
            <w:r>
              <w:rPr>
                <w:rFonts w:ascii="Aptos" w:hAnsi="Aptos"/>
                <w:b/>
                <w:color w:val="1F4E79"/>
                <w:sz w:val="20"/>
              </w:rPr>
              <w:t>Primary responsibility</w:t>
            </w:r>
          </w:p>
        </w:tc>
      </w:tr>
      <w:tr>
        <w:tc>
          <w:tcPr>
            <w:tcW w:type="dxa" w:w="4873"/>
            <w:vAlign w:val="center"/>
          </w:tcPr>
          <w:p>
            <w:r/>
            <w:r>
              <w:rPr>
                <w:rFonts w:ascii="Aptos" w:hAnsi="Aptos"/>
                <w:b w:val="0"/>
                <w:sz w:val="20"/>
              </w:rPr>
              <w:t>Python</w:t>
            </w:r>
          </w:p>
        </w:tc>
        <w:tc>
          <w:tcPr>
            <w:tcW w:type="dxa" w:w="4873"/>
            <w:vAlign w:val="center"/>
          </w:tcPr>
          <w:p>
            <w:r/>
            <w:r>
              <w:rPr>
                <w:rFonts w:ascii="Aptos" w:hAnsi="Aptos"/>
                <w:b w:val="0"/>
                <w:sz w:val="20"/>
              </w:rPr>
              <w:t>Main ETL pipeline, mesh generation, joins, export</w:t>
            </w:r>
          </w:p>
        </w:tc>
      </w:tr>
      <w:tr>
        <w:tc>
          <w:tcPr>
            <w:tcW w:type="dxa" w:w="4873"/>
            <w:vAlign w:val="center"/>
          </w:tcPr>
          <w:p>
            <w:r/>
            <w:r>
              <w:rPr>
                <w:rFonts w:ascii="Aptos" w:hAnsi="Aptos"/>
                <w:b w:val="0"/>
                <w:sz w:val="20"/>
              </w:rPr>
              <w:t>CloudCompare</w:t>
            </w:r>
          </w:p>
        </w:tc>
        <w:tc>
          <w:tcPr>
            <w:tcW w:type="dxa" w:w="4873"/>
            <w:vAlign w:val="center"/>
          </w:tcPr>
          <w:p>
            <w:r/>
            <w:r>
              <w:rPr>
                <w:rFonts w:ascii="Aptos" w:hAnsi="Aptos"/>
                <w:b w:val="0"/>
                <w:sz w:val="20"/>
              </w:rPr>
              <w:t>Inspection, point-cloud QA, geometry sanity checks</w:t>
            </w:r>
          </w:p>
        </w:tc>
      </w:tr>
      <w:tr>
        <w:tc>
          <w:tcPr>
            <w:tcW w:type="dxa" w:w="4873"/>
            <w:vAlign w:val="center"/>
          </w:tcPr>
          <w:p>
            <w:r/>
            <w:r>
              <w:rPr>
                <w:rFonts w:ascii="Aptos" w:hAnsi="Aptos"/>
                <w:b w:val="0"/>
                <w:sz w:val="20"/>
              </w:rPr>
              <w:t>C++ / Qt</w:t>
            </w:r>
          </w:p>
        </w:tc>
        <w:tc>
          <w:tcPr>
            <w:tcW w:type="dxa" w:w="4873"/>
            <w:vAlign w:val="center"/>
          </w:tcPr>
          <w:p>
            <w:r/>
            <w:r>
              <w:rPr>
                <w:rFonts w:ascii="Aptos" w:hAnsi="Aptos"/>
                <w:b w:val="0"/>
                <w:sz w:val="20"/>
              </w:rPr>
              <w:t>Tile browser, metadata correction tools, QA/editor utilities</w:t>
            </w:r>
          </w:p>
        </w:tc>
      </w:tr>
      <w:tr>
        <w:tc>
          <w:tcPr>
            <w:tcW w:type="dxa" w:w="4873"/>
            <w:vAlign w:val="center"/>
          </w:tcPr>
          <w:p>
            <w:r/>
            <w:r>
              <w:rPr>
                <w:rFonts w:ascii="Aptos" w:hAnsi="Aptos"/>
                <w:b w:val="0"/>
                <w:sz w:val="20"/>
              </w:rPr>
              <w:t>Unity</w:t>
            </w:r>
          </w:p>
        </w:tc>
        <w:tc>
          <w:tcPr>
            <w:tcW w:type="dxa" w:w="4873"/>
            <w:vAlign w:val="center"/>
          </w:tcPr>
          <w:p>
            <w:r/>
            <w:r>
              <w:rPr>
                <w:rFonts w:ascii="Aptos" w:hAnsi="Aptos"/>
                <w:b w:val="0"/>
                <w:sz w:val="20"/>
              </w:rPr>
              <w:t>Runtime rendering, interaction, UI, streaming, filtering</w:t>
            </w:r>
          </w:p>
        </w:tc>
      </w:tr>
    </w:tbl>
    <w:p>
      <w:pPr>
        <w:pStyle w:val="Heading1"/>
      </w:pPr>
      <w:r>
        <w:t>11. Final implementation rule</w:t>
      </w:r>
    </w:p>
    <w:tbl>
      <w:tblPr>
        <w:tblW w:type="auto" w:w="0"/>
        <w:jc w:val="center"/>
        <w:tblLook w:firstColumn="1" w:firstRow="1" w:lastColumn="0" w:lastRow="0" w:noHBand="0" w:noVBand="1" w:val="04A0"/>
      </w:tblPr>
      <w:tblGrid>
        <w:gridCol w:w="9746"/>
      </w:tblGrid>
      <w:tr>
        <w:tc>
          <w:tcPr>
            <w:tcW w:type="dxa" w:w="9746"/>
            <w:shd w:fill="FFF2CC"/>
            <w:vAlign w:val="center"/>
          </w:tcPr>
          <w:p>
            <w:pPr>
              <w:jc w:val="center"/>
            </w:pPr>
            <w:r/>
            <w:r>
              <w:rPr>
                <w:rFonts w:ascii="Aptos" w:hAnsi="Aptos"/>
                <w:b/>
                <w:color w:val="783C00"/>
                <w:sz w:val="21"/>
              </w:rPr>
              <w:t>Treat LiDAR and DSM as measurement inputs, not as the final city model. Build structured meshes and external semantics on top, then stream those assets into Unity as separately selectable urban objects.</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keepNext/>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Aptos" w:hAnsi="Aptos"/>
      <w:i/>
      <w:iCs/>
      <w:color w:val="5F5F5F"/>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pPr>
      <w:spacing w:after="160"/>
    </w:pPr>
    <w:rPr>
      <w:rFonts w:ascii="Aptos Display" w:hAnsi="Aptos Display"/>
      <w:b/>
      <w:color w:val="1F4E79"/>
      <w:sz w:val="44"/>
    </w:rPr>
  </w:style>
  <w:style w:type="paragraph" w:customStyle="1" w:styleId="NoteBox">
    <w:name w:val="NoteBox"/>
    <w:basedOn w:val="Normal"/>
    <w:pPr>
      <w:spacing w:before="40" w:after="40"/>
      <w:ind w:left="113"/>
    </w:pPr>
    <w:rPr>
      <w:rFonts w:ascii="Aptos" w:hAnsi="Aptos"/>
      <w:color w:val="40404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