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Part C in Plain English — Get Ready for Work That Doesn't Exist Yet</w:t>
      </w:r>
    </w:p>
    <w:p>
      <w:pPr>
        <w:spacing w:after="120"/>
      </w:pPr>
      <w:r>
        <w:rPr>
          <w:i/>
          <w:iCs/>
          <w:color w:val="555555"/>
          <w:sz w:val="20"/>
          <w:szCs w:val="20"/>
        </w:rPr>
        <w:t xml:space="preserve">No task is named. The robot charges up and positions itself where work usually appears.</w:t>
      </w:r>
    </w:p>
    <w:p>
      <w:pPr>
        <w:pStyle w:val="Heading1"/>
        <w:spacing w:after="130" w:before="280"/>
      </w:pPr>
      <w:r>
        <w:t xml:space="preserve">The story</w:t>
      </w:r>
    </w:p>
    <w:p>
      <w:pPr>
        <w:spacing w:after="140"/>
      </w:pPr>
      <w:r>
        <w:rPr>
          <w:sz w:val="22"/>
          <w:szCs w:val="22"/>
        </w:rPr>
        <w:t xml:space="preserve">A taxi driver with no fare doesn't park randomly — they drift toward the airport because a flight lands in twenty minutes. No customer exists YET, but history says one will. Part C is robots doing that.</w:t>
      </w:r>
    </w:p>
    <w:p>
      <w:pPr>
        <w:pStyle w:val="Heading1"/>
        <w:spacing w:after="130" w:before="280"/>
      </w:pPr>
      <w:r>
        <w:t xml:space="preserve">Why it must exist</w:t>
      </w:r>
    </w:p>
    <w:p>
      <w:pPr>
        <w:spacing w:after="140"/>
      </w:pPr>
      <w:r>
        <w:rPr>
          <w:sz w:val="22"/>
          <w:szCs w:val="22"/>
        </w:rPr>
        <w:t xml:space="preserve">Because orders stream in over time, and you cannot write a Part B plan toward a task that has no ID, location, or deadline yet. The only way to prepare for unarrived work is to reason about how likely it is and where. (If all tasks were known upfront and none ever arrived, this demand math could be switched off — but our warehouse is the streaming kind.)</w:t>
      </w:r>
    </w:p>
    <w:p>
      <w:pPr>
        <w:pStyle w:val="Heading1"/>
        <w:spacing w:after="130" w:before="280"/>
      </w:pPr>
      <w:r>
        <w:t xml:space="preserve">The four benefits a get-ready plan can earn</w:t>
      </w:r>
    </w:p>
    <w:p>
      <w:pPr>
        <w:pStyle w:val="ListParagraph"/>
        <w:numPr>
          <w:ilvl w:val="0"/>
          <w:numId w:val="2"/>
        </w:numPr>
        <w:spacing w:after="90"/>
      </w:pPr>
      <w:r>
        <w:rPr>
          <w:b/>
          <w:bCs/>
          <w:sz w:val="22"/>
          <w:szCs w:val="22"/>
          <w:highlight w:val="yellow"/>
          <w:highlightCs w:val="yellow"/>
        </w:rPr>
        <w:t xml:space="preserve">1. Being near future work.</w:t>
      </w:r>
      <w:r>
        <w:rPr>
          <w:sz w:val="22"/>
          <w:szCs w:val="22"/>
        </w:rPr>
        <w:t xml:space="preserve"> Count history: the </w:t>
      </w:r>
      <w:r>
        <w:rPr>
          <w:b/>
          <w:bCs/>
          <w:sz w:val="22"/>
          <w:szCs w:val="22"/>
        </w:rPr>
        <w:t xml:space="preserve">arrival rate</w:t>
      </w:r>
      <w:r>
        <w:rPr>
          <w:rStyle w:val="FootnoteReference"/>
        </w:rPr>
        <w:footnoteReference w:id="1"/>
      </w:r>
      <w:r>
        <w:rPr>
          <w:sz w:val="22"/>
          <w:szCs w:val="22"/>
        </w:rPr>
        <w:t xml:space="preserve"> near Station A says how often orders pop up there. That count becomes </w:t>
      </w:r>
      <w:r>
        <w:rPr>
          <w:b/>
          <w:bCs/>
          <w:sz w:val="22"/>
          <w:szCs w:val="22"/>
        </w:rPr>
        <w:t xml:space="preserve">future_area_action_value</w:t>
      </w:r>
      <w:r>
        <w:rPr>
          <w:rStyle w:val="FootnoteReference"/>
        </w:rPr>
        <w:footnoteReference w:id="2"/>
      </w:r>
      <w:r>
        <w:rPr>
          <w:sz w:val="22"/>
          <w:szCs w:val="22"/>
        </w:rPr>
        <w:t xml:space="preserve"> — </w:t>
      </w:r>
      <w:r>
        <w:rPr>
          <w:b/>
          <w:bCs/>
          <w:sz w:val="22"/>
          <w:szCs w:val="22"/>
          <w:highlight w:val="yellow"/>
          <w:highlightCs w:val="yellow"/>
        </w:rPr>
        <w:t xml:space="preserve">chance x value x closeness x fit</w:t>
      </w:r>
      <w:r>
        <w:rPr>
          <w:sz w:val="22"/>
          <w:szCs w:val="22"/>
        </w:rPr>
        <w:t xml:space="preserve">. Demand is </w:t>
      </w:r>
      <w:r>
        <w:rPr>
          <w:b/>
          <w:bCs/>
          <w:sz w:val="22"/>
          <w:szCs w:val="22"/>
        </w:rPr>
        <w:t xml:space="preserve">exogenous</w:t>
      </w:r>
      <w:r>
        <w:rPr>
          <w:rStyle w:val="FootnoteReference"/>
        </w:rPr>
        <w:footnoteReference w:id="3"/>
      </w:r>
      <w:r>
        <w:rPr>
          <w:sz w:val="22"/>
          <w:szCs w:val="22"/>
        </w:rPr>
        <w:t xml:space="preserve">, so this is the most uncertain guess in the whole system — which is why the guard below exists.</w:t>
      </w:r>
    </w:p>
    <w:p>
      <w:pPr>
        <w:pStyle w:val="ListParagraph"/>
        <w:numPr>
          <w:ilvl w:val="0"/>
          <w:numId w:val="2"/>
        </w:numPr>
        <w:spacing w:after="90"/>
      </w:pPr>
      <w:r>
        <w:rPr>
          <w:b/>
          <w:bCs/>
          <w:sz w:val="22"/>
          <w:szCs w:val="22"/>
          <w:highlight w:val="yellow"/>
          <w:highlightCs w:val="yellow"/>
        </w:rPr>
        <w:t xml:space="preserve">2. Keeping options open.</w:t>
      </w:r>
      <w:r>
        <w:rPr>
          <w:sz w:val="22"/>
          <w:szCs w:val="22"/>
        </w:rPr>
        <w:t xml:space="preserve"> </w:t>
      </w:r>
      <w:r>
        <w:rPr>
          <w:b/>
          <w:bCs/>
          <w:sz w:val="22"/>
          <w:szCs w:val="22"/>
        </w:rPr>
        <w:t xml:space="preserve">Deferred commitment</w:t>
      </w:r>
      <w:r>
        <w:rPr>
          <w:rStyle w:val="FootnoteReference"/>
        </w:rPr>
        <w:footnoteReference w:id="4"/>
      </w:r>
      <w:r>
        <w:rPr>
          <w:sz w:val="22"/>
          <w:szCs w:val="22"/>
        </w:rPr>
        <w:t xml:space="preserve">: </w:t>
      </w:r>
      <w:r>
        <w:rPr>
          <w:b/>
          <w:bCs/>
          <w:sz w:val="22"/>
          <w:szCs w:val="22"/>
          <w:highlight w:val="yellow"/>
          <w:highlightCs w:val="yellow"/>
        </w:rPr>
        <w:t xml:space="preserve">'charge now, choose later'</w:t>
      </w:r>
      <w:r>
        <w:rPr>
          <w:sz w:val="22"/>
          <w:szCs w:val="22"/>
        </w:rPr>
        <w:t xml:space="preserve"> beats naming a task that might be gone by the time you're charged — and you don't know yet which regions the OTHER robots' next choices will free up.</w:t>
      </w:r>
    </w:p>
    <w:p>
      <w:pPr>
        <w:pStyle w:val="ListParagraph"/>
        <w:numPr>
          <w:ilvl w:val="0"/>
          <w:numId w:val="2"/>
        </w:numPr>
        <w:spacing w:after="90"/>
      </w:pPr>
      <w:r>
        <w:rPr>
          <w:b/>
          <w:bCs/>
          <w:sz w:val="22"/>
          <w:szCs w:val="22"/>
          <w:highlight w:val="yellow"/>
          <w:highlightCs w:val="yellow"/>
        </w:rPr>
        <w:t xml:space="preserve">3. Scouting.</w:t>
      </w:r>
      <w:r>
        <w:rPr>
          <w:sz w:val="22"/>
          <w:szCs w:val="22"/>
        </w:rPr>
        <w:t xml:space="preserve"> If a </w:t>
      </w:r>
      <w:r>
        <w:rPr>
          <w:b/>
          <w:bCs/>
          <w:sz w:val="22"/>
          <w:szCs w:val="22"/>
        </w:rPr>
        <w:t xml:space="preserve">rumor</w:t>
      </w:r>
      <w:r>
        <w:rPr>
          <w:rStyle w:val="FootnoteReference"/>
        </w:rPr>
        <w:footnoteReference w:id="5"/>
      </w:r>
      <w:r>
        <w:rPr>
          <w:sz w:val="22"/>
          <w:szCs w:val="22"/>
        </w:rPr>
        <w:t xml:space="preserve"> about aisle D is stuck at 'maybe' and lots of planned routes run through D, swinging a free robot past it has real </w:t>
      </w:r>
      <w:r>
        <w:rPr>
          <w:b/>
          <w:bCs/>
          <w:sz w:val="22"/>
          <w:szCs w:val="22"/>
        </w:rPr>
        <w:t xml:space="preserve">information value</w:t>
      </w:r>
      <w:r>
        <w:rPr>
          <w:rStyle w:val="FootnoteReference"/>
        </w:rPr>
        <w:footnoteReference w:id="6"/>
      </w:r>
      <w:r>
        <w:rPr>
          <w:sz w:val="22"/>
          <w:szCs w:val="22"/>
        </w:rPr>
        <w:t xml:space="preserve">: </w:t>
      </w:r>
      <w:r>
        <w:rPr>
          <w:b/>
          <w:bCs/>
          <w:sz w:val="22"/>
          <w:szCs w:val="22"/>
          <w:highlight w:val="yellow"/>
          <w:highlightCs w:val="yellow"/>
        </w:rPr>
        <w:t xml:space="preserve">a clean pass kills the rumor, a sighting confirms it</w:t>
      </w:r>
      <w:r>
        <w:rPr>
          <w:sz w:val="22"/>
          <w:szCs w:val="22"/>
        </w:rPr>
        <w:t xml:space="preserve">. Either answer helps the whole fleet. Part C support routes also get Part B's curious-routing bonus: if two routes toward a future area score nearly the same, prefer the one brushing a LOW-belief rumor — same taper, fading to zero by mid belief. Deliberate scouting may study scarier mid-belief zones, but from adjacent safe cells, never by driving through. And scouting purely for its own sake — no future area at the end of the trip — only makes sense when the robot is ALREADY next to the ambiguous zone, where the look costs almost nothing; the travel-cost and idle terms already produce exactly this behavior, no extra rule needed.</w:t>
      </w:r>
    </w:p>
    <w:p>
      <w:pPr>
        <w:pStyle w:val="ListParagraph"/>
        <w:numPr>
          <w:ilvl w:val="0"/>
          <w:numId w:val="2"/>
        </w:numPr>
        <w:spacing w:after="90"/>
      </w:pPr>
      <w:r>
        <w:rPr>
          <w:b/>
          <w:bCs/>
          <w:sz w:val="22"/>
          <w:szCs w:val="22"/>
          <w:highlight w:val="yellow"/>
          <w:highlightCs w:val="yellow"/>
        </w:rPr>
        <w:t xml:space="preserve">4. Readiness.</w:t>
      </w:r>
      <w:r>
        <w:rPr>
          <w:sz w:val="22"/>
          <w:szCs w:val="22"/>
        </w:rPr>
        <w:t xml:space="preserve"> More battery and more escape routes make the robot more useful wherever work lands.</w:t>
      </w:r>
    </w:p>
    <w:p>
      <w:pPr>
        <w:pStyle w:val="Heading1"/>
        <w:spacing w:after="130" w:before="280"/>
      </w:pPr>
      <w:r>
        <w:t xml:space="preserve">The two guards</w:t>
      </w:r>
    </w:p>
    <w:p>
      <w:pPr>
        <w:pStyle w:val="ListParagraph"/>
        <w:numPr>
          <w:ilvl w:val="0"/>
          <w:numId w:val="2"/>
        </w:numPr>
        <w:spacing w:after="90"/>
      </w:pPr>
      <w:r>
        <w:rPr>
          <w:b/>
          <w:bCs/>
          <w:sz w:val="22"/>
          <w:szCs w:val="22"/>
          <w:highlight w:val="yellow"/>
          <w:highlightCs w:val="yellow"/>
        </w:rPr>
        <w:t xml:space="preserve">Guard 1 — the idle penalty</w:t>
      </w:r>
      <w:r>
        <w:rPr>
          <w:rStyle w:val="FootnoteReference"/>
        </w:rPr>
        <w:footnoteReference w:id="7"/>
      </w:r>
      <w:r>
        <w:rPr>
          <w:b/>
          <w:bCs/>
          <w:sz w:val="22"/>
          <w:szCs w:val="22"/>
          <w:highlight w:val="yellow"/>
          <w:highlightCs w:val="yellow"/>
        </w:rPr>
        <w:t xml:space="preserve"> punishes preparing while real tasks wait</w:t>
      </w:r>
      <w:r>
        <w:rPr>
          <w:sz w:val="22"/>
          <w:szCs w:val="22"/>
        </w:rPr>
        <w:t xml:space="preserve">. Robots shouldn't be stretching while orders pile up — with good work on the board, direct plans should and do win.</w:t>
      </w:r>
    </w:p>
    <w:p>
      <w:pPr>
        <w:pStyle w:val="ListParagraph"/>
        <w:numPr>
          <w:ilvl w:val="0"/>
          <w:numId w:val="2"/>
        </w:numPr>
        <w:spacing w:after="90"/>
      </w:pPr>
      <w:r>
        <w:rPr>
          <w:b/>
          <w:bCs/>
          <w:sz w:val="22"/>
          <w:szCs w:val="22"/>
          <w:highlight w:val="yellow"/>
          <w:highlightCs w:val="yellow"/>
        </w:rPr>
        <w:t xml:space="preserve">Guard 2 — the safety split.</w:t>
      </w:r>
      <w:r>
        <w:rPr>
          <w:sz w:val="22"/>
          <w:szCs w:val="22"/>
        </w:rPr>
        <w:t xml:space="preserve"> Real trouble is an </w:t>
      </w:r>
      <w:r>
        <w:rPr>
          <w:b/>
          <w:bCs/>
          <w:sz w:val="22"/>
          <w:szCs w:val="22"/>
          <w:highlight w:val="yellow"/>
          <w:highlightCs w:val="yellow"/>
        </w:rPr>
        <w:t xml:space="preserve">emergency</w:t>
      </w:r>
      <w:r>
        <w:rPr>
          <w:rStyle w:val="FootnoteReference"/>
        </w:rPr>
        <w:footnoteReference w:id="8"/>
      </w:r>
      <w:r>
        <w:rPr>
          <w:b/>
          <w:bCs/>
          <w:sz w:val="22"/>
          <w:szCs w:val="22"/>
          <w:highlight w:val="yellow"/>
          <w:highlightCs w:val="yellow"/>
        </w:rPr>
        <w:t xml:space="preserve"> — an alarm goes off, and only plans that fix it are allowed</w:t>
      </w:r>
      <w:r>
        <w:rPr>
          <w:sz w:val="22"/>
          <w:szCs w:val="22"/>
        </w:rPr>
        <w:t xml:space="preserve">; no score can outbid it. Mild discomfort (battery a bit low, slightly exposed spot) stays an ordinary score a juicy task can beat. Fire alarm vs. 'it's a bit chilly.'</w:t>
      </w:r>
    </w:p>
    <w:p>
      <w:pPr>
        <w:pStyle w:val="ListParagraph"/>
        <w:numPr>
          <w:ilvl w:val="0"/>
          <w:numId w:val="2"/>
        </w:numPr>
        <w:spacing w:after="90"/>
      </w:pPr>
      <w:r>
        <w:rPr>
          <w:sz w:val="22"/>
          <w:szCs w:val="22"/>
        </w:rPr>
        <w:t xml:space="preserve">What counts as an emergency — four situations, each one unrecoverable if ignored: battery so low the window to reach ANY charger is closing; robot physically stuck; robot sitting inside a confirmed hazard; robot blocking a corridor others need. What happens: the condition fires a decision event IMMEDIATELY (like a struggle signal), and the menu is filtered BEFORE scoring — every plan that doesn't fix the problem is deleted, the same way crashes are deleted. Then the score runs normally on what's left: three reachable chargers still get compared, and the best one wins. The alarm doesn't bypass intelligence — it shrinks the menu to only-safe options. The dividing line vs. mild: battery 0.40 = discomfort, tradeable; battery 0.12 with the last charger 15 steps away = emergency, because waiting makes it unfixable. Recoverable-later = score it; unrecoverable = alarm. And this guard is GLOBAL: it sits above all plan types — a robot on an active task, mid-pit-stop, or getting ready all trip the same alarm. It is checked at every decision moment and during driving, not just when picking Part C plans.</w:t>
      </w:r>
    </w:p>
    <w:p>
      <w:pPr>
        <w:pStyle w:val="Heading1"/>
        <w:spacing w:after="130" w:before="280"/>
      </w:pPr>
      <w:r>
        <w:t xml:space="preserve">One breath</w:t>
      </w:r>
    </w:p>
    <w:p>
      <w:pPr>
        <w:spacing w:after="140"/>
      </w:pPr>
      <w:r>
        <w:rPr>
          <w:sz w:val="22"/>
          <w:szCs w:val="22"/>
        </w:rPr>
        <w:t xml:space="preserve">Park where work usually appears, keep the choice open, peek at rumors on the way, top up the battery — but never while real work waits, and never instead of answering an alarm.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Arrival rate / Poisson: fancy words for 'orders showed up near here about this often before; assume they keep doing that.' It's counting history.</w:t>
      </w:r>
    </w:p>
  </w:footnote>
  <w:footnote w:id="2">
    <w:p>
      <w:r>
        <w:rPr>
          <w:rStyle w:val="FootnoteReference"/>
        </w:rPr>
        <w:footnoteRef/>
      </w:r>
      <w:r>
        <w:rPr>
          <w:sz w:val="18"/>
          <w:szCs w:val="18"/>
        </w:rPr>
        <w:t xml:space="preserve">future_area_action_value: chance work appears x how valuable it usually is x how close you'd be x whether you're the right robot type. Summed over all areas the end spot serves.</w:t>
      </w:r>
    </w:p>
  </w:footnote>
  <w:footnote w:id="3">
    <w:p>
      <w:r>
        <w:rPr>
          <w:rStyle w:val="FootnoteReference"/>
        </w:rPr>
        <w:footnoteRef/>
      </w:r>
      <w:r>
        <w:rPr>
          <w:sz w:val="18"/>
          <w:szCs w:val="18"/>
        </w:rPr>
        <w:t xml:space="preserve">Exogenous: happening regardless of what robots do. Task demand is the system's third kind of prediction, alongside 'consequences of my route' and 'what's blocking the aisle'.</w:t>
      </w:r>
    </w:p>
  </w:footnote>
  <w:footnote w:id="4">
    <w:p>
      <w:r>
        <w:rPr>
          <w:rStyle w:val="FootnoteReference"/>
        </w:rPr>
        <w:footnoteRef/>
      </w:r>
      <w:r>
        <w:rPr>
          <w:sz w:val="18"/>
          <w:szCs w:val="18"/>
        </w:rPr>
        <w:t xml:space="preserve">Deferred commitment / option value: the value of deciding later, when you'll know more. Committing to a task now is brittle — another robot may grab it while you charge.</w:t>
      </w:r>
    </w:p>
  </w:footnote>
  <w:footnote w:id="5">
    <w:p>
      <w:r>
        <w:rPr>
          <w:rStyle w:val="FootnoteReference"/>
        </w:rPr>
        <w:footnoteRef/>
      </w:r>
      <w:r>
        <w:rPr>
          <w:sz w:val="18"/>
          <w:szCs w:val="18"/>
        </w:rPr>
        <w:t xml:space="preserve">Beta belief / rumor score: each cell's 'is something wrong here?' number. A clean drive-through is evidence too — it lowers the rumor.</w:t>
      </w:r>
    </w:p>
  </w:footnote>
  <w:footnote w:id="6">
    <w:p>
      <w:r>
        <w:rPr>
          <w:rStyle w:val="FootnoteReference"/>
        </w:rPr>
        <w:footnoteRef/>
      </w:r>
      <w:r>
        <w:rPr>
          <w:sz w:val="18"/>
          <w:szCs w:val="18"/>
        </w:rPr>
        <w:t xml:space="preserve">Information value: what a look is worth — big when a rumor is very uncertain AND the aisle matters to planned traffic.</w:t>
      </w:r>
    </w:p>
  </w:footnote>
  <w:footnote w:id="7">
    <w:p>
      <w:r>
        <w:rPr>
          <w:rStyle w:val="FootnoteReference"/>
        </w:rPr>
        <w:footnoteRef/>
      </w:r>
      <w:r>
        <w:rPr>
          <w:sz w:val="18"/>
          <w:szCs w:val="18"/>
        </w:rPr>
        <w:t xml:space="preserve">Idle penalty: the 'stop stretching, there's work to do' term. Suppresses get-ready plans whenever good real tasks sit on the board.</w:t>
      </w:r>
    </w:p>
  </w:footnote>
  <w:footnote w:id="8">
    <w:p>
      <w:r>
        <w:rPr>
          <w:rStyle w:val="FootnoteReference"/>
        </w:rPr>
        <w:footnoteRef/>
      </w:r>
      <w:r>
        <w:rPr>
          <w:sz w:val="18"/>
          <w:szCs w:val="18"/>
        </w:rPr>
        <w:t xml:space="preserve">Emergency tier: battery about to strand the robot, robot stuck, robot inside a confirmed hazard, or blocking a needed corridor. An alarm, not an opinion — only escape plans are allowed on the menu.</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34"/>
      <w:szCs w:val="34"/>
    </w:rPr>
  </w:style>
  <w:style w:type="paragraph" w:styleId="Heading1">
    <w:name w:val="Heading 1"/>
    <w:basedOn w:val="Normal"/>
    <w:next w:val="Normal"/>
    <w:qFormat/>
    <w:rPr>
      <w:b/>
      <w:bCs/>
      <w:color w:val="1F3864"/>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2026-07-03T06:53:44.724Z</dcterms:created>
  <dcterms:modified xsi:type="dcterms:W3CDTF">2026-07-03T06:53:44.724Z</dcterms:modified>
</cp:coreProperties>
</file>

<file path=docProps/custom.xml><?xml version="1.0" encoding="utf-8"?>
<Properties xmlns="http://schemas.openxmlformats.org/officeDocument/2006/custom-properties" xmlns:vt="http://schemas.openxmlformats.org/officeDocument/2006/docPropsVTypes"/>
</file>