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60"/>
      </w:pPr>
      <w:r>
        <w:rPr>
          <w:b/>
          <w:color w:val="167D9A"/>
          <w:sz w:val="24"/>
        </w:rPr>
        <w:t>ENTERPRISE RAG BOT</w:t>
      </w:r>
    </w:p>
    <w:p>
      <w:pPr>
        <w:spacing w:after="120"/>
      </w:pPr>
      <w:r>
        <w:rPr>
          <w:b/>
          <w:color w:val="123653"/>
          <w:sz w:val="56"/>
        </w:rPr>
        <w:t>Architecture Document</w:t>
      </w:r>
    </w:p>
    <w:p>
      <w:pPr>
        <w:spacing w:after="360"/>
      </w:pPr>
      <w:r>
        <w:rPr>
          <w:color w:val="5E7180"/>
          <w:sz w:val="26"/>
        </w:rPr>
        <w:t>Local-first retrieval-augmented question answering for HR, technical, and compliance knowledge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700"/>
        <w:gridCol w:w="6660"/>
      </w:tblGrid>
      <w:tr>
        <w:tc>
          <w:tcPr>
            <w:tcW w:type="dxa" w:w="2700"/>
            <w:shd w:fill="EAF2F7"/>
            <w:vAlign w:val="center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6660"/>
            <w:vAlign w:val="center"/>
          </w:tcPr>
          <w:p>
            <w:r>
              <w:t>Enterprise RAG Bot</w:t>
            </w:r>
          </w:p>
        </w:tc>
      </w:tr>
      <w:tr>
        <w:tc>
          <w:tcPr>
            <w:tcW w:type="dxa" w:w="2700"/>
            <w:shd w:fill="EAF2F7"/>
            <w:vAlign w:val="center"/>
          </w:tcPr>
          <w:p>
            <w:r>
              <w:rPr>
                <w:b/>
              </w:rPr>
              <w:t>Architecture status</w:t>
            </w:r>
          </w:p>
        </w:tc>
        <w:tc>
          <w:tcPr>
            <w:tcW w:type="dxa" w:w="6660"/>
            <w:vAlign w:val="center"/>
          </w:tcPr>
          <w:p>
            <w:r>
              <w:t>Current implementation</w:t>
            </w:r>
          </w:p>
        </w:tc>
      </w:tr>
      <w:tr>
        <w:tc>
          <w:tcPr>
            <w:tcW w:type="dxa" w:w="2700"/>
            <w:shd w:fill="EAF2F7"/>
            <w:vAlign w:val="center"/>
          </w:tcPr>
          <w:p>
            <w:r>
              <w:rPr>
                <w:b/>
              </w:rPr>
              <w:t>Primary runtime</w:t>
            </w:r>
          </w:p>
        </w:tc>
        <w:tc>
          <w:tcPr>
            <w:tcW w:type="dxa" w:w="6660"/>
            <w:vAlign w:val="center"/>
          </w:tcPr>
          <w:p>
            <w:r>
              <w:t>Streamlit + LangGraph + Chroma + Ollama</w:t>
            </w:r>
          </w:p>
        </w:tc>
      </w:tr>
      <w:tr>
        <w:tc>
          <w:tcPr>
            <w:tcW w:type="dxa" w:w="2700"/>
            <w:shd w:fill="EAF2F7"/>
            <w:vAlign w:val="center"/>
          </w:tcPr>
          <w:p>
            <w:r>
              <w:rPr>
                <w:b/>
              </w:rPr>
              <w:t>Document date</w:t>
            </w:r>
          </w:p>
        </w:tc>
        <w:tc>
          <w:tcPr>
            <w:tcW w:type="dxa" w:w="6660"/>
            <w:vAlign w:val="center"/>
          </w:tcPr>
          <w:p>
            <w:r>
              <w:t>2026-08-27</w:t>
            </w:r>
          </w:p>
        </w:tc>
      </w:tr>
    </w:tbl>
    <w:p/>
    <w:p>
      <w:pPr>
        <w:spacing w:before="200" w:after="0"/>
      </w:pPr>
      <w:r>
        <w:rPr>
          <w:b/>
          <w:color w:val="167D9A"/>
          <w:sz w:val="26"/>
        </w:rPr>
        <w:t>Purpose</w:t>
      </w:r>
    </w:p>
    <w:p>
      <w:r>
        <w:t>Define the implemented system boundaries, components, data flows, deployment assumptions, trust controls, and extension points for engineering, operations, and security reviewers.</w:t>
      </w:r>
    </w:p>
    <w:p>
      <w:r>
        <w:br w:type="page"/>
      </w:r>
    </w:p>
    <w:p>
      <w:pPr>
        <w:pStyle w:val="Heading1"/>
        <w:keepNext/>
      </w:pPr>
      <w:r>
        <w:t>1. Executive Summary</w:t>
      </w:r>
    </w:p>
    <w:p>
      <w:r>
        <w:t>The Enterprise RAG Bot is a local-first knowledge assistant that answers questions from approved enterprise documents. It separates corpus administration from end-user question answering and exposes source evidence and workflow status for each answer.</w:t>
      </w:r>
    </w:p>
    <w:p>
      <w:pPr>
        <w:pStyle w:val="ListBullet"/>
        <w:spacing w:after="100" w:line="264" w:lineRule="auto"/>
        <w:ind w:left="720" w:hanging="360"/>
      </w:pPr>
      <w:r>
        <w:t>Three knowledge domains: HR, Technical, and Compliance.</w:t>
      </w:r>
    </w:p>
    <w:p>
      <w:pPr>
        <w:pStyle w:val="ListBullet"/>
        <w:spacing w:after="100" w:line="264" w:lineRule="auto"/>
        <w:ind w:left="720" w:hanging="360"/>
      </w:pPr>
      <w:r>
        <w:t>Two provider modes: Ollama for local inference and OpenAI as a supported alternative.</w:t>
      </w:r>
    </w:p>
    <w:p>
      <w:pPr>
        <w:pStyle w:val="ListBullet"/>
        <w:spacing w:after="100" w:line="264" w:lineRule="auto"/>
        <w:ind w:left="720" w:hanging="360"/>
      </w:pPr>
      <w:r>
        <w:t>Persistent semantic retrieval through a Chroma collection with category-aware filtering.</w:t>
      </w:r>
    </w:p>
    <w:p>
      <w:pPr>
        <w:pStyle w:val="ListBullet"/>
        <w:spacing w:after="100" w:line="264" w:lineRule="auto"/>
        <w:ind w:left="720" w:hanging="360"/>
      </w:pPr>
      <w:r>
        <w:t>A LangGraph state machine controls routing, retrieval, evidence grading, answer generation, and safe refusal.</w:t>
      </w:r>
    </w:p>
    <w:p>
      <w:pPr>
        <w:pStyle w:val="ListBullet"/>
        <w:spacing w:after="100" w:line="264" w:lineRule="auto"/>
        <w:ind w:left="720" w:hanging="360"/>
      </w:pPr>
      <w:r>
        <w:t>Streamlit owns presentation and session history; model and retrieval concerns remain behind Python boundaries.</w:t>
      </w:r>
    </w:p>
    <w:p>
      <w:pPr>
        <w:pStyle w:val="Heading1"/>
        <w:keepNext/>
      </w:pPr>
      <w:r>
        <w:t>2. Architecture Principles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123653"/>
          </w:tcPr>
          <w:p>
            <w:r>
              <w:rPr>
                <w:b/>
                <w:color w:val="FFFFFF"/>
              </w:rPr>
              <w:t>Principle</w:t>
            </w:r>
          </w:p>
        </w:tc>
        <w:tc>
          <w:tcPr>
            <w:tcW w:type="dxa" w:w="6660"/>
            <w:vAlign w:val="center"/>
            <w:shd w:fill="123653"/>
          </w:tcPr>
          <w:p>
            <w:r>
              <w:rPr>
                <w:b/>
                <w:color w:val="FFFFFF"/>
              </w:rPr>
              <w:t>Implementation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sz w:val="19"/>
              </w:rPr>
              <w:t>Ground answers in evidence</w:t>
            </w:r>
          </w:p>
        </w:tc>
        <w:tc>
          <w:tcPr>
            <w:tcW w:type="dxa" w:w="6660"/>
            <w:vAlign w:val="center"/>
          </w:tcPr>
          <w:p>
            <w:pPr>
              <w:spacing w:after="40"/>
            </w:pPr>
            <w:r>
              <w:rPr>
                <w:sz w:val="19"/>
              </w:rPr>
              <w:t>The model receives numbered excerpts and is instructed to cite them.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sz w:val="19"/>
              </w:rPr>
              <w:t>Fail safely</w:t>
            </w:r>
          </w:p>
        </w:tc>
        <w:tc>
          <w:tcPr>
            <w:tcW w:type="dxa" w:w="6660"/>
            <w:vAlign w:val="center"/>
          </w:tcPr>
          <w:p>
            <w:pPr>
              <w:spacing w:after="40"/>
            </w:pPr>
            <w:r>
              <w:rPr>
                <w:sz w:val="19"/>
              </w:rPr>
              <w:t>Weak or missing evidence routes to a refusal instead of an unsupported answer.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sz w:val="19"/>
              </w:rPr>
              <w:t>Keep providers replaceable</w:t>
            </w:r>
          </w:p>
        </w:tc>
        <w:tc>
          <w:tcPr>
            <w:tcW w:type="dxa" w:w="6660"/>
            <w:vAlign w:val="center"/>
          </w:tcPr>
          <w:p>
            <w:pPr>
              <w:spacing w:after="40"/>
            </w:pPr>
            <w:r>
              <w:rPr>
                <w:sz w:val="19"/>
              </w:rPr>
              <w:t>Configuration selects Ollama or OpenAI without changing the UI workflow.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sz w:val="19"/>
              </w:rPr>
              <w:t>Preserve provenance</w:t>
            </w:r>
          </w:p>
        </w:tc>
        <w:tc>
          <w:tcPr>
            <w:tcW w:type="dxa" w:w="6660"/>
            <w:vAlign w:val="center"/>
          </w:tcPr>
          <w:p>
            <w:pPr>
              <w:spacing w:after="40"/>
            </w:pPr>
            <w:r>
              <w:rPr>
                <w:sz w:val="19"/>
              </w:rPr>
              <w:t>Source, category, section, page, and stable chunk ID travel with every chunk.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sz w:val="19"/>
              </w:rPr>
              <w:t>Separate local indexes</w:t>
            </w:r>
          </w:p>
        </w:tc>
        <w:tc>
          <w:tcPr>
            <w:tcW w:type="dxa" w:w="6660"/>
            <w:vAlign w:val="center"/>
          </w:tcPr>
          <w:p>
            <w:pPr>
              <w:spacing w:after="40"/>
            </w:pPr>
            <w:r>
              <w:rPr>
                <w:sz w:val="19"/>
              </w:rPr>
              <w:t>Ollama and OpenAI indexes use distinct persistence paths to avoid embedding-dimension conflicts.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3. Logical Architecture</w:t>
      </w:r>
    </w:p>
    <w:p>
      <w:r>
        <w:t>The diagram shows the major runtime components and the two principal flows: document ingestion and question answering.</w:t>
      </w:r>
    </w:p>
    <w:p>
      <w:r>
        <w:drawing>
          <wp:inline xmlns:a="http://schemas.openxmlformats.org/drawingml/2006/main" xmlns:pic="http://schemas.openxmlformats.org/drawingml/2006/picture">
            <wp:extent cx="5897880" cy="33175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7180"/>
          <w:sz w:val="18"/>
        </w:rPr>
        <w:t>Figure 1. Logical architecture and trust boundary</w:t>
      </w:r>
    </w:p>
    <w:p>
      <w:pPr>
        <w:pStyle w:val="Heading1"/>
        <w:keepNext/>
      </w:pPr>
      <w:r>
        <w:t>4. Component Responsibilities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00"/>
        <w:gridCol w:w="2100"/>
        <w:gridCol w:w="5360"/>
      </w:tblGrid>
      <w:tr>
        <w:tc>
          <w:tcPr>
            <w:tcW w:type="dxa" w:w="1900"/>
            <w:vAlign w:val="center"/>
            <w:shd w:fill="123653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100"/>
            <w:vAlign w:val="center"/>
            <w:shd w:fill="123653"/>
          </w:tcPr>
          <w:p>
            <w:r>
              <w:rPr>
                <w:b/>
                <w:color w:val="FFFFFF"/>
              </w:rPr>
              <w:t>Location</w:t>
            </w:r>
          </w:p>
        </w:tc>
        <w:tc>
          <w:tcPr>
            <w:tcW w:type="dxa" w:w="5360"/>
            <w:vAlign w:val="center"/>
            <w:shd w:fill="123653"/>
          </w:tcPr>
          <w:p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sz w:val="19"/>
              </w:rPr>
              <w:t>Streamlit UI</w:t>
            </w:r>
          </w:p>
        </w:tc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9"/>
              </w:rPr>
              <w:t>app.py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rPr>
                <w:sz w:val="19"/>
              </w:rPr>
              <w:t>Tabs, uploads, controls, chat history, evidence display, and workflow trace.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sz w:val="19"/>
              </w:rPr>
              <w:t>Configuration</w:t>
            </w:r>
          </w:p>
        </w:tc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9"/>
              </w:rPr>
              <w:t>rag/config.py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rPr>
                <w:sz w:val="19"/>
              </w:rPr>
              <w:t>Loads environment settings, provider/model selection, index path, chunking, and retrieval values.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sz w:val="19"/>
              </w:rPr>
              <w:t>Ingestion</w:t>
            </w:r>
          </w:p>
        </w:tc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9"/>
              </w:rPr>
              <w:t>rag/ingestion.py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rPr>
                <w:sz w:val="19"/>
              </w:rPr>
              <w:t>Loads TXT/PDF/DOCX, extracts sections, chunks text, and creates stable metadata-rich documents.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sz w:val="19"/>
              </w:rPr>
              <w:t>Knowledge base</w:t>
            </w:r>
          </w:p>
        </w:tc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9"/>
              </w:rPr>
              <w:t>rag/store.py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rPr>
                <w:sz w:val="19"/>
              </w:rPr>
              <w:t>Selects embeddings, persists Chroma data, adds/searches chunks, counts records, and resets the index.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sz w:val="19"/>
              </w:rPr>
              <w:t>Workflow</w:t>
            </w:r>
          </w:p>
        </w:tc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9"/>
              </w:rPr>
              <w:t>rag/workflow.py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rPr>
                <w:sz w:val="19"/>
              </w:rPr>
              <w:t>Implements route, retrieve, grade, generate, and refuse nodes in LangGraph.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sz w:val="19"/>
              </w:rPr>
              <w:t>Model runtime</w:t>
            </w:r>
          </w:p>
        </w:tc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sz w:val="19"/>
              </w:rPr>
              <w:t>Ollama/OpenAI</w:t>
            </w:r>
          </w:p>
        </w:tc>
        <w:tc>
          <w:tcPr>
            <w:tcW w:type="dxa" w:w="5360"/>
            <w:vAlign w:val="center"/>
          </w:tcPr>
          <w:p>
            <w:pPr>
              <w:spacing w:after="40"/>
            </w:pPr>
            <w:r>
              <w:rPr>
                <w:sz w:val="19"/>
              </w:rPr>
              <w:t>Creates embeddings and performs evidence grading and grounded answer generation.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5. Runtime Workflows</w:t>
      </w:r>
    </w:p>
    <w:p>
      <w:pPr>
        <w:pStyle w:val="Heading2"/>
        <w:keepNext/>
      </w:pPr>
      <w:r>
        <w:t>5.1 Document ingestion</w:t>
      </w:r>
    </w:p>
    <w:p>
      <w:pPr>
        <w:pStyle w:val="ListBullet"/>
        <w:spacing w:after="100" w:line="264" w:lineRule="auto"/>
        <w:ind w:left="720" w:hanging="360"/>
      </w:pPr>
      <w:r>
        <w:t>An administrator selects bundled documents or uploads approved TXT, PDF, or DOCX files.</w:t>
      </w:r>
    </w:p>
    <w:p>
      <w:pPr>
        <w:pStyle w:val="ListBullet"/>
        <w:spacing w:after="100" w:line="264" w:lineRule="auto"/>
        <w:ind w:left="720" w:hanging="360"/>
      </w:pPr>
      <w:r>
        <w:t>The loader extracts text and page information; the category is inferred from the bundled path or selected in the UI.</w:t>
      </w:r>
    </w:p>
    <w:p>
      <w:pPr>
        <w:pStyle w:val="ListBullet"/>
        <w:spacing w:after="100" w:line="264" w:lineRule="auto"/>
        <w:ind w:left="720" w:hanging="360"/>
      </w:pPr>
      <w:r>
        <w:t>The splitter creates 900-character chunks with 150-character overlap.</w:t>
      </w:r>
    </w:p>
    <w:p>
      <w:pPr>
        <w:pStyle w:val="ListBullet"/>
        <w:spacing w:after="100" w:line="264" w:lineRule="auto"/>
        <w:ind w:left="720" w:hanging="360"/>
      </w:pPr>
      <w:r>
        <w:t>Each chunk receives a stable SHA-256-derived ID plus source, category, section, and page metadata.</w:t>
      </w:r>
    </w:p>
    <w:p>
      <w:pPr>
        <w:pStyle w:val="ListBullet"/>
        <w:spacing w:after="100" w:line="264" w:lineRule="auto"/>
        <w:ind w:left="720" w:hanging="360"/>
      </w:pPr>
      <w:r>
        <w:t>The configured embedding provider creates vectors and Chroma persists them in the provider-specific index directory.</w:t>
      </w:r>
    </w:p>
    <w:p>
      <w:pPr>
        <w:pStyle w:val="Heading2"/>
        <w:keepNext/>
      </w:pPr>
      <w:r>
        <w:t>5.2 Question answering</w:t>
      </w:r>
    </w:p>
    <w:p>
      <w:pPr>
        <w:pStyle w:val="ListBullet"/>
        <w:spacing w:after="100" w:line="264" w:lineRule="auto"/>
        <w:ind w:left="720" w:hanging="360"/>
      </w:pPr>
      <w:r>
        <w:t>The user submits a question and may select a knowledge domain.</w:t>
      </w:r>
    </w:p>
    <w:p>
      <w:pPr>
        <w:pStyle w:val="ListBullet"/>
        <w:spacing w:after="100" w:line="264" w:lineRule="auto"/>
        <w:ind w:left="720" w:hanging="360"/>
      </w:pPr>
      <w:r>
        <w:t>The route node honors an explicit domain or applies keyword-based category routing.</w:t>
      </w:r>
    </w:p>
    <w:p>
      <w:pPr>
        <w:pStyle w:val="ListBullet"/>
        <w:spacing w:after="100" w:line="264" w:lineRule="auto"/>
        <w:ind w:left="720" w:hanging="360"/>
      </w:pPr>
      <w:r>
        <w:t>The retrieve node performs top-k semantic search (k=5), applying a category filter when present.</w:t>
      </w:r>
    </w:p>
    <w:p>
      <w:pPr>
        <w:pStyle w:val="ListBullet"/>
        <w:spacing w:after="100" w:line="264" w:lineRule="auto"/>
        <w:ind w:left="720" w:hanging="360"/>
      </w:pPr>
      <w:r>
        <w:t>The grade node asks the configured chat model whether the evidence can answer the question.</w:t>
      </w:r>
    </w:p>
    <w:p>
      <w:pPr>
        <w:pStyle w:val="ListBullet"/>
        <w:spacing w:after="100" w:line="264" w:lineRule="auto"/>
        <w:ind w:left="720" w:hanging="360"/>
      </w:pPr>
      <w:r>
        <w:t>Sufficient evidence proceeds to grounded generation with numbered citations; insufficient evidence produces a safe refusal.</w:t>
      </w:r>
    </w:p>
    <w:p>
      <w:pPr>
        <w:pStyle w:val="ListBullet"/>
        <w:spacing w:after="100" w:line="264" w:lineRule="auto"/>
        <w:ind w:left="720" w:hanging="360"/>
      </w:pPr>
      <w:r>
        <w:t>The UI renders the answer, retrieved chunks, provenance, and graph trace, then stores the turn in session state.</w:t>
      </w:r>
    </w:p>
    <w:p>
      <w:pPr>
        <w:pStyle w:val="Heading1"/>
        <w:keepNext/>
      </w:pPr>
      <w:r>
        <w:t>6. Data Model and Persistence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2700"/>
        <w:gridCol w:w="5160"/>
      </w:tblGrid>
      <w:tr>
        <w:tc>
          <w:tcPr>
            <w:tcW w:type="dxa" w:w="1500"/>
            <w:vAlign w:val="center"/>
            <w:shd w:fill="123653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700"/>
            <w:vAlign w:val="center"/>
            <w:shd w:fill="123653"/>
          </w:tcPr>
          <w:p>
            <w:r>
              <w:rPr>
                <w:b/>
                <w:color w:val="FFFFFF"/>
              </w:rPr>
              <w:t>Example</w:t>
            </w:r>
          </w:p>
        </w:tc>
        <w:tc>
          <w:tcPr>
            <w:tcW w:type="dxa" w:w="5160"/>
            <w:vAlign w:val="center"/>
            <w:shd w:fill="123653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sz w:val="19"/>
              </w:rPr>
              <w:t>id</w:t>
            </w:r>
          </w:p>
        </w:tc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sz w:val="19"/>
              </w:rPr>
              <w:t>20-char content digest</w:t>
            </w:r>
          </w:p>
        </w:tc>
        <w:tc>
          <w:tcPr>
            <w:tcW w:type="dxa" w:w="5160"/>
            <w:vAlign w:val="center"/>
          </w:tcPr>
          <w:p>
            <w:pPr>
              <w:spacing w:after="40"/>
            </w:pPr>
            <w:r>
              <w:rPr>
                <w:sz w:val="19"/>
              </w:rPr>
              <w:t>Stable update identity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sz w:val="19"/>
              </w:rPr>
              <w:t>source</w:t>
            </w:r>
          </w:p>
        </w:tc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sz w:val="19"/>
              </w:rPr>
              <w:t>hr_policy.txt</w:t>
            </w:r>
          </w:p>
        </w:tc>
        <w:tc>
          <w:tcPr>
            <w:tcW w:type="dxa" w:w="5160"/>
            <w:vAlign w:val="center"/>
          </w:tcPr>
          <w:p>
            <w:pPr>
              <w:spacing w:after="40"/>
            </w:pPr>
            <w:r>
              <w:rPr>
                <w:sz w:val="19"/>
              </w:rPr>
              <w:t>Citation provenance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sz w:val="19"/>
              </w:rPr>
              <w:t>category</w:t>
            </w:r>
          </w:p>
        </w:tc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sz w:val="19"/>
              </w:rPr>
              <w:t>hr</w:t>
            </w:r>
          </w:p>
        </w:tc>
        <w:tc>
          <w:tcPr>
            <w:tcW w:type="dxa" w:w="5160"/>
            <w:vAlign w:val="center"/>
          </w:tcPr>
          <w:p>
            <w:pPr>
              <w:spacing w:after="40"/>
            </w:pPr>
            <w:r>
              <w:rPr>
                <w:sz w:val="19"/>
              </w:rPr>
              <w:t>Retrieval filtering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sz w:val="19"/>
              </w:rPr>
              <w:t>section</w:t>
            </w:r>
          </w:p>
        </w:tc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sz w:val="19"/>
              </w:rPr>
              <w:t>Annual Leave</w:t>
            </w:r>
          </w:p>
        </w:tc>
        <w:tc>
          <w:tcPr>
            <w:tcW w:type="dxa" w:w="5160"/>
            <w:vAlign w:val="center"/>
          </w:tcPr>
          <w:p>
            <w:pPr>
              <w:spacing w:after="40"/>
            </w:pPr>
            <w:r>
              <w:rPr>
                <w:sz w:val="19"/>
              </w:rPr>
              <w:t>Human-readable evidence context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sz w:val="19"/>
              </w:rPr>
              <w:t>page</w:t>
            </w:r>
          </w:p>
        </w:tc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sz w:val="19"/>
              </w:rPr>
              <w:t>3 or 0</w:t>
            </w:r>
          </w:p>
        </w:tc>
        <w:tc>
          <w:tcPr>
            <w:tcW w:type="dxa" w:w="5160"/>
            <w:vAlign w:val="center"/>
          </w:tcPr>
          <w:p>
            <w:pPr>
              <w:spacing w:after="40"/>
            </w:pPr>
            <w:r>
              <w:rPr>
                <w:sz w:val="19"/>
              </w:rPr>
              <w:t>Page citation where available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sz w:val="19"/>
              </w:rPr>
              <w:t>page_content</w:t>
            </w:r>
          </w:p>
        </w:tc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sz w:val="19"/>
              </w:rPr>
              <w:t>Chunk text</w:t>
            </w:r>
          </w:p>
        </w:tc>
        <w:tc>
          <w:tcPr>
            <w:tcW w:type="dxa" w:w="5160"/>
            <w:vAlign w:val="center"/>
          </w:tcPr>
          <w:p>
            <w:pPr>
              <w:spacing w:after="40"/>
            </w:pPr>
            <w:r>
              <w:rPr>
                <w:sz w:val="19"/>
              </w:rPr>
              <w:t>Embedding and grounded context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7. Deployment and Configuration</w:t>
      </w:r>
    </w:p>
    <w:p>
      <w:r>
        <w:t>The reference deployment runs as a local Streamlit process on port 8501 and connects to Ollama on localhost:11434. Ollama is the configured local provider; OpenAI remains available through environment configuration.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00"/>
        <w:gridCol w:w="2700"/>
        <w:gridCol w:w="4160"/>
      </w:tblGrid>
      <w:tr>
        <w:tc>
          <w:tcPr>
            <w:tcW w:type="dxa" w:w="2500"/>
            <w:vAlign w:val="center"/>
            <w:shd w:fill="123653"/>
          </w:tcPr>
          <w:p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2700"/>
            <w:vAlign w:val="center"/>
            <w:shd w:fill="123653"/>
          </w:tcPr>
          <w:p>
            <w:r>
              <w:rPr>
                <w:b/>
                <w:color w:val="FFFFFF"/>
              </w:rPr>
              <w:t>Current/default</w:t>
            </w:r>
          </w:p>
        </w:tc>
        <w:tc>
          <w:tcPr>
            <w:tcW w:type="dxa" w:w="4160"/>
            <w:vAlign w:val="center"/>
            <w:shd w:fill="123653"/>
          </w:tcPr>
          <w:p>
            <w:r>
              <w:rPr>
                <w:b/>
                <w:color w:val="FFFFFF"/>
              </w:rPr>
              <w:t>Effect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sz w:val="19"/>
              </w:rPr>
              <w:t>MODEL_PROVIDER</w:t>
            </w:r>
          </w:p>
        </w:tc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sz w:val="19"/>
              </w:rPr>
              <w:t>ollama</w:t>
            </w:r>
          </w:p>
        </w:tc>
        <w:tc>
          <w:tcPr>
            <w:tcW w:type="dxa" w:w="4160"/>
            <w:vAlign w:val="center"/>
          </w:tcPr>
          <w:p>
            <w:pPr>
              <w:spacing w:after="40"/>
            </w:pPr>
            <w:r>
              <w:rPr>
                <w:sz w:val="19"/>
              </w:rPr>
              <w:t>Selects Ollama or OpenAI adapters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sz w:val="19"/>
              </w:rPr>
              <w:t>OLLAMA_CHAT_MODEL</w:t>
            </w:r>
          </w:p>
        </w:tc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sz w:val="19"/>
              </w:rPr>
              <w:t>llama3.2:3b</w:t>
            </w:r>
          </w:p>
        </w:tc>
        <w:tc>
          <w:tcPr>
            <w:tcW w:type="dxa" w:w="4160"/>
            <w:vAlign w:val="center"/>
          </w:tcPr>
          <w:p>
            <w:pPr>
              <w:spacing w:after="40"/>
            </w:pPr>
            <w:r>
              <w:rPr>
                <w:sz w:val="19"/>
              </w:rPr>
              <w:t>Evidence grading and answers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sz w:val="19"/>
              </w:rPr>
              <w:t>OLLAMA_EMBEDDING_MODEL</w:t>
            </w:r>
          </w:p>
        </w:tc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sz w:val="19"/>
              </w:rPr>
              <w:t>nomic-embed-text</w:t>
            </w:r>
          </w:p>
        </w:tc>
        <w:tc>
          <w:tcPr>
            <w:tcW w:type="dxa" w:w="4160"/>
            <w:vAlign w:val="center"/>
          </w:tcPr>
          <w:p>
            <w:pPr>
              <w:spacing w:after="40"/>
            </w:pPr>
            <w:r>
              <w:rPr>
                <w:sz w:val="19"/>
              </w:rPr>
              <w:t>Document/query vectors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sz w:val="19"/>
              </w:rPr>
              <w:t>OLLAMA_BASE_URL</w:t>
            </w:r>
          </w:p>
        </w:tc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sz w:val="19"/>
              </w:rPr>
              <w:t>http://localhost:11434</w:t>
            </w:r>
          </w:p>
        </w:tc>
        <w:tc>
          <w:tcPr>
            <w:tcW w:type="dxa" w:w="4160"/>
            <w:vAlign w:val="center"/>
          </w:tcPr>
          <w:p>
            <w:pPr>
              <w:spacing w:after="40"/>
            </w:pPr>
            <w:r>
              <w:rPr>
                <w:sz w:val="19"/>
              </w:rPr>
              <w:t>Local Ollama endpoint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sz w:val="19"/>
              </w:rPr>
              <w:t>RAG_INDEX_DIR</w:t>
            </w:r>
          </w:p>
        </w:tc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sz w:val="19"/>
              </w:rPr>
              <w:t>.rag_index_ollama</w:t>
            </w:r>
          </w:p>
        </w:tc>
        <w:tc>
          <w:tcPr>
            <w:tcW w:type="dxa" w:w="4160"/>
            <w:vAlign w:val="center"/>
          </w:tcPr>
          <w:p>
            <w:pPr>
              <w:spacing w:after="40"/>
            </w:pPr>
            <w:r>
              <w:rPr>
                <w:sz w:val="19"/>
              </w:rPr>
              <w:t>Optional persistence override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sz w:val="19"/>
              </w:rPr>
              <w:t>OPENAI_API_KEY</w:t>
            </w:r>
          </w:p>
        </w:tc>
        <w:tc>
          <w:tcPr>
            <w:tcW w:type="dxa" w:w="2700"/>
            <w:vAlign w:val="center"/>
          </w:tcPr>
          <w:p>
            <w:pPr>
              <w:spacing w:after="40"/>
            </w:pPr>
            <w:r>
              <w:rPr>
                <w:sz w:val="19"/>
              </w:rPr>
              <w:t>Required only for OpenAI</w:t>
            </w:r>
          </w:p>
        </w:tc>
        <w:tc>
          <w:tcPr>
            <w:tcW w:type="dxa" w:w="4160"/>
            <w:vAlign w:val="center"/>
          </w:tcPr>
          <w:p>
            <w:pPr>
              <w:spacing w:after="40"/>
            </w:pPr>
            <w:r>
              <w:rPr>
                <w:sz w:val="19"/>
              </w:rPr>
              <w:t>Cloud-provider authentication</w:t>
            </w:r>
          </w:p>
        </w:tc>
      </w:tr>
    </w:tbl>
    <w:p>
      <w:pPr>
        <w:pStyle w:val="Heading1"/>
        <w:keepNext/>
      </w:pPr>
      <w:r>
        <w:t>8. Security and Trust Boundaries</w:t>
      </w:r>
    </w:p>
    <w:p>
      <w:pPr>
        <w:pStyle w:val="ListBullet"/>
        <w:spacing w:after="100" w:line="264" w:lineRule="auto"/>
        <w:ind w:left="720" w:hanging="360"/>
      </w:pPr>
      <w:r>
        <w:t>Retrieved document text is treated as untrusted data, not executable instruction.</w:t>
      </w:r>
    </w:p>
    <w:p>
      <w:pPr>
        <w:pStyle w:val="ListBullet"/>
        <w:spacing w:after="100" w:line="264" w:lineRule="auto"/>
        <w:ind w:left="720" w:hanging="360"/>
      </w:pPr>
      <w:r>
        <w:t>Secrets remain in environment configuration and are not rendered in the UI or document metadata.</w:t>
      </w:r>
    </w:p>
    <w:p>
      <w:pPr>
        <w:pStyle w:val="ListBullet"/>
        <w:spacing w:after="100" w:line="264" w:lineRule="auto"/>
        <w:ind w:left="720" w:hanging="360"/>
      </w:pPr>
      <w:r>
        <w:t>The local Ollama mode keeps inference on the workstation, subject to local endpoint and file-system controls.</w:t>
      </w:r>
    </w:p>
    <w:p>
      <w:pPr>
        <w:pStyle w:val="ListBullet"/>
        <w:spacing w:after="100" w:line="264" w:lineRule="auto"/>
        <w:ind w:left="720" w:hanging="360"/>
      </w:pPr>
      <w:r>
        <w:t>The current reference build does not implement authentication, document-level authorization, tenant isolation, encryption policy, malware scanning, or audit logging.</w:t>
      </w:r>
    </w:p>
    <w:p>
      <w:pPr>
        <w:pStyle w:val="ListBullet"/>
        <w:spacing w:after="100" w:line="264" w:lineRule="auto"/>
        <w:ind w:left="720" w:hanging="360"/>
      </w:pPr>
      <w:r>
        <w:t>Production retrieval filters must enforce user/document access at query time; UI-only controls are insufficient.</w:t>
      </w:r>
    </w:p>
    <w:p>
      <w:pPr>
        <w:pStyle w:val="Heading1"/>
        <w:keepNext/>
      </w:pPr>
      <w:r>
        <w:t>9. Reliability, Testing, and Operations</w:t>
      </w:r>
    </w:p>
    <w:p>
      <w:r>
        <w:t>The repository currently includes fast unit coverage for category inference, section extraction, and heuristic routing. Operational readiness should add end-to-end ingestion/query tests, retrieval recall evaluations, faithfulness scoring, model availability checks, structured logging, backups, and index rebuild procedures.</w:t>
      </w:r>
    </w:p>
    <w:p>
      <w:pPr>
        <w:pStyle w:val="Heading1"/>
        <w:keepNext/>
      </w:pPr>
      <w:r>
        <w:t>10. Recommended Production Evolution</w:t>
      </w:r>
    </w:p>
    <w:p>
      <w:pPr>
        <w:pStyle w:val="ListBullet"/>
        <w:spacing w:after="100" w:line="264" w:lineRule="auto"/>
        <w:ind w:left="720" w:hanging="360"/>
      </w:pPr>
      <w:r>
        <w:t>Add SSO/RBAC and document-level access metadata enforced by the retrieval layer.</w:t>
      </w:r>
    </w:p>
    <w:p>
      <w:pPr>
        <w:pStyle w:val="ListBullet"/>
        <w:spacing w:after="100" w:line="264" w:lineRule="auto"/>
        <w:ind w:left="720" w:hanging="360"/>
      </w:pPr>
      <w:r>
        <w:t>Move Chroma to an encrypted managed vector service with tenant isolation and backups.</w:t>
      </w:r>
    </w:p>
    <w:p>
      <w:pPr>
        <w:pStyle w:val="ListBullet"/>
        <w:spacing w:after="100" w:line="264" w:lineRule="auto"/>
        <w:ind w:left="720" w:hanging="360"/>
      </w:pPr>
      <w:r>
        <w:t>Add ingestion controls: malware scanning, DLP/PII classification, retention, and approval workflow.</w:t>
      </w:r>
    </w:p>
    <w:p>
      <w:pPr>
        <w:pStyle w:val="ListBullet"/>
        <w:spacing w:after="100" w:line="264" w:lineRule="auto"/>
        <w:ind w:left="720" w:hanging="360"/>
      </w:pPr>
      <w:r>
        <w:t>Introduce tracing, latency/error metrics, prompt/model versioning, rate limits, and user feedback.</w:t>
      </w:r>
    </w:p>
    <w:p>
      <w:pPr>
        <w:pStyle w:val="ListBullet"/>
        <w:spacing w:after="100" w:line="264" w:lineRule="auto"/>
        <w:ind w:left="720" w:hanging="360"/>
      </w:pPr>
      <w:r>
        <w:t>Maintain curated evaluation sets for retrieval recall, answer faithfulness, refusal quality, and security regressions.</w:t>
      </w:r>
    </w:p>
    <w:p>
      <w:pPr>
        <w:pStyle w:val="Heading1"/>
        <w:keepNext/>
      </w:pPr>
      <w:r>
        <w:t>Appendix A. Repository Map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00"/>
        <w:gridCol w:w="6560"/>
      </w:tblGrid>
      <w:tr>
        <w:tc>
          <w:tcPr>
            <w:tcW w:type="dxa" w:w="2800"/>
            <w:vAlign w:val="center"/>
            <w:shd w:fill="123653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6560"/>
            <w:vAlign w:val="center"/>
            <w:shd w:fill="123653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40"/>
            </w:pPr>
            <w:r>
              <w:rPr>
                <w:sz w:val="19"/>
              </w:rPr>
              <w:t>app.py</w:t>
            </w:r>
          </w:p>
        </w:tc>
        <w:tc>
          <w:tcPr>
            <w:tcW w:type="dxa" w:w="6560"/>
            <w:vAlign w:val="center"/>
          </w:tcPr>
          <w:p>
            <w:pPr>
              <w:spacing w:after="40"/>
            </w:pPr>
            <w:r>
              <w:rPr>
                <w:sz w:val="19"/>
              </w:rPr>
              <w:t>Streamlit application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40"/>
            </w:pPr>
            <w:r>
              <w:rPr>
                <w:sz w:val="19"/>
              </w:rPr>
              <w:t>rag/config.py</w:t>
            </w:r>
          </w:p>
        </w:tc>
        <w:tc>
          <w:tcPr>
            <w:tcW w:type="dxa" w:w="6560"/>
            <w:vAlign w:val="center"/>
          </w:tcPr>
          <w:p>
            <w:pPr>
              <w:spacing w:after="40"/>
            </w:pPr>
            <w:r>
              <w:rPr>
                <w:sz w:val="19"/>
              </w:rPr>
              <w:t>Environment-backed settings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40"/>
            </w:pPr>
            <w:r>
              <w:rPr>
                <w:sz w:val="19"/>
              </w:rPr>
              <w:t>rag/ingestion.py</w:t>
            </w:r>
          </w:p>
        </w:tc>
        <w:tc>
          <w:tcPr>
            <w:tcW w:type="dxa" w:w="6560"/>
            <w:vAlign w:val="center"/>
          </w:tcPr>
          <w:p>
            <w:pPr>
              <w:spacing w:after="40"/>
            </w:pPr>
            <w:r>
              <w:rPr>
                <w:sz w:val="19"/>
              </w:rPr>
              <w:t>Loaders and chunking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40"/>
            </w:pPr>
            <w:r>
              <w:rPr>
                <w:sz w:val="19"/>
              </w:rPr>
              <w:t>rag/store.py</w:t>
            </w:r>
          </w:p>
        </w:tc>
        <w:tc>
          <w:tcPr>
            <w:tcW w:type="dxa" w:w="6560"/>
            <w:vAlign w:val="center"/>
          </w:tcPr>
          <w:p>
            <w:pPr>
              <w:spacing w:after="40"/>
            </w:pPr>
            <w:r>
              <w:rPr>
                <w:sz w:val="19"/>
              </w:rPr>
              <w:t>Embedding and Chroma boundary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40"/>
            </w:pPr>
            <w:r>
              <w:rPr>
                <w:sz w:val="19"/>
              </w:rPr>
              <w:t>rag/workflow.py</w:t>
            </w:r>
          </w:p>
        </w:tc>
        <w:tc>
          <w:tcPr>
            <w:tcW w:type="dxa" w:w="6560"/>
            <w:vAlign w:val="center"/>
          </w:tcPr>
          <w:p>
            <w:pPr>
              <w:spacing w:after="40"/>
            </w:pPr>
            <w:r>
              <w:rPr>
                <w:sz w:val="19"/>
              </w:rPr>
              <w:t>LangGraph orchestration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40"/>
            </w:pPr>
            <w:r>
              <w:rPr>
                <w:sz w:val="19"/>
              </w:rPr>
              <w:t>docs/</w:t>
            </w:r>
          </w:p>
        </w:tc>
        <w:tc>
          <w:tcPr>
            <w:tcW w:type="dxa" w:w="6560"/>
            <w:vAlign w:val="center"/>
          </w:tcPr>
          <w:p>
            <w:pPr>
              <w:spacing w:after="40"/>
            </w:pPr>
            <w:r>
              <w:rPr>
                <w:sz w:val="19"/>
              </w:rPr>
              <w:t>Bundled enterprise corpus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40"/>
            </w:pPr>
            <w:r>
              <w:rPr>
                <w:sz w:val="19"/>
              </w:rPr>
              <w:t>tests/</w:t>
            </w:r>
          </w:p>
        </w:tc>
        <w:tc>
          <w:tcPr>
            <w:tcW w:type="dxa" w:w="6560"/>
            <w:vAlign w:val="center"/>
          </w:tcPr>
          <w:p>
            <w:pPr>
              <w:spacing w:after="40"/>
            </w:pPr>
            <w:r>
              <w:rPr>
                <w:sz w:val="19"/>
              </w:rPr>
              <w:t>Unit tests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40"/>
            </w:pPr>
            <w:r>
              <w:rPr>
                <w:sz w:val="19"/>
              </w:rPr>
              <w:t>.rag_index_ollama/</w:t>
            </w:r>
          </w:p>
        </w:tc>
        <w:tc>
          <w:tcPr>
            <w:tcW w:type="dxa" w:w="6560"/>
            <w:vAlign w:val="center"/>
          </w:tcPr>
          <w:p>
            <w:pPr>
              <w:spacing w:after="40"/>
            </w:pPr>
            <w:r>
              <w:rPr>
                <w:sz w:val="19"/>
              </w:rPr>
              <w:t>Local Ollama vector index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224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E7180"/>
      </w:rPr>
      <w:t>ACME KNOWLEDGE SYSTEMS  | 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830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2365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67D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2365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 RAG Bot Architecture</dc:title>
  <dc:subject>Logical, data, runtime, deployment, and security architecture</dc:subject>
  <dc:creator>ACME Knowledge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