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議事録</w:t>
      </w:r>
    </w:p>
    <w:p>
      <w:r>
        <w:t>経費精算の締め切りは毎月25日に決定した。</w:t>
      </w:r>
    </w:p>
    <w:tbl>
      <w:tblPr/>
      <w:tblGrid>
        <w:gridCol/>
        <w:gridCol/>
      </w:tblGrid>
      <w:tr>
        <w:tc>
          <w:p>
            <w:r>
              <w:t>項目</w:t>
            </w:r>
          </w:p>
        </w:tc>
        <w:tc>
          <w:p>
            <w:r>
              <w:t>金額</w:t>
            </w:r>
          </w:p>
        </w:tc>
      </w:tr>
      <w:tr>
        <w:tc>
          <w:p>
            <w:r>
              <w:t>交通費</w:t>
            </w:r>
          </w:p>
        </w:tc>
        <w:tc>
          <w:p>
            <w:r>
              <w:t>5000</w:t>
            </w:r>
          </w:p>
        </w:tc>
      </w:tr>
    </w:tbl>
    <w:p>
      <w:r>
        <w:t>次回は来月開催する。</w:t>
      </w:r>
    </w:p>
  </w:body>
</w:document>
</file>