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72CF46" w14:textId="77777777" w:rsidR="00805045" w:rsidRPr="004E3F5A" w:rsidRDefault="00820FD6" w:rsidP="004E3F5A">
      <w:pPr>
        <w:pStyle w:val="Titre"/>
        <w:jc w:val="center"/>
        <w:rPr>
          <w:rFonts w:ascii="Berlin Sans FB" w:hAnsi="Berlin Sans FB"/>
        </w:rPr>
      </w:pPr>
      <w:r w:rsidRPr="004E3F5A">
        <w:rPr>
          <w:rFonts w:ascii="Berlin Sans FB" w:hAnsi="Berlin Sans FB"/>
        </w:rPr>
        <w:t>Cahier des charges fonctionnel</w:t>
      </w:r>
    </w:p>
    <w:p w14:paraId="3C868B9E" w14:textId="77777777" w:rsidR="00805045" w:rsidRPr="004E3F5A" w:rsidRDefault="00820FD6" w:rsidP="004E3F5A">
      <w:pPr>
        <w:pStyle w:val="Sous-titre"/>
        <w:jc w:val="center"/>
        <w:rPr>
          <w:rFonts w:ascii="Century Gothic" w:hAnsi="Century Gothic"/>
        </w:rPr>
      </w:pPr>
      <w:r w:rsidRPr="004E3F5A">
        <w:rPr>
          <w:rFonts w:ascii="Century Gothic" w:hAnsi="Century Gothic"/>
        </w:rPr>
        <w:t>Application intégrée de gestion du restaurant étudiant JAMI FOOD</w:t>
      </w:r>
    </w:p>
    <w:p w14:paraId="10A7086A" w14:textId="77777777" w:rsidR="00805045" w:rsidRPr="004E3F5A" w:rsidRDefault="00820FD6" w:rsidP="004E3F5A">
      <w:pPr>
        <w:pStyle w:val="Sous-titre"/>
        <w:jc w:val="center"/>
        <w:rPr>
          <w:rFonts w:ascii="Century Gothic" w:hAnsi="Century Gothic"/>
        </w:rPr>
      </w:pPr>
      <w:r w:rsidRPr="004E3F5A">
        <w:rPr>
          <w:rFonts w:ascii="Century Gothic" w:hAnsi="Century Gothic"/>
        </w:rPr>
        <w:t>Université Loyola du Congo</w:t>
      </w:r>
    </w:p>
    <w:p w14:paraId="72FA8014" w14:textId="77777777" w:rsidR="00805045" w:rsidRPr="004E3F5A" w:rsidRDefault="004E3F5A" w:rsidP="004E3F5A">
      <w:pPr>
        <w:jc w:val="both"/>
        <w:rPr>
          <w:rFonts w:ascii="Century Gothic" w:hAnsi="Century Gothic"/>
          <w:u w:val="single"/>
        </w:rPr>
      </w:pPr>
      <w:r w:rsidRPr="004E3F5A">
        <w:rPr>
          <w:rFonts w:ascii="Century Gothic" w:hAnsi="Century Gothic"/>
        </w:rPr>
        <w:br/>
      </w:r>
      <w:r w:rsidR="00820FD6" w:rsidRPr="004E3F5A">
        <w:rPr>
          <w:rFonts w:ascii="Century Gothic" w:hAnsi="Century Gothic"/>
        </w:rPr>
        <w:br/>
      </w:r>
      <w:r w:rsidR="00820FD6" w:rsidRPr="004E3F5A">
        <w:rPr>
          <w:rFonts w:ascii="Century Gothic" w:hAnsi="Century Gothic"/>
          <w:u w:val="single"/>
        </w:rPr>
        <w:t>Document de référence pour analyse, chiffrage, développement et recette</w:t>
      </w:r>
    </w:p>
    <w:p w14:paraId="0F107A9A" w14:textId="77777777" w:rsidR="00805045" w:rsidRPr="004E3F5A" w:rsidRDefault="00820FD6" w:rsidP="004E3F5A">
      <w:pPr>
        <w:jc w:val="both"/>
        <w:rPr>
          <w:rFonts w:ascii="Century Gothic" w:hAnsi="Century Gothic"/>
        </w:rPr>
      </w:pPr>
      <w:r w:rsidRPr="004E3F5A">
        <w:rPr>
          <w:rFonts w:ascii="Century Gothic" w:hAnsi="Century Gothic"/>
        </w:rPr>
        <w:t>Le présent cahier des charges définit les fonctions attendues pour gérer les abonnements, les ventes, les repas servis et les opérations du restaurant JAMI FOOD. Il doit permettre de comparer les offres des prestataires, de fixer un périmètre de réalisation et de vérifier la conformité de la solution livrée.</w:t>
      </w:r>
    </w:p>
    <w:p w14:paraId="063C18D3" w14:textId="77777777" w:rsidR="00805045" w:rsidRPr="004E3F5A" w:rsidRDefault="00820FD6" w:rsidP="004E3F5A">
      <w:pPr>
        <w:jc w:val="both"/>
        <w:rPr>
          <w:rFonts w:ascii="Century Gothic" w:hAnsi="Century Gothic"/>
        </w:rPr>
      </w:pPr>
      <w:r w:rsidRPr="004E3F5A">
        <w:rPr>
          <w:rFonts w:ascii="Century Gothic" w:hAnsi="Century Gothic"/>
        </w:rPr>
        <w:t>Le déploiement est organisé en un socle opérationnel, une extension de gestion et des options distinctes. Les tarifs et conditions de service restent administrables. Leur validation précède le paramétrage de production.</w:t>
      </w:r>
    </w:p>
    <w:p w14:paraId="4A9116F1" w14:textId="77777777" w:rsidR="00805045" w:rsidRPr="004E3F5A" w:rsidRDefault="00820FD6">
      <w:pPr>
        <w:pStyle w:val="Titre2"/>
        <w:rPr>
          <w:rFonts w:ascii="Century Gothic" w:hAnsi="Century Gothic"/>
        </w:rPr>
      </w:pPr>
      <w:r w:rsidRPr="004E3F5A">
        <w:rPr>
          <w:rFonts w:ascii="Century Gothic" w:hAnsi="Century Gothic"/>
        </w:rPr>
        <w:t>Sommaire</w:t>
      </w:r>
    </w:p>
    <w:p w14:paraId="3B29EF8C" w14:textId="77777777" w:rsidR="00805045" w:rsidRPr="004E3F5A" w:rsidRDefault="00820FD6">
      <w:pPr>
        <w:tabs>
          <w:tab w:val="right" w:leader="dot" w:pos="9241"/>
        </w:tabs>
        <w:spacing w:after="60" w:line="240" w:lineRule="auto"/>
        <w:rPr>
          <w:rFonts w:ascii="Century Gothic" w:hAnsi="Century Gothic"/>
        </w:rPr>
      </w:pPr>
      <w:r w:rsidRPr="004E3F5A">
        <w:rPr>
          <w:rFonts w:ascii="Century Gothic" w:hAnsi="Century Gothic"/>
          <w:sz w:val="21"/>
        </w:rPr>
        <w:t>1 Objet et périmètre du projet</w:t>
      </w:r>
      <w:r w:rsidRPr="004E3F5A">
        <w:rPr>
          <w:rFonts w:ascii="Century Gothic" w:hAnsi="Century Gothic"/>
        </w:rPr>
        <w:tab/>
      </w:r>
      <w:r w:rsidRPr="004E3F5A">
        <w:rPr>
          <w:rFonts w:ascii="Century Gothic" w:hAnsi="Century Gothic"/>
        </w:rPr>
        <w:fldChar w:fldCharType="begin"/>
      </w:r>
      <w:r w:rsidRPr="004E3F5A">
        <w:rPr>
          <w:rFonts w:ascii="Century Gothic" w:hAnsi="Century Gothic"/>
        </w:rPr>
        <w:instrText>PAGEREF Section1 \h</w:instrText>
      </w:r>
      <w:r w:rsidRPr="004E3F5A">
        <w:rPr>
          <w:rFonts w:ascii="Century Gothic" w:hAnsi="Century Gothic"/>
        </w:rPr>
      </w:r>
      <w:r w:rsidRPr="004E3F5A">
        <w:rPr>
          <w:rFonts w:ascii="Century Gothic" w:hAnsi="Century Gothic"/>
        </w:rPr>
        <w:fldChar w:fldCharType="separate"/>
      </w:r>
      <w:r w:rsidRPr="004E3F5A">
        <w:rPr>
          <w:rFonts w:ascii="Century Gothic" w:hAnsi="Century Gothic"/>
        </w:rPr>
        <w:t>2</w:t>
      </w:r>
      <w:r w:rsidRPr="004E3F5A">
        <w:rPr>
          <w:rFonts w:ascii="Century Gothic" w:hAnsi="Century Gothic"/>
        </w:rPr>
        <w:fldChar w:fldCharType="end"/>
      </w:r>
    </w:p>
    <w:p w14:paraId="52D79916" w14:textId="77777777" w:rsidR="00805045" w:rsidRPr="004E3F5A" w:rsidRDefault="00820FD6">
      <w:pPr>
        <w:tabs>
          <w:tab w:val="right" w:leader="dot" w:pos="9241"/>
        </w:tabs>
        <w:spacing w:after="60" w:line="240" w:lineRule="auto"/>
        <w:rPr>
          <w:rFonts w:ascii="Century Gothic" w:hAnsi="Century Gothic"/>
        </w:rPr>
      </w:pPr>
      <w:r w:rsidRPr="004E3F5A">
        <w:rPr>
          <w:rFonts w:ascii="Century Gothic" w:hAnsi="Century Gothic"/>
          <w:sz w:val="21"/>
        </w:rPr>
        <w:t>2 Organisation et responsabilités</w:t>
      </w:r>
      <w:r w:rsidRPr="004E3F5A">
        <w:rPr>
          <w:rFonts w:ascii="Century Gothic" w:hAnsi="Century Gothic"/>
        </w:rPr>
        <w:tab/>
      </w:r>
      <w:r w:rsidRPr="004E3F5A">
        <w:rPr>
          <w:rFonts w:ascii="Century Gothic" w:hAnsi="Century Gothic"/>
        </w:rPr>
        <w:fldChar w:fldCharType="begin"/>
      </w:r>
      <w:r w:rsidRPr="004E3F5A">
        <w:rPr>
          <w:rFonts w:ascii="Century Gothic" w:hAnsi="Century Gothic"/>
        </w:rPr>
        <w:instrText>PAGEREF Section2 \h</w:instrText>
      </w:r>
      <w:r w:rsidRPr="004E3F5A">
        <w:rPr>
          <w:rFonts w:ascii="Century Gothic" w:hAnsi="Century Gothic"/>
        </w:rPr>
      </w:r>
      <w:r w:rsidRPr="004E3F5A">
        <w:rPr>
          <w:rFonts w:ascii="Century Gothic" w:hAnsi="Century Gothic"/>
        </w:rPr>
        <w:fldChar w:fldCharType="separate"/>
      </w:r>
      <w:r w:rsidRPr="004E3F5A">
        <w:rPr>
          <w:rFonts w:ascii="Century Gothic" w:hAnsi="Century Gothic"/>
        </w:rPr>
        <w:t>2</w:t>
      </w:r>
      <w:r w:rsidRPr="004E3F5A">
        <w:rPr>
          <w:rFonts w:ascii="Century Gothic" w:hAnsi="Century Gothic"/>
        </w:rPr>
        <w:fldChar w:fldCharType="end"/>
      </w:r>
    </w:p>
    <w:p w14:paraId="3418C8EB" w14:textId="77777777" w:rsidR="00805045" w:rsidRPr="004E3F5A" w:rsidRDefault="00820FD6">
      <w:pPr>
        <w:tabs>
          <w:tab w:val="right" w:leader="dot" w:pos="9241"/>
        </w:tabs>
        <w:spacing w:after="60" w:line="240" w:lineRule="auto"/>
        <w:rPr>
          <w:rFonts w:ascii="Century Gothic" w:hAnsi="Century Gothic"/>
        </w:rPr>
      </w:pPr>
      <w:r w:rsidRPr="004E3F5A">
        <w:rPr>
          <w:rFonts w:ascii="Century Gothic" w:hAnsi="Century Gothic"/>
          <w:sz w:val="21"/>
        </w:rPr>
        <w:t>3 Paramétrage commercial</w:t>
      </w:r>
      <w:r w:rsidRPr="004E3F5A">
        <w:rPr>
          <w:rFonts w:ascii="Century Gothic" w:hAnsi="Century Gothic"/>
        </w:rPr>
        <w:tab/>
      </w:r>
      <w:r w:rsidRPr="004E3F5A">
        <w:rPr>
          <w:rFonts w:ascii="Century Gothic" w:hAnsi="Century Gothic"/>
        </w:rPr>
        <w:fldChar w:fldCharType="begin"/>
      </w:r>
      <w:r w:rsidRPr="004E3F5A">
        <w:rPr>
          <w:rFonts w:ascii="Century Gothic" w:hAnsi="Century Gothic"/>
        </w:rPr>
        <w:instrText>PAGEREF Section3 \h</w:instrText>
      </w:r>
      <w:r w:rsidRPr="004E3F5A">
        <w:rPr>
          <w:rFonts w:ascii="Century Gothic" w:hAnsi="Century Gothic"/>
        </w:rPr>
      </w:r>
      <w:r w:rsidRPr="004E3F5A">
        <w:rPr>
          <w:rFonts w:ascii="Century Gothic" w:hAnsi="Century Gothic"/>
        </w:rPr>
        <w:fldChar w:fldCharType="separate"/>
      </w:r>
      <w:r w:rsidRPr="004E3F5A">
        <w:rPr>
          <w:rFonts w:ascii="Century Gothic" w:hAnsi="Century Gothic"/>
        </w:rPr>
        <w:t>3</w:t>
      </w:r>
      <w:r w:rsidRPr="004E3F5A">
        <w:rPr>
          <w:rFonts w:ascii="Century Gothic" w:hAnsi="Century Gothic"/>
        </w:rPr>
        <w:fldChar w:fldCharType="end"/>
      </w:r>
    </w:p>
    <w:p w14:paraId="35E0B6BD" w14:textId="77777777" w:rsidR="00805045" w:rsidRPr="004E3F5A" w:rsidRDefault="00820FD6">
      <w:pPr>
        <w:tabs>
          <w:tab w:val="right" w:leader="dot" w:pos="9241"/>
        </w:tabs>
        <w:spacing w:after="60" w:line="240" w:lineRule="auto"/>
        <w:rPr>
          <w:rFonts w:ascii="Century Gothic" w:hAnsi="Century Gothic"/>
        </w:rPr>
      </w:pPr>
      <w:r w:rsidRPr="004E3F5A">
        <w:rPr>
          <w:rFonts w:ascii="Century Gothic" w:hAnsi="Century Gothic"/>
          <w:sz w:val="21"/>
        </w:rPr>
        <w:t>4 Clients et abonnements</w:t>
      </w:r>
      <w:r w:rsidRPr="004E3F5A">
        <w:rPr>
          <w:rFonts w:ascii="Century Gothic" w:hAnsi="Century Gothic"/>
        </w:rPr>
        <w:tab/>
      </w:r>
      <w:r w:rsidRPr="004E3F5A">
        <w:rPr>
          <w:rFonts w:ascii="Century Gothic" w:hAnsi="Century Gothic"/>
        </w:rPr>
        <w:fldChar w:fldCharType="begin"/>
      </w:r>
      <w:r w:rsidRPr="004E3F5A">
        <w:rPr>
          <w:rFonts w:ascii="Century Gothic" w:hAnsi="Century Gothic"/>
        </w:rPr>
        <w:instrText>PAGEREF Section4 \h</w:instrText>
      </w:r>
      <w:r w:rsidRPr="004E3F5A">
        <w:rPr>
          <w:rFonts w:ascii="Century Gothic" w:hAnsi="Century Gothic"/>
        </w:rPr>
      </w:r>
      <w:r w:rsidRPr="004E3F5A">
        <w:rPr>
          <w:rFonts w:ascii="Century Gothic" w:hAnsi="Century Gothic"/>
        </w:rPr>
        <w:fldChar w:fldCharType="separate"/>
      </w:r>
      <w:r w:rsidRPr="004E3F5A">
        <w:rPr>
          <w:rFonts w:ascii="Century Gothic" w:hAnsi="Century Gothic"/>
        </w:rPr>
        <w:t>5</w:t>
      </w:r>
      <w:r w:rsidRPr="004E3F5A">
        <w:rPr>
          <w:rFonts w:ascii="Century Gothic" w:hAnsi="Century Gothic"/>
        </w:rPr>
        <w:fldChar w:fldCharType="end"/>
      </w:r>
    </w:p>
    <w:p w14:paraId="08CF428F" w14:textId="77777777" w:rsidR="00805045" w:rsidRPr="004E3F5A" w:rsidRDefault="00820FD6">
      <w:pPr>
        <w:tabs>
          <w:tab w:val="right" w:leader="dot" w:pos="9241"/>
        </w:tabs>
        <w:spacing w:after="60" w:line="240" w:lineRule="auto"/>
        <w:rPr>
          <w:rFonts w:ascii="Century Gothic" w:hAnsi="Century Gothic"/>
        </w:rPr>
      </w:pPr>
      <w:r w:rsidRPr="004E3F5A">
        <w:rPr>
          <w:rFonts w:ascii="Century Gothic" w:hAnsi="Century Gothic"/>
          <w:sz w:val="21"/>
        </w:rPr>
        <w:t>5 Identification et contrôle des repas</w:t>
      </w:r>
      <w:r w:rsidRPr="004E3F5A">
        <w:rPr>
          <w:rFonts w:ascii="Century Gothic" w:hAnsi="Century Gothic"/>
        </w:rPr>
        <w:tab/>
      </w:r>
      <w:r w:rsidRPr="004E3F5A">
        <w:rPr>
          <w:rFonts w:ascii="Century Gothic" w:hAnsi="Century Gothic"/>
        </w:rPr>
        <w:fldChar w:fldCharType="begin"/>
      </w:r>
      <w:r w:rsidRPr="004E3F5A">
        <w:rPr>
          <w:rFonts w:ascii="Century Gothic" w:hAnsi="Century Gothic"/>
        </w:rPr>
        <w:instrText>PAGEREF Section5 \h</w:instrText>
      </w:r>
      <w:r w:rsidRPr="004E3F5A">
        <w:rPr>
          <w:rFonts w:ascii="Century Gothic" w:hAnsi="Century Gothic"/>
        </w:rPr>
      </w:r>
      <w:r w:rsidRPr="004E3F5A">
        <w:rPr>
          <w:rFonts w:ascii="Century Gothic" w:hAnsi="Century Gothic"/>
        </w:rPr>
        <w:fldChar w:fldCharType="separate"/>
      </w:r>
      <w:r w:rsidRPr="004E3F5A">
        <w:rPr>
          <w:rFonts w:ascii="Century Gothic" w:hAnsi="Century Gothic"/>
        </w:rPr>
        <w:t>6</w:t>
      </w:r>
      <w:r w:rsidRPr="004E3F5A">
        <w:rPr>
          <w:rFonts w:ascii="Century Gothic" w:hAnsi="Century Gothic"/>
        </w:rPr>
        <w:fldChar w:fldCharType="end"/>
      </w:r>
    </w:p>
    <w:p w14:paraId="12392FE2" w14:textId="77777777" w:rsidR="00805045" w:rsidRPr="004E3F5A" w:rsidRDefault="00820FD6">
      <w:pPr>
        <w:tabs>
          <w:tab w:val="right" w:leader="dot" w:pos="9241"/>
        </w:tabs>
        <w:spacing w:after="60" w:line="240" w:lineRule="auto"/>
        <w:rPr>
          <w:rFonts w:ascii="Century Gothic" w:hAnsi="Century Gothic"/>
        </w:rPr>
      </w:pPr>
      <w:r w:rsidRPr="004E3F5A">
        <w:rPr>
          <w:rFonts w:ascii="Century Gothic" w:hAnsi="Century Gothic"/>
          <w:sz w:val="21"/>
        </w:rPr>
        <w:t>6 Caisse et paiements</w:t>
      </w:r>
      <w:r w:rsidRPr="004E3F5A">
        <w:rPr>
          <w:rFonts w:ascii="Century Gothic" w:hAnsi="Century Gothic"/>
        </w:rPr>
        <w:tab/>
      </w:r>
      <w:r w:rsidRPr="004E3F5A">
        <w:rPr>
          <w:rFonts w:ascii="Century Gothic" w:hAnsi="Century Gothic"/>
        </w:rPr>
        <w:fldChar w:fldCharType="begin"/>
      </w:r>
      <w:r w:rsidRPr="004E3F5A">
        <w:rPr>
          <w:rFonts w:ascii="Century Gothic" w:hAnsi="Century Gothic"/>
        </w:rPr>
        <w:instrText>PAGEREF Section6 \h</w:instrText>
      </w:r>
      <w:r w:rsidRPr="004E3F5A">
        <w:rPr>
          <w:rFonts w:ascii="Century Gothic" w:hAnsi="Century Gothic"/>
        </w:rPr>
      </w:r>
      <w:r w:rsidRPr="004E3F5A">
        <w:rPr>
          <w:rFonts w:ascii="Century Gothic" w:hAnsi="Century Gothic"/>
        </w:rPr>
        <w:fldChar w:fldCharType="separate"/>
      </w:r>
      <w:r w:rsidRPr="004E3F5A">
        <w:rPr>
          <w:rFonts w:ascii="Century Gothic" w:hAnsi="Century Gothic"/>
        </w:rPr>
        <w:t>6</w:t>
      </w:r>
      <w:r w:rsidRPr="004E3F5A">
        <w:rPr>
          <w:rFonts w:ascii="Century Gothic" w:hAnsi="Century Gothic"/>
        </w:rPr>
        <w:fldChar w:fldCharType="end"/>
      </w:r>
    </w:p>
    <w:p w14:paraId="36EEB2F7" w14:textId="77777777" w:rsidR="00805045" w:rsidRPr="004E3F5A" w:rsidRDefault="00820FD6">
      <w:pPr>
        <w:tabs>
          <w:tab w:val="right" w:leader="dot" w:pos="9241"/>
        </w:tabs>
        <w:spacing w:after="60" w:line="240" w:lineRule="auto"/>
        <w:rPr>
          <w:rFonts w:ascii="Century Gothic" w:hAnsi="Century Gothic"/>
        </w:rPr>
      </w:pPr>
      <w:r w:rsidRPr="004E3F5A">
        <w:rPr>
          <w:rFonts w:ascii="Century Gothic" w:hAnsi="Century Gothic"/>
          <w:sz w:val="21"/>
        </w:rPr>
        <w:t>7 Commandes et préparation des repas</w:t>
      </w:r>
      <w:r w:rsidRPr="004E3F5A">
        <w:rPr>
          <w:rFonts w:ascii="Century Gothic" w:hAnsi="Century Gothic"/>
        </w:rPr>
        <w:tab/>
      </w:r>
      <w:r w:rsidRPr="004E3F5A">
        <w:rPr>
          <w:rFonts w:ascii="Century Gothic" w:hAnsi="Century Gothic"/>
        </w:rPr>
        <w:fldChar w:fldCharType="begin"/>
      </w:r>
      <w:r w:rsidRPr="004E3F5A">
        <w:rPr>
          <w:rFonts w:ascii="Century Gothic" w:hAnsi="Century Gothic"/>
        </w:rPr>
        <w:instrText>PAGEREF Section7 \h</w:instrText>
      </w:r>
      <w:r w:rsidRPr="004E3F5A">
        <w:rPr>
          <w:rFonts w:ascii="Century Gothic" w:hAnsi="Century Gothic"/>
        </w:rPr>
      </w:r>
      <w:r w:rsidRPr="004E3F5A">
        <w:rPr>
          <w:rFonts w:ascii="Century Gothic" w:hAnsi="Century Gothic"/>
        </w:rPr>
        <w:fldChar w:fldCharType="separate"/>
      </w:r>
      <w:r w:rsidRPr="004E3F5A">
        <w:rPr>
          <w:rFonts w:ascii="Century Gothic" w:hAnsi="Century Gothic"/>
        </w:rPr>
        <w:t>8</w:t>
      </w:r>
      <w:r w:rsidRPr="004E3F5A">
        <w:rPr>
          <w:rFonts w:ascii="Century Gothic" w:hAnsi="Century Gothic"/>
        </w:rPr>
        <w:fldChar w:fldCharType="end"/>
      </w:r>
    </w:p>
    <w:p w14:paraId="7E547A9A" w14:textId="77777777" w:rsidR="00805045" w:rsidRPr="004E3F5A" w:rsidRDefault="00820FD6">
      <w:pPr>
        <w:tabs>
          <w:tab w:val="right" w:leader="dot" w:pos="9241"/>
        </w:tabs>
        <w:spacing w:after="60" w:line="240" w:lineRule="auto"/>
        <w:rPr>
          <w:rFonts w:ascii="Century Gothic" w:hAnsi="Century Gothic"/>
        </w:rPr>
      </w:pPr>
      <w:r w:rsidRPr="004E3F5A">
        <w:rPr>
          <w:rFonts w:ascii="Century Gothic" w:hAnsi="Century Gothic"/>
          <w:sz w:val="21"/>
        </w:rPr>
        <w:t>8 Stocks achats et dépenses</w:t>
      </w:r>
      <w:r w:rsidRPr="004E3F5A">
        <w:rPr>
          <w:rFonts w:ascii="Century Gothic" w:hAnsi="Century Gothic"/>
        </w:rPr>
        <w:tab/>
      </w:r>
      <w:r w:rsidRPr="004E3F5A">
        <w:rPr>
          <w:rFonts w:ascii="Century Gothic" w:hAnsi="Century Gothic"/>
        </w:rPr>
        <w:fldChar w:fldCharType="begin"/>
      </w:r>
      <w:r w:rsidRPr="004E3F5A">
        <w:rPr>
          <w:rFonts w:ascii="Century Gothic" w:hAnsi="Century Gothic"/>
        </w:rPr>
        <w:instrText>PAGEREF Section8 \h</w:instrText>
      </w:r>
      <w:r w:rsidRPr="004E3F5A">
        <w:rPr>
          <w:rFonts w:ascii="Century Gothic" w:hAnsi="Century Gothic"/>
        </w:rPr>
      </w:r>
      <w:r w:rsidRPr="004E3F5A">
        <w:rPr>
          <w:rFonts w:ascii="Century Gothic" w:hAnsi="Century Gothic"/>
        </w:rPr>
        <w:fldChar w:fldCharType="separate"/>
      </w:r>
      <w:r w:rsidRPr="004E3F5A">
        <w:rPr>
          <w:rFonts w:ascii="Century Gothic" w:hAnsi="Century Gothic"/>
        </w:rPr>
        <w:t>8</w:t>
      </w:r>
      <w:r w:rsidRPr="004E3F5A">
        <w:rPr>
          <w:rFonts w:ascii="Century Gothic" w:hAnsi="Century Gothic"/>
        </w:rPr>
        <w:fldChar w:fldCharType="end"/>
      </w:r>
    </w:p>
    <w:p w14:paraId="09F07417" w14:textId="77777777" w:rsidR="00805045" w:rsidRPr="004E3F5A" w:rsidRDefault="00820FD6">
      <w:pPr>
        <w:tabs>
          <w:tab w:val="right" w:leader="dot" w:pos="9241"/>
        </w:tabs>
        <w:spacing w:after="60" w:line="240" w:lineRule="auto"/>
        <w:rPr>
          <w:rFonts w:ascii="Century Gothic" w:hAnsi="Century Gothic"/>
        </w:rPr>
      </w:pPr>
      <w:r w:rsidRPr="004E3F5A">
        <w:rPr>
          <w:rFonts w:ascii="Century Gothic" w:hAnsi="Century Gothic"/>
          <w:sz w:val="21"/>
        </w:rPr>
        <w:t>9 Tableaux de bord et rapports</w:t>
      </w:r>
      <w:r w:rsidRPr="004E3F5A">
        <w:rPr>
          <w:rFonts w:ascii="Century Gothic" w:hAnsi="Century Gothic"/>
        </w:rPr>
        <w:tab/>
      </w:r>
      <w:r w:rsidRPr="004E3F5A">
        <w:rPr>
          <w:rFonts w:ascii="Century Gothic" w:hAnsi="Century Gothic"/>
        </w:rPr>
        <w:fldChar w:fldCharType="begin"/>
      </w:r>
      <w:r w:rsidRPr="004E3F5A">
        <w:rPr>
          <w:rFonts w:ascii="Century Gothic" w:hAnsi="Century Gothic"/>
        </w:rPr>
        <w:instrText>PAGEREF Section9 \h</w:instrText>
      </w:r>
      <w:r w:rsidRPr="004E3F5A">
        <w:rPr>
          <w:rFonts w:ascii="Century Gothic" w:hAnsi="Century Gothic"/>
        </w:rPr>
      </w:r>
      <w:r w:rsidRPr="004E3F5A">
        <w:rPr>
          <w:rFonts w:ascii="Century Gothic" w:hAnsi="Century Gothic"/>
        </w:rPr>
        <w:fldChar w:fldCharType="separate"/>
      </w:r>
      <w:r w:rsidRPr="004E3F5A">
        <w:rPr>
          <w:rFonts w:ascii="Century Gothic" w:hAnsi="Century Gothic"/>
        </w:rPr>
        <w:t>9</w:t>
      </w:r>
      <w:r w:rsidRPr="004E3F5A">
        <w:rPr>
          <w:rFonts w:ascii="Century Gothic" w:hAnsi="Century Gothic"/>
        </w:rPr>
        <w:fldChar w:fldCharType="end"/>
      </w:r>
    </w:p>
    <w:p w14:paraId="68A2397F" w14:textId="77777777" w:rsidR="00805045" w:rsidRPr="004E3F5A" w:rsidRDefault="00820FD6">
      <w:pPr>
        <w:tabs>
          <w:tab w:val="right" w:leader="dot" w:pos="9241"/>
        </w:tabs>
        <w:spacing w:after="60" w:line="240" w:lineRule="auto"/>
        <w:rPr>
          <w:rFonts w:ascii="Century Gothic" w:hAnsi="Century Gothic"/>
        </w:rPr>
      </w:pPr>
      <w:r w:rsidRPr="004E3F5A">
        <w:rPr>
          <w:rFonts w:ascii="Century Gothic" w:hAnsi="Century Gothic"/>
          <w:sz w:val="21"/>
        </w:rPr>
        <w:t>10 Qualité sécurité et continuité de service</w:t>
      </w:r>
      <w:r w:rsidRPr="004E3F5A">
        <w:rPr>
          <w:rFonts w:ascii="Century Gothic" w:hAnsi="Century Gothic"/>
        </w:rPr>
        <w:tab/>
      </w:r>
      <w:r w:rsidRPr="004E3F5A">
        <w:rPr>
          <w:rFonts w:ascii="Century Gothic" w:hAnsi="Century Gothic"/>
        </w:rPr>
        <w:fldChar w:fldCharType="begin"/>
      </w:r>
      <w:r w:rsidRPr="004E3F5A">
        <w:rPr>
          <w:rFonts w:ascii="Century Gothic" w:hAnsi="Century Gothic"/>
        </w:rPr>
        <w:instrText>PAGEREF Section10 \h</w:instrText>
      </w:r>
      <w:r w:rsidRPr="004E3F5A">
        <w:rPr>
          <w:rFonts w:ascii="Century Gothic" w:hAnsi="Century Gothic"/>
        </w:rPr>
      </w:r>
      <w:r w:rsidRPr="004E3F5A">
        <w:rPr>
          <w:rFonts w:ascii="Century Gothic" w:hAnsi="Century Gothic"/>
        </w:rPr>
        <w:fldChar w:fldCharType="separate"/>
      </w:r>
      <w:r w:rsidRPr="004E3F5A">
        <w:rPr>
          <w:rFonts w:ascii="Century Gothic" w:hAnsi="Century Gothic"/>
        </w:rPr>
        <w:t>10</w:t>
      </w:r>
      <w:r w:rsidRPr="004E3F5A">
        <w:rPr>
          <w:rFonts w:ascii="Century Gothic" w:hAnsi="Century Gothic"/>
        </w:rPr>
        <w:fldChar w:fldCharType="end"/>
      </w:r>
    </w:p>
    <w:p w14:paraId="32849E3F" w14:textId="77777777" w:rsidR="00805045" w:rsidRPr="004E3F5A" w:rsidRDefault="00820FD6">
      <w:pPr>
        <w:tabs>
          <w:tab w:val="right" w:leader="dot" w:pos="9241"/>
        </w:tabs>
        <w:spacing w:after="60" w:line="240" w:lineRule="auto"/>
        <w:rPr>
          <w:rFonts w:ascii="Century Gothic" w:hAnsi="Century Gothic"/>
        </w:rPr>
      </w:pPr>
      <w:r w:rsidRPr="004E3F5A">
        <w:rPr>
          <w:rFonts w:ascii="Century Gothic" w:hAnsi="Century Gothic"/>
          <w:sz w:val="21"/>
        </w:rPr>
        <w:t>11 Réalisation et livrables</w:t>
      </w:r>
      <w:r w:rsidRPr="004E3F5A">
        <w:rPr>
          <w:rFonts w:ascii="Century Gothic" w:hAnsi="Century Gothic"/>
        </w:rPr>
        <w:tab/>
      </w:r>
      <w:r w:rsidRPr="004E3F5A">
        <w:rPr>
          <w:rFonts w:ascii="Century Gothic" w:hAnsi="Century Gothic"/>
        </w:rPr>
        <w:fldChar w:fldCharType="begin"/>
      </w:r>
      <w:r w:rsidRPr="004E3F5A">
        <w:rPr>
          <w:rFonts w:ascii="Century Gothic" w:hAnsi="Century Gothic"/>
        </w:rPr>
        <w:instrText>PAGEREF Section11 \h</w:instrText>
      </w:r>
      <w:r w:rsidRPr="004E3F5A">
        <w:rPr>
          <w:rFonts w:ascii="Century Gothic" w:hAnsi="Century Gothic"/>
        </w:rPr>
      </w:r>
      <w:r w:rsidRPr="004E3F5A">
        <w:rPr>
          <w:rFonts w:ascii="Century Gothic" w:hAnsi="Century Gothic"/>
        </w:rPr>
        <w:fldChar w:fldCharType="separate"/>
      </w:r>
      <w:r w:rsidRPr="004E3F5A">
        <w:rPr>
          <w:rFonts w:ascii="Century Gothic" w:hAnsi="Century Gothic"/>
        </w:rPr>
        <w:t>11</w:t>
      </w:r>
      <w:r w:rsidRPr="004E3F5A">
        <w:rPr>
          <w:rFonts w:ascii="Century Gothic" w:hAnsi="Century Gothic"/>
        </w:rPr>
        <w:fldChar w:fldCharType="end"/>
      </w:r>
    </w:p>
    <w:p w14:paraId="24B799F3" w14:textId="77777777" w:rsidR="00805045" w:rsidRPr="004E3F5A" w:rsidRDefault="00820FD6">
      <w:pPr>
        <w:tabs>
          <w:tab w:val="right" w:leader="dot" w:pos="9241"/>
        </w:tabs>
        <w:spacing w:after="60" w:line="240" w:lineRule="auto"/>
        <w:rPr>
          <w:rFonts w:ascii="Century Gothic" w:hAnsi="Century Gothic"/>
        </w:rPr>
      </w:pPr>
      <w:r w:rsidRPr="004E3F5A">
        <w:rPr>
          <w:rFonts w:ascii="Century Gothic" w:hAnsi="Century Gothic"/>
          <w:sz w:val="21"/>
        </w:rPr>
        <w:t>12 Recette et acceptation</w:t>
      </w:r>
      <w:r w:rsidRPr="004E3F5A">
        <w:rPr>
          <w:rFonts w:ascii="Century Gothic" w:hAnsi="Century Gothic"/>
        </w:rPr>
        <w:tab/>
      </w:r>
      <w:r w:rsidRPr="004E3F5A">
        <w:rPr>
          <w:rFonts w:ascii="Century Gothic" w:hAnsi="Century Gothic"/>
        </w:rPr>
        <w:fldChar w:fldCharType="begin"/>
      </w:r>
      <w:r w:rsidRPr="004E3F5A">
        <w:rPr>
          <w:rFonts w:ascii="Century Gothic" w:hAnsi="Century Gothic"/>
        </w:rPr>
        <w:instrText>PAGEREF Section12 \h</w:instrText>
      </w:r>
      <w:r w:rsidRPr="004E3F5A">
        <w:rPr>
          <w:rFonts w:ascii="Century Gothic" w:hAnsi="Century Gothic"/>
        </w:rPr>
      </w:r>
      <w:r w:rsidRPr="004E3F5A">
        <w:rPr>
          <w:rFonts w:ascii="Century Gothic" w:hAnsi="Century Gothic"/>
        </w:rPr>
        <w:fldChar w:fldCharType="separate"/>
      </w:r>
      <w:r w:rsidRPr="004E3F5A">
        <w:rPr>
          <w:rFonts w:ascii="Century Gothic" w:hAnsi="Century Gothic"/>
        </w:rPr>
        <w:t>12</w:t>
      </w:r>
      <w:r w:rsidRPr="004E3F5A">
        <w:rPr>
          <w:rFonts w:ascii="Century Gothic" w:hAnsi="Century Gothic"/>
        </w:rPr>
        <w:fldChar w:fldCharType="end"/>
      </w:r>
    </w:p>
    <w:p w14:paraId="3299C88F" w14:textId="77777777" w:rsidR="00805045" w:rsidRPr="004E3F5A" w:rsidRDefault="00820FD6">
      <w:pPr>
        <w:tabs>
          <w:tab w:val="right" w:leader="dot" w:pos="9241"/>
        </w:tabs>
        <w:spacing w:after="60" w:line="240" w:lineRule="auto"/>
        <w:rPr>
          <w:rFonts w:ascii="Century Gothic" w:hAnsi="Century Gothic"/>
        </w:rPr>
      </w:pPr>
      <w:r w:rsidRPr="004E3F5A">
        <w:rPr>
          <w:rFonts w:ascii="Century Gothic" w:hAnsi="Century Gothic"/>
          <w:sz w:val="21"/>
        </w:rPr>
        <w:t>13 Paramètres à valider et approbation</w:t>
      </w:r>
      <w:r w:rsidRPr="004E3F5A">
        <w:rPr>
          <w:rFonts w:ascii="Century Gothic" w:hAnsi="Century Gothic"/>
        </w:rPr>
        <w:tab/>
      </w:r>
      <w:r w:rsidRPr="004E3F5A">
        <w:rPr>
          <w:rFonts w:ascii="Century Gothic" w:hAnsi="Century Gothic"/>
        </w:rPr>
        <w:fldChar w:fldCharType="begin"/>
      </w:r>
      <w:r w:rsidRPr="004E3F5A">
        <w:rPr>
          <w:rFonts w:ascii="Century Gothic" w:hAnsi="Century Gothic"/>
        </w:rPr>
        <w:instrText>PAGEREF Section13 \h</w:instrText>
      </w:r>
      <w:r w:rsidRPr="004E3F5A">
        <w:rPr>
          <w:rFonts w:ascii="Century Gothic" w:hAnsi="Century Gothic"/>
        </w:rPr>
      </w:r>
      <w:r w:rsidRPr="004E3F5A">
        <w:rPr>
          <w:rFonts w:ascii="Century Gothic" w:hAnsi="Century Gothic"/>
        </w:rPr>
        <w:fldChar w:fldCharType="separate"/>
      </w:r>
      <w:r w:rsidRPr="004E3F5A">
        <w:rPr>
          <w:rFonts w:ascii="Century Gothic" w:hAnsi="Century Gothic"/>
        </w:rPr>
        <w:t>14</w:t>
      </w:r>
      <w:r w:rsidRPr="004E3F5A">
        <w:rPr>
          <w:rFonts w:ascii="Century Gothic" w:hAnsi="Century Gothic"/>
        </w:rPr>
        <w:fldChar w:fldCharType="end"/>
      </w:r>
    </w:p>
    <w:p w14:paraId="50AFE227" w14:textId="77777777" w:rsidR="00805045" w:rsidRPr="004E3F5A" w:rsidRDefault="00820FD6">
      <w:pPr>
        <w:rPr>
          <w:rFonts w:ascii="Century Gothic" w:hAnsi="Century Gothic"/>
        </w:rPr>
      </w:pPr>
      <w:r w:rsidRPr="004E3F5A">
        <w:rPr>
          <w:rFonts w:ascii="Century Gothic" w:hAnsi="Century Gothic"/>
        </w:rPr>
        <w:br w:type="page"/>
      </w:r>
    </w:p>
    <w:p w14:paraId="0683C199" w14:textId="77777777" w:rsidR="00805045" w:rsidRPr="004E3F5A" w:rsidRDefault="00820FD6" w:rsidP="004E3F5A">
      <w:pPr>
        <w:pStyle w:val="Titre1"/>
        <w:numPr>
          <w:ilvl w:val="0"/>
          <w:numId w:val="10"/>
        </w:numPr>
        <w:rPr>
          <w:rFonts w:ascii="Berlin Sans FB" w:hAnsi="Berlin Sans FB"/>
        </w:rPr>
      </w:pPr>
      <w:bookmarkStart w:id="0" w:name="Section1"/>
      <w:commentRangeStart w:id="1"/>
      <w:r w:rsidRPr="004E3F5A">
        <w:rPr>
          <w:rFonts w:ascii="Berlin Sans FB" w:hAnsi="Berlin Sans FB"/>
        </w:rPr>
        <w:lastRenderedPageBreak/>
        <w:t>Objet et périmètre du projet</w:t>
      </w:r>
      <w:commentRangeEnd w:id="1"/>
      <w:r w:rsidRPr="004E3F5A">
        <w:rPr>
          <w:rFonts w:ascii="Berlin Sans FB" w:hAnsi="Berlin Sans FB"/>
        </w:rPr>
        <w:commentReference w:id="1"/>
      </w:r>
      <w:bookmarkEnd w:id="0"/>
    </w:p>
    <w:p w14:paraId="07A6AC61" w14:textId="77777777" w:rsidR="00805045" w:rsidRPr="004E3F5A" w:rsidRDefault="00820FD6" w:rsidP="004E3F5A">
      <w:pPr>
        <w:pStyle w:val="Titre2"/>
        <w:numPr>
          <w:ilvl w:val="1"/>
          <w:numId w:val="10"/>
        </w:numPr>
        <w:jc w:val="both"/>
        <w:rPr>
          <w:rFonts w:ascii="Century Gothic" w:hAnsi="Century Gothic"/>
        </w:rPr>
      </w:pPr>
      <w:r w:rsidRPr="004E3F5A">
        <w:rPr>
          <w:rFonts w:ascii="Century Gothic" w:hAnsi="Century Gothic"/>
        </w:rPr>
        <w:t>Contexte et finalité</w:t>
      </w:r>
    </w:p>
    <w:p w14:paraId="202FB5A5" w14:textId="77777777" w:rsidR="00805045" w:rsidRPr="004E3F5A" w:rsidRDefault="00820FD6" w:rsidP="004E3F5A">
      <w:pPr>
        <w:jc w:val="both"/>
        <w:rPr>
          <w:rFonts w:ascii="Century Gothic" w:hAnsi="Century Gothic"/>
        </w:rPr>
      </w:pPr>
      <w:r w:rsidRPr="004E3F5A">
        <w:rPr>
          <w:rFonts w:ascii="Century Gothic" w:hAnsi="Century Gothic"/>
        </w:rPr>
        <w:t>JAMI FOOD développe une activité de restauration sur le campus de l’Université Loyola du Congo, au bénéfice prioritaire des étudiants. Le système doit distinguer les étudiants résidents au Home, les étudiants externes, le personnel ULC et, si leur accès est autorisé, les autres catégories de clients.</w:t>
      </w:r>
    </w:p>
    <w:p w14:paraId="61583B74" w14:textId="77777777" w:rsidR="00805045" w:rsidRPr="004E3F5A" w:rsidRDefault="00820FD6" w:rsidP="004E3F5A">
      <w:pPr>
        <w:jc w:val="both"/>
        <w:rPr>
          <w:rFonts w:ascii="Century Gothic" w:hAnsi="Century Gothic"/>
        </w:rPr>
      </w:pPr>
      <w:r w:rsidRPr="004E3F5A">
        <w:rPr>
          <w:rFonts w:ascii="Century Gothic" w:hAnsi="Century Gothic"/>
        </w:rPr>
        <w:t>L’activité combine des ventes à l’unité et des abonnements donnant droit à des prestations définies. La coexistence de ces deux modes, l’utilisation du dollar américain et du franc congolais, ainsi que les contraintes de connexion nécessitent un suivi commun des opérations.</w:t>
      </w:r>
    </w:p>
    <w:p w14:paraId="10EDBA0B" w14:textId="77777777" w:rsidR="00805045" w:rsidRPr="004E3F5A" w:rsidRDefault="00820FD6" w:rsidP="004E3F5A">
      <w:pPr>
        <w:jc w:val="both"/>
        <w:rPr>
          <w:rFonts w:ascii="Century Gothic" w:hAnsi="Century Gothic"/>
        </w:rPr>
      </w:pPr>
      <w:r w:rsidRPr="004E3F5A">
        <w:rPr>
          <w:rFonts w:ascii="Century Gothic" w:hAnsi="Century Gothic"/>
        </w:rPr>
        <w:t>L’application doit relier chaque paiement, commande, droit au repas et mouvement de caisse à une opération identifiable. Elle doit réduire les erreurs et les possibilités de double utilisation, faciliter le service et fournir à la Direction des informations vérifiables.</w:t>
      </w:r>
    </w:p>
    <w:p w14:paraId="0B06F6DD" w14:textId="77777777" w:rsidR="00805045" w:rsidRPr="004E3F5A" w:rsidRDefault="00820FD6" w:rsidP="004E3F5A">
      <w:pPr>
        <w:pStyle w:val="Titre2"/>
        <w:numPr>
          <w:ilvl w:val="1"/>
          <w:numId w:val="10"/>
        </w:numPr>
        <w:jc w:val="both"/>
        <w:rPr>
          <w:rFonts w:ascii="Century Gothic" w:hAnsi="Century Gothic"/>
        </w:rPr>
      </w:pPr>
      <w:r w:rsidRPr="004E3F5A">
        <w:rPr>
          <w:rFonts w:ascii="Century Gothic" w:hAnsi="Century Gothic"/>
        </w:rPr>
        <w:t>Résultats attendus</w:t>
      </w:r>
    </w:p>
    <w:p w14:paraId="25393EF9" w14:textId="77777777" w:rsidR="00805045" w:rsidRPr="004E3F5A" w:rsidRDefault="00820FD6" w:rsidP="004E3F5A">
      <w:pPr>
        <w:pStyle w:val="Listepuces"/>
        <w:jc w:val="both"/>
        <w:rPr>
          <w:rFonts w:ascii="Century Gothic" w:hAnsi="Century Gothic"/>
        </w:rPr>
      </w:pPr>
      <w:r w:rsidRPr="004E3F5A">
        <w:rPr>
          <w:rFonts w:ascii="Century Gothic" w:hAnsi="Century Gothic"/>
        </w:rPr>
        <w:t>Contrôler les droits aux repas sans confondre abonnement, réservation et repas effectivement servi.</w:t>
      </w:r>
    </w:p>
    <w:p w14:paraId="2031A343" w14:textId="77777777" w:rsidR="00805045" w:rsidRPr="004E3F5A" w:rsidRDefault="00820FD6" w:rsidP="004E3F5A">
      <w:pPr>
        <w:pStyle w:val="Listepuces"/>
        <w:jc w:val="both"/>
        <w:rPr>
          <w:rFonts w:ascii="Century Gothic" w:hAnsi="Century Gothic"/>
        </w:rPr>
      </w:pPr>
      <w:r w:rsidRPr="004E3F5A">
        <w:rPr>
          <w:rFonts w:ascii="Century Gothic" w:hAnsi="Century Gothic"/>
        </w:rPr>
        <w:t>Accélérer les opérations courantes de caisse et produire des reçus fiables.</w:t>
      </w:r>
    </w:p>
    <w:p w14:paraId="2B50FBC9" w14:textId="77777777" w:rsidR="00805045" w:rsidRPr="004E3F5A" w:rsidRDefault="00820FD6" w:rsidP="004E3F5A">
      <w:pPr>
        <w:pStyle w:val="Listepuces"/>
        <w:jc w:val="both"/>
        <w:rPr>
          <w:rFonts w:ascii="Century Gothic" w:hAnsi="Century Gothic"/>
        </w:rPr>
      </w:pPr>
      <w:r w:rsidRPr="004E3F5A">
        <w:rPr>
          <w:rFonts w:ascii="Century Gothic" w:hAnsi="Century Gothic"/>
        </w:rPr>
        <w:t>Suivre les encaissements, les créances, les sorties de caisse et les écarts par devise.</w:t>
      </w:r>
    </w:p>
    <w:p w14:paraId="5CD81B92" w14:textId="77777777" w:rsidR="00805045" w:rsidRPr="004E3F5A" w:rsidRDefault="00820FD6" w:rsidP="004E3F5A">
      <w:pPr>
        <w:pStyle w:val="Listepuces"/>
        <w:jc w:val="both"/>
        <w:rPr>
          <w:rFonts w:ascii="Century Gothic" w:hAnsi="Century Gothic"/>
        </w:rPr>
      </w:pPr>
      <w:r w:rsidRPr="004E3F5A">
        <w:rPr>
          <w:rFonts w:ascii="Century Gothic" w:hAnsi="Century Gothic"/>
        </w:rPr>
        <w:t>Adapter progressivement la préparation et les approvisionnements à la demande observée.</w:t>
      </w:r>
    </w:p>
    <w:p w14:paraId="69A689CD" w14:textId="77777777" w:rsidR="00805045" w:rsidRPr="004E3F5A" w:rsidRDefault="00820FD6" w:rsidP="004E3F5A">
      <w:pPr>
        <w:pStyle w:val="Listepuces"/>
        <w:jc w:val="both"/>
        <w:rPr>
          <w:rFonts w:ascii="Century Gothic" w:hAnsi="Century Gothic"/>
        </w:rPr>
      </w:pPr>
      <w:r w:rsidRPr="004E3F5A">
        <w:rPr>
          <w:rFonts w:ascii="Century Gothic" w:hAnsi="Century Gothic"/>
        </w:rPr>
        <w:t>Assurer la traçabilité des actions sensibles et la continuité du service selon un mode dégradé défini.</w:t>
      </w:r>
    </w:p>
    <w:p w14:paraId="35016E8A" w14:textId="77777777" w:rsidR="00805045" w:rsidRPr="00A0638C" w:rsidRDefault="00820FD6" w:rsidP="00A0638C">
      <w:pPr>
        <w:pStyle w:val="Titre2"/>
        <w:numPr>
          <w:ilvl w:val="1"/>
          <w:numId w:val="10"/>
        </w:numPr>
        <w:jc w:val="both"/>
        <w:rPr>
          <w:rFonts w:ascii="Century Gothic" w:hAnsi="Century Gothic"/>
        </w:rPr>
      </w:pPr>
      <w:r w:rsidRPr="00A0638C">
        <w:rPr>
          <w:rFonts w:ascii="Century Gothic" w:hAnsi="Century Gothic"/>
        </w:rPr>
        <w:t>Périmètre de réalisation</w:t>
      </w:r>
    </w:p>
    <w:p w14:paraId="12FA81A5" w14:textId="77777777" w:rsidR="00805045" w:rsidRPr="00A0638C" w:rsidRDefault="00820FD6" w:rsidP="00A0638C">
      <w:pPr>
        <w:jc w:val="both"/>
        <w:rPr>
          <w:rFonts w:ascii="Century Gothic" w:hAnsi="Century Gothic"/>
        </w:rPr>
      </w:pPr>
      <w:r w:rsidRPr="00A0638C">
        <w:rPr>
          <w:rFonts w:ascii="Century Gothic" w:hAnsi="Century Gothic"/>
        </w:rPr>
        <w:t>Le périmètre initial concerne un restaurant et ses points de service sur le campus. Une même commande conserve son identifiant lorsqu’elle passe de la caisse au terminal mobile ou à la cuisine. Les extensions à plusieurs établissements feront l’objet d’un chiffrage séparé.</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110" w:type="dxa"/>
          <w:bottom w:w="95" w:type="dxa"/>
          <w:right w:w="110" w:type="dxa"/>
        </w:tblCellMar>
        <w:tblLook w:val="04A0" w:firstRow="1" w:lastRow="0" w:firstColumn="1" w:lastColumn="0" w:noHBand="0" w:noVBand="1"/>
      </w:tblPr>
      <w:tblGrid>
        <w:gridCol w:w="1928"/>
        <w:gridCol w:w="7370"/>
      </w:tblGrid>
      <w:tr w:rsidR="00805045" w:rsidRPr="00A0638C" w14:paraId="09529367" w14:textId="77777777">
        <w:trPr>
          <w:cantSplit/>
          <w:tblHeader/>
          <w:jc w:val="center"/>
        </w:trPr>
        <w:tc>
          <w:tcPr>
            <w:tcW w:w="1928" w:type="dxa"/>
            <w:shd w:val="clear" w:color="auto" w:fill="E5EAF0"/>
            <w:vAlign w:val="center"/>
          </w:tcPr>
          <w:p w14:paraId="2F4C64CB" w14:textId="77777777" w:rsidR="00805045" w:rsidRPr="00A0638C" w:rsidRDefault="00820FD6" w:rsidP="00A0638C">
            <w:pPr>
              <w:keepNext/>
              <w:spacing w:before="40" w:after="40" w:line="245" w:lineRule="auto"/>
              <w:jc w:val="both"/>
              <w:rPr>
                <w:rFonts w:ascii="Century Gothic" w:hAnsi="Century Gothic"/>
              </w:rPr>
            </w:pPr>
            <w:r w:rsidRPr="00A0638C">
              <w:rPr>
                <w:rFonts w:ascii="Century Gothic" w:hAnsi="Century Gothic"/>
                <w:b/>
                <w:sz w:val="20"/>
              </w:rPr>
              <w:t>Phase</w:t>
            </w:r>
          </w:p>
        </w:tc>
        <w:tc>
          <w:tcPr>
            <w:tcW w:w="7370" w:type="dxa"/>
            <w:shd w:val="clear" w:color="auto" w:fill="E5EAF0"/>
            <w:vAlign w:val="center"/>
          </w:tcPr>
          <w:p w14:paraId="20C38F06" w14:textId="77777777" w:rsidR="00805045" w:rsidRPr="00A0638C" w:rsidRDefault="00820FD6" w:rsidP="00A0638C">
            <w:pPr>
              <w:keepNext/>
              <w:spacing w:before="40" w:after="40" w:line="245" w:lineRule="auto"/>
              <w:jc w:val="both"/>
              <w:rPr>
                <w:rFonts w:ascii="Century Gothic" w:hAnsi="Century Gothic"/>
              </w:rPr>
            </w:pPr>
            <w:r w:rsidRPr="00A0638C">
              <w:rPr>
                <w:rFonts w:ascii="Century Gothic" w:hAnsi="Century Gothic"/>
                <w:b/>
                <w:sz w:val="20"/>
              </w:rPr>
              <w:t>Contenu attendu</w:t>
            </w:r>
          </w:p>
        </w:tc>
      </w:tr>
      <w:tr w:rsidR="00805045" w:rsidRPr="00A0638C" w14:paraId="79F96D21" w14:textId="77777777">
        <w:trPr>
          <w:cantSplit/>
          <w:jc w:val="center"/>
        </w:trPr>
        <w:tc>
          <w:tcPr>
            <w:tcW w:w="1928" w:type="dxa"/>
            <w:shd w:val="clear" w:color="auto" w:fill="FFFFFF"/>
            <w:vAlign w:val="center"/>
          </w:tcPr>
          <w:p w14:paraId="3FED8F10"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1  Socle opérationnel</w:t>
            </w:r>
          </w:p>
        </w:tc>
        <w:tc>
          <w:tcPr>
            <w:tcW w:w="7370" w:type="dxa"/>
            <w:shd w:val="clear" w:color="auto" w:fill="FFFFFF"/>
            <w:vAlign w:val="center"/>
          </w:tcPr>
          <w:p w14:paraId="17963EF1"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Comptes et droits, clients, tarifs, abonnements, QR Code, caisse USD/CDF, paiements enregistrés, reçus, sorties et clôtures de caisse, menus, commandes et livraison simple sur mobile, rapports essentiels, audit, sauvegardes et continuité de service.</w:t>
            </w:r>
          </w:p>
        </w:tc>
      </w:tr>
      <w:tr w:rsidR="00805045" w:rsidRPr="00A0638C" w14:paraId="5FC1B27F" w14:textId="77777777">
        <w:trPr>
          <w:cantSplit/>
          <w:jc w:val="center"/>
        </w:trPr>
        <w:tc>
          <w:tcPr>
            <w:tcW w:w="1928" w:type="dxa"/>
            <w:shd w:val="clear" w:color="auto" w:fill="FFFFFF"/>
            <w:vAlign w:val="center"/>
          </w:tcPr>
          <w:p w14:paraId="70DC7310"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2  Gestion intégrée</w:t>
            </w:r>
          </w:p>
        </w:tc>
        <w:tc>
          <w:tcPr>
            <w:tcW w:w="7370" w:type="dxa"/>
            <w:shd w:val="clear" w:color="auto" w:fill="FFFFFF"/>
            <w:vAlign w:val="center"/>
          </w:tcPr>
          <w:p w14:paraId="54371231"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Prévisions et suivi de production, fiches recettes, stocks, inventaires, achats, fournisseurs, suivi détaillé des dépenses et analyses de coûts.</w:t>
            </w:r>
          </w:p>
        </w:tc>
      </w:tr>
      <w:tr w:rsidR="00805045" w:rsidRPr="00A0638C" w14:paraId="555BCD11" w14:textId="77777777">
        <w:trPr>
          <w:cantSplit/>
          <w:jc w:val="center"/>
        </w:trPr>
        <w:tc>
          <w:tcPr>
            <w:tcW w:w="1928" w:type="dxa"/>
            <w:shd w:val="clear" w:color="auto" w:fill="FFFFFF"/>
            <w:vAlign w:val="center"/>
          </w:tcPr>
          <w:p w14:paraId="24E9A408"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Options distinctes</w:t>
            </w:r>
          </w:p>
        </w:tc>
        <w:tc>
          <w:tcPr>
            <w:tcW w:w="7370" w:type="dxa"/>
            <w:shd w:val="clear" w:color="auto" w:fill="FFFFFF"/>
            <w:vAlign w:val="center"/>
          </w:tcPr>
          <w:p w14:paraId="32467DFB"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Portail étudiant, portefeuille prépayé, connexions automatiques aux opérateurs de paiement, notifications SMS/WhatsApp/courriel, biométrie et extensions à plusieurs sites.</w:t>
            </w:r>
          </w:p>
        </w:tc>
      </w:tr>
    </w:tbl>
    <w:p w14:paraId="3DD6D892" w14:textId="77777777" w:rsidR="00805045" w:rsidRPr="00A0638C" w:rsidRDefault="00805045" w:rsidP="00A0638C">
      <w:pPr>
        <w:spacing w:after="0" w:line="240" w:lineRule="auto"/>
        <w:jc w:val="both"/>
        <w:rPr>
          <w:rFonts w:ascii="Century Gothic" w:hAnsi="Century Gothic"/>
        </w:rPr>
      </w:pPr>
    </w:p>
    <w:p w14:paraId="763F393E" w14:textId="77777777" w:rsidR="00805045" w:rsidRPr="00A0638C" w:rsidRDefault="00820FD6" w:rsidP="00A0638C">
      <w:pPr>
        <w:jc w:val="both"/>
        <w:rPr>
          <w:rFonts w:ascii="Century Gothic" w:hAnsi="Century Gothic"/>
        </w:rPr>
      </w:pPr>
      <w:r w:rsidRPr="00A0638C">
        <w:rPr>
          <w:rFonts w:ascii="Century Gothic" w:hAnsi="Century Gothic"/>
        </w:rPr>
        <w:t>La gestion financière attendue couvre le suivi de l’activité et de la trésorerie. La tenue complète de la comptabilité, la paie et les déclarations fiscales ne font pas partie du socle. Les règles de taxes éventuellement applicables aux ventes et les exports comptables devront être précisés avec le référent compétent avant leur activation.</w:t>
      </w:r>
    </w:p>
    <w:p w14:paraId="7284086A" w14:textId="77777777" w:rsidR="00805045" w:rsidRPr="00A0638C" w:rsidRDefault="00820FD6" w:rsidP="00A0638C">
      <w:pPr>
        <w:pStyle w:val="Titre1"/>
        <w:numPr>
          <w:ilvl w:val="0"/>
          <w:numId w:val="10"/>
        </w:numPr>
        <w:jc w:val="both"/>
        <w:rPr>
          <w:rFonts w:ascii="Berlin Sans FB" w:hAnsi="Berlin Sans FB"/>
        </w:rPr>
      </w:pPr>
      <w:bookmarkStart w:id="2" w:name="Section2"/>
      <w:r w:rsidRPr="00A0638C">
        <w:rPr>
          <w:rFonts w:ascii="Berlin Sans FB" w:hAnsi="Berlin Sans FB"/>
        </w:rPr>
        <w:lastRenderedPageBreak/>
        <w:t>Organisation et responsabilités</w:t>
      </w:r>
      <w:bookmarkEnd w:id="2"/>
    </w:p>
    <w:p w14:paraId="4E43C551" w14:textId="77777777" w:rsidR="00805045" w:rsidRPr="00A0638C" w:rsidRDefault="00820FD6" w:rsidP="00A0638C">
      <w:pPr>
        <w:jc w:val="both"/>
        <w:rPr>
          <w:rFonts w:ascii="Century Gothic" w:hAnsi="Century Gothic"/>
        </w:rPr>
      </w:pPr>
      <w:r w:rsidRPr="00A0638C">
        <w:rPr>
          <w:rFonts w:ascii="Century Gothic" w:hAnsi="Century Gothic"/>
        </w:rPr>
        <w:t>La Direction de JAMI FOOD valide les règles commerciales, le budget, les habilitations sensibles et la réception des livrables. La Responsable du restaurant pilote les opérations quotidiennes et les tests utilisateurs. Le prestataire réalise, documente et maintient la solution selon le contrat conclu.</w:t>
      </w:r>
    </w:p>
    <w:p w14:paraId="18F5832E" w14:textId="77777777" w:rsidR="00805045" w:rsidRPr="00A0638C" w:rsidRDefault="00820FD6" w:rsidP="00A0638C">
      <w:pPr>
        <w:pStyle w:val="Titre2"/>
        <w:numPr>
          <w:ilvl w:val="1"/>
          <w:numId w:val="10"/>
        </w:numPr>
        <w:jc w:val="both"/>
        <w:rPr>
          <w:rFonts w:ascii="Century Gothic" w:hAnsi="Century Gothic"/>
        </w:rPr>
      </w:pPr>
      <w:r w:rsidRPr="00A0638C">
        <w:rPr>
          <w:rFonts w:ascii="Century Gothic" w:hAnsi="Century Gothic"/>
        </w:rPr>
        <w:t>Profils utilisateurs</w:t>
      </w:r>
    </w:p>
    <w:p w14:paraId="1DB62B85" w14:textId="77777777" w:rsidR="00805045" w:rsidRPr="00A0638C" w:rsidRDefault="00820FD6" w:rsidP="00A0638C">
      <w:pPr>
        <w:jc w:val="both"/>
        <w:rPr>
          <w:rFonts w:ascii="Century Gothic" w:hAnsi="Century Gothic"/>
        </w:rPr>
      </w:pPr>
      <w:r w:rsidRPr="00A0638C">
        <w:rPr>
          <w:rFonts w:ascii="Century Gothic" w:hAnsi="Century Gothic"/>
        </w:rPr>
        <w:t>Les comptes sont individuels. Une personne peut cumuler des fonctions si l’organisation le nécessite, mais ce cumul doit être autorisé et visible dans les habilitations. L’administration technique et les pouvoirs de gestion commerciale doivent pouvoir être attribués séparément.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110" w:type="dxa"/>
          <w:bottom w:w="95" w:type="dxa"/>
          <w:right w:w="110" w:type="dxa"/>
        </w:tblCellMar>
        <w:tblLook w:val="04A0" w:firstRow="1" w:lastRow="0" w:firstColumn="1" w:lastColumn="0" w:noHBand="0" w:noVBand="1"/>
      </w:tblPr>
      <w:tblGrid>
        <w:gridCol w:w="1843"/>
        <w:gridCol w:w="4025"/>
        <w:gridCol w:w="3430"/>
      </w:tblGrid>
      <w:tr w:rsidR="00805045" w:rsidRPr="00A0638C" w14:paraId="6843EBCD" w14:textId="77777777">
        <w:trPr>
          <w:cantSplit/>
          <w:tblHeader/>
          <w:jc w:val="center"/>
        </w:trPr>
        <w:tc>
          <w:tcPr>
            <w:tcW w:w="1843" w:type="dxa"/>
            <w:shd w:val="clear" w:color="auto" w:fill="E5EAF0"/>
            <w:vAlign w:val="center"/>
          </w:tcPr>
          <w:p w14:paraId="70B03C72" w14:textId="77777777" w:rsidR="00805045" w:rsidRPr="00A0638C" w:rsidRDefault="00820FD6" w:rsidP="00A0638C">
            <w:pPr>
              <w:keepNext/>
              <w:spacing w:before="40" w:after="40" w:line="245" w:lineRule="auto"/>
              <w:jc w:val="both"/>
              <w:rPr>
                <w:rFonts w:ascii="Century Gothic" w:hAnsi="Century Gothic"/>
              </w:rPr>
            </w:pPr>
            <w:r w:rsidRPr="00A0638C">
              <w:rPr>
                <w:rFonts w:ascii="Century Gothic" w:hAnsi="Century Gothic"/>
                <w:b/>
                <w:sz w:val="20"/>
              </w:rPr>
              <w:t>Profil</w:t>
            </w:r>
          </w:p>
        </w:tc>
        <w:tc>
          <w:tcPr>
            <w:tcW w:w="4025" w:type="dxa"/>
            <w:shd w:val="clear" w:color="auto" w:fill="E5EAF0"/>
            <w:vAlign w:val="center"/>
          </w:tcPr>
          <w:p w14:paraId="340BC4EB" w14:textId="77777777" w:rsidR="00805045" w:rsidRPr="00A0638C" w:rsidRDefault="00820FD6" w:rsidP="00A0638C">
            <w:pPr>
              <w:keepNext/>
              <w:spacing w:before="40" w:after="40" w:line="245" w:lineRule="auto"/>
              <w:jc w:val="both"/>
              <w:rPr>
                <w:rFonts w:ascii="Century Gothic" w:hAnsi="Century Gothic"/>
              </w:rPr>
            </w:pPr>
            <w:r w:rsidRPr="00A0638C">
              <w:rPr>
                <w:rFonts w:ascii="Century Gothic" w:hAnsi="Century Gothic"/>
                <w:b/>
                <w:sz w:val="20"/>
              </w:rPr>
              <w:t>Périmètre autorisé</w:t>
            </w:r>
          </w:p>
        </w:tc>
        <w:tc>
          <w:tcPr>
            <w:tcW w:w="3430" w:type="dxa"/>
            <w:shd w:val="clear" w:color="auto" w:fill="E5EAF0"/>
            <w:vAlign w:val="center"/>
          </w:tcPr>
          <w:p w14:paraId="428E4D9A" w14:textId="77777777" w:rsidR="00805045" w:rsidRPr="00A0638C" w:rsidRDefault="00820FD6" w:rsidP="00A0638C">
            <w:pPr>
              <w:keepNext/>
              <w:spacing w:before="40" w:after="40" w:line="245" w:lineRule="auto"/>
              <w:jc w:val="both"/>
              <w:rPr>
                <w:rFonts w:ascii="Century Gothic" w:hAnsi="Century Gothic"/>
              </w:rPr>
            </w:pPr>
            <w:r w:rsidRPr="00A0638C">
              <w:rPr>
                <w:rFonts w:ascii="Century Gothic" w:hAnsi="Century Gothic"/>
                <w:b/>
                <w:sz w:val="20"/>
              </w:rPr>
              <w:t>Limites principales</w:t>
            </w:r>
          </w:p>
        </w:tc>
      </w:tr>
      <w:tr w:rsidR="00805045" w:rsidRPr="00A0638C" w14:paraId="6356F584" w14:textId="77777777">
        <w:trPr>
          <w:cantSplit/>
          <w:jc w:val="center"/>
        </w:trPr>
        <w:tc>
          <w:tcPr>
            <w:tcW w:w="1843" w:type="dxa"/>
            <w:shd w:val="clear" w:color="auto" w:fill="FFFFFF"/>
            <w:vAlign w:val="center"/>
          </w:tcPr>
          <w:p w14:paraId="10BA1608"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Direction</w:t>
            </w:r>
          </w:p>
        </w:tc>
        <w:tc>
          <w:tcPr>
            <w:tcW w:w="4025" w:type="dxa"/>
            <w:shd w:val="clear" w:color="auto" w:fill="FFFFFF"/>
            <w:vAlign w:val="center"/>
          </w:tcPr>
          <w:p w14:paraId="4DEBDC5D"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Règles commerciales, habilitations, rapports consolidés et autorisations sensibles.</w:t>
            </w:r>
          </w:p>
        </w:tc>
        <w:tc>
          <w:tcPr>
            <w:tcW w:w="3430" w:type="dxa"/>
            <w:shd w:val="clear" w:color="auto" w:fill="FFFFFF"/>
            <w:vAlign w:val="center"/>
          </w:tcPr>
          <w:p w14:paraId="6C71C31C"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Aucune suppression des traces ni réécriture des opérations clôturées.</w:t>
            </w:r>
          </w:p>
        </w:tc>
      </w:tr>
      <w:tr w:rsidR="00805045" w:rsidRPr="00A0638C" w14:paraId="454245B2" w14:textId="77777777">
        <w:trPr>
          <w:cantSplit/>
          <w:jc w:val="center"/>
        </w:trPr>
        <w:tc>
          <w:tcPr>
            <w:tcW w:w="1843" w:type="dxa"/>
            <w:shd w:val="clear" w:color="auto" w:fill="FFFFFF"/>
            <w:vAlign w:val="center"/>
          </w:tcPr>
          <w:p w14:paraId="1A15BBF8"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Responsable du restaurant</w:t>
            </w:r>
          </w:p>
        </w:tc>
        <w:tc>
          <w:tcPr>
            <w:tcW w:w="4025" w:type="dxa"/>
            <w:shd w:val="clear" w:color="auto" w:fill="FFFFFF"/>
            <w:vAlign w:val="center"/>
          </w:tcPr>
          <w:p w14:paraId="4ED8EBF7"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Exploitation, abonnements, menus, dépenses autorisées, inventaires et validation des clôtures.</w:t>
            </w:r>
          </w:p>
        </w:tc>
        <w:tc>
          <w:tcPr>
            <w:tcW w:w="3430" w:type="dxa"/>
            <w:shd w:val="clear" w:color="auto" w:fill="FFFFFF"/>
            <w:vAlign w:val="center"/>
          </w:tcPr>
          <w:p w14:paraId="72E13885"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Paramètres sensibles et dérogations selon délégation.</w:t>
            </w:r>
          </w:p>
        </w:tc>
      </w:tr>
      <w:tr w:rsidR="00805045" w:rsidRPr="00A0638C" w14:paraId="18062339" w14:textId="77777777">
        <w:trPr>
          <w:cantSplit/>
          <w:jc w:val="center"/>
        </w:trPr>
        <w:tc>
          <w:tcPr>
            <w:tcW w:w="1843" w:type="dxa"/>
            <w:shd w:val="clear" w:color="auto" w:fill="FFFFFF"/>
            <w:vAlign w:val="center"/>
          </w:tcPr>
          <w:p w14:paraId="1A788F6A"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Caissier ou accueil</w:t>
            </w:r>
          </w:p>
        </w:tc>
        <w:tc>
          <w:tcPr>
            <w:tcW w:w="4025" w:type="dxa"/>
            <w:shd w:val="clear" w:color="auto" w:fill="FFFFFF"/>
            <w:vAlign w:val="center"/>
          </w:tcPr>
          <w:p w14:paraId="1E228F81"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Ventes, paiements, souscriptions, contrôle des repas, reçus et comptage de sa caisse.</w:t>
            </w:r>
          </w:p>
        </w:tc>
        <w:tc>
          <w:tcPr>
            <w:tcW w:w="3430" w:type="dxa"/>
            <w:shd w:val="clear" w:color="auto" w:fill="FFFFFF"/>
            <w:vAlign w:val="center"/>
          </w:tcPr>
          <w:p w14:paraId="2EE811F8"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Pas de changement libre de prix, taux ou droits ; annulations soumises aux habilitations.</w:t>
            </w:r>
          </w:p>
        </w:tc>
      </w:tr>
      <w:tr w:rsidR="00805045" w:rsidRPr="00A0638C" w14:paraId="7B78764A" w14:textId="77777777">
        <w:trPr>
          <w:cantSplit/>
          <w:jc w:val="center"/>
        </w:trPr>
        <w:tc>
          <w:tcPr>
            <w:tcW w:w="1843" w:type="dxa"/>
            <w:shd w:val="clear" w:color="auto" w:fill="FFFFFF"/>
            <w:vAlign w:val="center"/>
          </w:tcPr>
          <w:p w14:paraId="3E820A2A"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Cuisine</w:t>
            </w:r>
          </w:p>
        </w:tc>
        <w:tc>
          <w:tcPr>
            <w:tcW w:w="4025" w:type="dxa"/>
            <w:shd w:val="clear" w:color="auto" w:fill="FFFFFF"/>
            <w:vAlign w:val="center"/>
          </w:tcPr>
          <w:p w14:paraId="1DCCB98A"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Commandes, consignes alimentaires utiles, préparation, quantités et pertes.</w:t>
            </w:r>
          </w:p>
        </w:tc>
        <w:tc>
          <w:tcPr>
            <w:tcW w:w="3430" w:type="dxa"/>
            <w:shd w:val="clear" w:color="auto" w:fill="FFFFFF"/>
            <w:vAlign w:val="center"/>
          </w:tcPr>
          <w:p w14:paraId="51F69329"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Pas de caisse ni de dossier client complet.</w:t>
            </w:r>
          </w:p>
        </w:tc>
      </w:tr>
      <w:tr w:rsidR="00805045" w:rsidRPr="00A0638C" w14:paraId="3B2E57C5" w14:textId="77777777">
        <w:trPr>
          <w:cantSplit/>
          <w:jc w:val="center"/>
        </w:trPr>
        <w:tc>
          <w:tcPr>
            <w:tcW w:w="1843" w:type="dxa"/>
            <w:shd w:val="clear" w:color="auto" w:fill="FFFFFF"/>
            <w:vAlign w:val="center"/>
          </w:tcPr>
          <w:p w14:paraId="575EF263"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Gestionnaire de stock</w:t>
            </w:r>
          </w:p>
        </w:tc>
        <w:tc>
          <w:tcPr>
            <w:tcW w:w="4025" w:type="dxa"/>
            <w:shd w:val="clear" w:color="auto" w:fill="FFFFFF"/>
            <w:vAlign w:val="center"/>
          </w:tcPr>
          <w:p w14:paraId="7085A364"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Réceptions, inventaires, mouvements, pertes et alertes.</w:t>
            </w:r>
          </w:p>
        </w:tc>
        <w:tc>
          <w:tcPr>
            <w:tcW w:w="3430" w:type="dxa"/>
            <w:shd w:val="clear" w:color="auto" w:fill="FFFFFF"/>
            <w:vAlign w:val="center"/>
          </w:tcPr>
          <w:p w14:paraId="51DA34F4"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Ajustements selon validation ; pas de caisse.</w:t>
            </w:r>
          </w:p>
        </w:tc>
      </w:tr>
      <w:tr w:rsidR="00805045" w:rsidRPr="00A0638C" w14:paraId="5D810FBE" w14:textId="77777777">
        <w:trPr>
          <w:cantSplit/>
          <w:jc w:val="center"/>
        </w:trPr>
        <w:tc>
          <w:tcPr>
            <w:tcW w:w="1843" w:type="dxa"/>
            <w:shd w:val="clear" w:color="auto" w:fill="FFFFFF"/>
            <w:vAlign w:val="center"/>
          </w:tcPr>
          <w:p w14:paraId="7BEA0651"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Livreur</w:t>
            </w:r>
          </w:p>
        </w:tc>
        <w:tc>
          <w:tcPr>
            <w:tcW w:w="4025" w:type="dxa"/>
            <w:shd w:val="clear" w:color="auto" w:fill="FFFFFF"/>
            <w:vAlign w:val="center"/>
          </w:tcPr>
          <w:p w14:paraId="5C0144E4"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Commandes affectées, coordonnées utiles et confirmation de remise.</w:t>
            </w:r>
          </w:p>
        </w:tc>
        <w:tc>
          <w:tcPr>
            <w:tcW w:w="3430" w:type="dxa"/>
            <w:shd w:val="clear" w:color="auto" w:fill="FFFFFF"/>
            <w:vAlign w:val="center"/>
          </w:tcPr>
          <w:p w14:paraId="37BCB539"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Encaissement uniquement sur habilitation explicite.</w:t>
            </w:r>
          </w:p>
        </w:tc>
      </w:tr>
      <w:tr w:rsidR="00805045" w:rsidRPr="00A0638C" w14:paraId="7B8A79B0" w14:textId="77777777">
        <w:trPr>
          <w:cantSplit/>
          <w:jc w:val="center"/>
        </w:trPr>
        <w:tc>
          <w:tcPr>
            <w:tcW w:w="1843" w:type="dxa"/>
            <w:shd w:val="clear" w:color="auto" w:fill="FFFFFF"/>
            <w:vAlign w:val="center"/>
          </w:tcPr>
          <w:p w14:paraId="3B45C32A"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Administrateur technique</w:t>
            </w:r>
          </w:p>
        </w:tc>
        <w:tc>
          <w:tcPr>
            <w:tcW w:w="4025" w:type="dxa"/>
            <w:shd w:val="clear" w:color="auto" w:fill="FFFFFF"/>
            <w:vAlign w:val="center"/>
          </w:tcPr>
          <w:p w14:paraId="7E5D059C"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Comptes techniques, déploiement et maintenance autorisée.</w:t>
            </w:r>
          </w:p>
        </w:tc>
        <w:tc>
          <w:tcPr>
            <w:tcW w:w="3430" w:type="dxa"/>
            <w:shd w:val="clear" w:color="auto" w:fill="FFFFFF"/>
            <w:vAlign w:val="center"/>
          </w:tcPr>
          <w:p w14:paraId="51AD2C54"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Droits financiers distincts ; interventions tracées.</w:t>
            </w:r>
          </w:p>
        </w:tc>
      </w:tr>
      <w:tr w:rsidR="00805045" w:rsidRPr="00A0638C" w14:paraId="0AA521AD" w14:textId="77777777">
        <w:trPr>
          <w:cantSplit/>
          <w:jc w:val="center"/>
        </w:trPr>
        <w:tc>
          <w:tcPr>
            <w:tcW w:w="1843" w:type="dxa"/>
            <w:shd w:val="clear" w:color="auto" w:fill="FFFFFF"/>
            <w:vAlign w:val="center"/>
          </w:tcPr>
          <w:p w14:paraId="0A6B59B7"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Client avec portail optionnel</w:t>
            </w:r>
          </w:p>
        </w:tc>
        <w:tc>
          <w:tcPr>
            <w:tcW w:w="4025" w:type="dxa"/>
            <w:shd w:val="clear" w:color="auto" w:fill="FFFFFF"/>
            <w:vAlign w:val="center"/>
          </w:tcPr>
          <w:p w14:paraId="535D6FDC"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Ses droits, QR Code, commandes et historique personnel.</w:t>
            </w:r>
          </w:p>
        </w:tc>
        <w:tc>
          <w:tcPr>
            <w:tcW w:w="3430" w:type="dxa"/>
            <w:shd w:val="clear" w:color="auto" w:fill="FFFFFF"/>
            <w:vAlign w:val="center"/>
          </w:tcPr>
          <w:p w14:paraId="42993578"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Aucun accès aux données des autres clients ni à la gestion interne.</w:t>
            </w:r>
          </w:p>
        </w:tc>
      </w:tr>
    </w:tbl>
    <w:p w14:paraId="7C099E98" w14:textId="77777777" w:rsidR="00805045" w:rsidRPr="00A0638C" w:rsidRDefault="00805045" w:rsidP="00A0638C">
      <w:pPr>
        <w:spacing w:after="0" w:line="240" w:lineRule="auto"/>
        <w:jc w:val="both"/>
        <w:rPr>
          <w:rFonts w:ascii="Century Gothic" w:hAnsi="Century Gothic"/>
        </w:rPr>
      </w:pPr>
    </w:p>
    <w:p w14:paraId="181628A1" w14:textId="77777777" w:rsidR="00805045" w:rsidRPr="00A0638C" w:rsidRDefault="00820FD6" w:rsidP="00A0638C">
      <w:pPr>
        <w:jc w:val="both"/>
        <w:rPr>
          <w:rFonts w:ascii="Century Gothic" w:hAnsi="Century Gothic"/>
        </w:rPr>
      </w:pPr>
      <w:r w:rsidRPr="00A0638C">
        <w:rPr>
          <w:rFonts w:ascii="Century Gothic" w:hAnsi="Century Gothic"/>
        </w:rPr>
        <w:t>La Responsable du restaurant doit pouvoir consulter, générer, imprimer et exporter elle-même les clôtures de caisse et leur historique. La consultation ne dépend pas de l’intervention du prestataire.</w:t>
      </w:r>
    </w:p>
    <w:p w14:paraId="25216243" w14:textId="77777777" w:rsidR="00805045" w:rsidRPr="00A0638C" w:rsidRDefault="00820FD6" w:rsidP="00A0638C">
      <w:pPr>
        <w:jc w:val="both"/>
        <w:rPr>
          <w:rFonts w:ascii="Century Gothic" w:hAnsi="Century Gothic"/>
        </w:rPr>
      </w:pPr>
      <w:r w:rsidRPr="00A0638C">
        <w:rPr>
          <w:rFonts w:ascii="Century Gothic" w:hAnsi="Century Gothic"/>
        </w:rPr>
        <w:t>Les remises au-delà d’un seuil, remboursements, dérogations de repas et régularisations exigent un motif et une habilitation dédiée. Les seuils et le circuit de validation sont paramétrables. Aucun profil applicatif, y compris l’administrateur, ne peut effacer le journal d’audit ou réécrire une opération financière clôturée.</w:t>
      </w:r>
    </w:p>
    <w:p w14:paraId="0CC3598B" w14:textId="77777777" w:rsidR="00805045" w:rsidRPr="00A0638C" w:rsidRDefault="00820FD6" w:rsidP="00A0638C">
      <w:pPr>
        <w:pStyle w:val="Titre1"/>
        <w:jc w:val="both"/>
        <w:rPr>
          <w:rFonts w:ascii="Century Gothic" w:hAnsi="Century Gothic"/>
        </w:rPr>
      </w:pPr>
      <w:bookmarkStart w:id="3" w:name="Section3"/>
      <w:r w:rsidRPr="00A0638C">
        <w:rPr>
          <w:rFonts w:ascii="Century Gothic" w:hAnsi="Century Gothic"/>
        </w:rPr>
        <w:lastRenderedPageBreak/>
        <w:t>3 Paramétrage commercial</w:t>
      </w:r>
      <w:bookmarkEnd w:id="3"/>
    </w:p>
    <w:p w14:paraId="3D4EDBA0" w14:textId="77777777" w:rsidR="00805045" w:rsidRPr="00A0638C" w:rsidRDefault="00820FD6" w:rsidP="00A0638C">
      <w:pPr>
        <w:pStyle w:val="Titre2"/>
        <w:jc w:val="both"/>
        <w:rPr>
          <w:rFonts w:ascii="Century Gothic" w:hAnsi="Century Gothic"/>
        </w:rPr>
      </w:pPr>
      <w:r w:rsidRPr="00A0638C">
        <w:rPr>
          <w:rFonts w:ascii="Century Gothic" w:hAnsi="Century Gothic"/>
        </w:rPr>
        <w:t>Catalogue et catégories de clients</w:t>
      </w:r>
    </w:p>
    <w:p w14:paraId="154C5076" w14:textId="77777777" w:rsidR="00805045" w:rsidRPr="00A0638C" w:rsidRDefault="00820FD6" w:rsidP="00A0638C">
      <w:pPr>
        <w:jc w:val="both"/>
        <w:rPr>
          <w:rFonts w:ascii="Century Gothic" w:hAnsi="Century Gothic"/>
        </w:rPr>
      </w:pPr>
      <w:r w:rsidRPr="00A0638C">
        <w:rPr>
          <w:rFonts w:ascii="Century Gothic" w:hAnsi="Century Gothic"/>
        </w:rPr>
        <w:t>Le catalogue couvre les repas complets, petits-déjeuners, sandwichs, shawarmas, boissons et suppléments. Chaque article possède un code, une catégorie, une unité de vente, une disponibilité et un tarif par catégorie de client. Les composantes d’un repas de base sont décrites dans la fiche du produit ; les options et suppléments facturables apparaissent séparément.</w:t>
      </w:r>
    </w:p>
    <w:p w14:paraId="2BB76F59" w14:textId="77777777" w:rsidR="00805045" w:rsidRPr="00A0638C" w:rsidRDefault="00820FD6" w:rsidP="00A0638C">
      <w:pPr>
        <w:jc w:val="both"/>
        <w:rPr>
          <w:rFonts w:ascii="Century Gothic" w:hAnsi="Century Gothic"/>
        </w:rPr>
      </w:pPr>
      <w:r w:rsidRPr="00A0638C">
        <w:rPr>
          <w:rFonts w:ascii="Century Gothic" w:hAnsi="Century Gothic"/>
        </w:rPr>
        <w:t>Les horaires des services, les jours d’ouverture, les points de livraison et les heures limites de commande sont configurables. Le calendrier commercial doit correspondre aux horaires réellement assurés par le restaurant.</w:t>
      </w:r>
    </w:p>
    <w:p w14:paraId="373770D1" w14:textId="77777777" w:rsidR="00805045" w:rsidRPr="00A0638C" w:rsidRDefault="00820FD6" w:rsidP="00A0638C">
      <w:pPr>
        <w:pStyle w:val="Titre2"/>
        <w:jc w:val="both"/>
        <w:rPr>
          <w:rFonts w:ascii="Century Gothic" w:hAnsi="Century Gothic"/>
        </w:rPr>
      </w:pPr>
      <w:r w:rsidRPr="00A0638C">
        <w:rPr>
          <w:rFonts w:ascii="Century Gothic" w:hAnsi="Century Gothic"/>
        </w:rPr>
        <w:t>Grille initiale des abonnements</w:t>
      </w:r>
    </w:p>
    <w:p w14:paraId="64EFC057" w14:textId="77777777" w:rsidR="00805045" w:rsidRPr="00A0638C" w:rsidRDefault="00820FD6" w:rsidP="00A0638C">
      <w:pPr>
        <w:jc w:val="both"/>
        <w:rPr>
          <w:rFonts w:ascii="Century Gothic" w:hAnsi="Century Gothic"/>
        </w:rPr>
      </w:pPr>
      <w:r w:rsidRPr="00A0638C">
        <w:rPr>
          <w:rFonts w:ascii="Century Gothic" w:hAnsi="Century Gothic"/>
        </w:rPr>
        <w:t>Les montants ci-dessous constituent la grille à valider avant mise en service. La durée de référence est de 30 jours calendaires. Les droits dépendent des jours et services couverts ; un abonnement ne constitue pas automatiquement un crédit de repas librement cumulables.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110" w:type="dxa"/>
          <w:bottom w:w="95" w:type="dxa"/>
          <w:right w:w="110" w:type="dxa"/>
        </w:tblCellMar>
        <w:tblLook w:val="04A0" w:firstRow="1" w:lastRow="0" w:firstColumn="1" w:lastColumn="0" w:noHBand="0" w:noVBand="1"/>
      </w:tblPr>
      <w:tblGrid>
        <w:gridCol w:w="2041"/>
        <w:gridCol w:w="1417"/>
        <w:gridCol w:w="5839"/>
      </w:tblGrid>
      <w:tr w:rsidR="00805045" w:rsidRPr="00A0638C" w14:paraId="4A1EACA9" w14:textId="77777777">
        <w:trPr>
          <w:cantSplit/>
          <w:tblHeader/>
          <w:jc w:val="center"/>
        </w:trPr>
        <w:tc>
          <w:tcPr>
            <w:tcW w:w="2041" w:type="dxa"/>
            <w:shd w:val="clear" w:color="auto" w:fill="E5EAF0"/>
            <w:vAlign w:val="center"/>
          </w:tcPr>
          <w:p w14:paraId="5CB2AF35" w14:textId="77777777" w:rsidR="00805045" w:rsidRPr="00A0638C" w:rsidRDefault="00820FD6" w:rsidP="00A0638C">
            <w:pPr>
              <w:keepNext/>
              <w:spacing w:before="40" w:after="40" w:line="245" w:lineRule="auto"/>
              <w:jc w:val="both"/>
              <w:rPr>
                <w:rFonts w:ascii="Century Gothic" w:hAnsi="Century Gothic"/>
              </w:rPr>
            </w:pPr>
            <w:r w:rsidRPr="00A0638C">
              <w:rPr>
                <w:rFonts w:ascii="Century Gothic" w:hAnsi="Century Gothic"/>
                <w:b/>
                <w:sz w:val="20"/>
              </w:rPr>
              <w:t>Formule</w:t>
            </w:r>
          </w:p>
        </w:tc>
        <w:tc>
          <w:tcPr>
            <w:tcW w:w="1417" w:type="dxa"/>
            <w:shd w:val="clear" w:color="auto" w:fill="E5EAF0"/>
            <w:vAlign w:val="center"/>
          </w:tcPr>
          <w:p w14:paraId="4DF869C8" w14:textId="77777777" w:rsidR="00805045" w:rsidRPr="00A0638C" w:rsidRDefault="00820FD6" w:rsidP="00A0638C">
            <w:pPr>
              <w:keepNext/>
              <w:spacing w:before="40" w:after="40" w:line="245" w:lineRule="auto"/>
              <w:jc w:val="both"/>
              <w:rPr>
                <w:rFonts w:ascii="Century Gothic" w:hAnsi="Century Gothic"/>
              </w:rPr>
            </w:pPr>
            <w:r w:rsidRPr="00A0638C">
              <w:rPr>
                <w:rFonts w:ascii="Century Gothic" w:hAnsi="Century Gothic"/>
                <w:b/>
                <w:sz w:val="20"/>
              </w:rPr>
              <w:t>Prix</w:t>
            </w:r>
          </w:p>
        </w:tc>
        <w:tc>
          <w:tcPr>
            <w:tcW w:w="5839" w:type="dxa"/>
            <w:shd w:val="clear" w:color="auto" w:fill="E5EAF0"/>
            <w:vAlign w:val="center"/>
          </w:tcPr>
          <w:p w14:paraId="4DFEFC37" w14:textId="77777777" w:rsidR="00805045" w:rsidRPr="00A0638C" w:rsidRDefault="00820FD6" w:rsidP="00A0638C">
            <w:pPr>
              <w:keepNext/>
              <w:spacing w:before="40" w:after="40" w:line="245" w:lineRule="auto"/>
              <w:jc w:val="both"/>
              <w:rPr>
                <w:rFonts w:ascii="Century Gothic" w:hAnsi="Century Gothic"/>
              </w:rPr>
            </w:pPr>
            <w:r w:rsidRPr="00A0638C">
              <w:rPr>
                <w:rFonts w:ascii="Century Gothic" w:hAnsi="Century Gothic"/>
                <w:b/>
                <w:sz w:val="20"/>
              </w:rPr>
              <w:t>Droits de référence</w:t>
            </w:r>
          </w:p>
        </w:tc>
      </w:tr>
      <w:tr w:rsidR="00805045" w:rsidRPr="00A0638C" w14:paraId="18A4D0B0" w14:textId="77777777">
        <w:trPr>
          <w:cantSplit/>
          <w:jc w:val="center"/>
        </w:trPr>
        <w:tc>
          <w:tcPr>
            <w:tcW w:w="2041" w:type="dxa"/>
            <w:shd w:val="clear" w:color="auto" w:fill="FFFFFF"/>
            <w:vAlign w:val="center"/>
          </w:tcPr>
          <w:p w14:paraId="15D2B1B4"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Premium intégral</w:t>
            </w:r>
          </w:p>
        </w:tc>
        <w:tc>
          <w:tcPr>
            <w:tcW w:w="1417" w:type="dxa"/>
            <w:shd w:val="clear" w:color="auto" w:fill="FFFFFF"/>
            <w:vAlign w:val="center"/>
          </w:tcPr>
          <w:p w14:paraId="4EF805DB"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140 USD</w:t>
            </w:r>
          </w:p>
        </w:tc>
        <w:tc>
          <w:tcPr>
            <w:tcW w:w="5839" w:type="dxa"/>
            <w:shd w:val="clear" w:color="auto" w:fill="FFFFFF"/>
            <w:vAlign w:val="center"/>
          </w:tcPr>
          <w:p w14:paraId="1C0576A1"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Un petit-déjeuner, un déjeuner et un dîner par jour ; 7 jours sur 7 pendant 30 jours.</w:t>
            </w:r>
          </w:p>
        </w:tc>
      </w:tr>
      <w:tr w:rsidR="00805045" w:rsidRPr="00A0638C" w14:paraId="025CE7CB" w14:textId="77777777">
        <w:trPr>
          <w:cantSplit/>
          <w:jc w:val="center"/>
        </w:trPr>
        <w:tc>
          <w:tcPr>
            <w:tcW w:w="2041" w:type="dxa"/>
            <w:shd w:val="clear" w:color="auto" w:fill="FFFFFF"/>
            <w:vAlign w:val="center"/>
          </w:tcPr>
          <w:p w14:paraId="05E6AD62"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Combinée</w:t>
            </w:r>
          </w:p>
        </w:tc>
        <w:tc>
          <w:tcPr>
            <w:tcW w:w="1417" w:type="dxa"/>
            <w:shd w:val="clear" w:color="auto" w:fill="FFFFFF"/>
            <w:vAlign w:val="center"/>
          </w:tcPr>
          <w:p w14:paraId="7D9639FA"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110 USD</w:t>
            </w:r>
          </w:p>
        </w:tc>
        <w:tc>
          <w:tcPr>
            <w:tcW w:w="5839" w:type="dxa"/>
            <w:shd w:val="clear" w:color="auto" w:fill="FFFFFF"/>
            <w:vAlign w:val="center"/>
          </w:tcPr>
          <w:p w14:paraId="073B2090"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Un déjeuner et un dîner par jour éligible ; calendrier de 6 ou 7 jours par semaine à arrêter.</w:t>
            </w:r>
          </w:p>
        </w:tc>
      </w:tr>
      <w:tr w:rsidR="00805045" w:rsidRPr="00A0638C" w14:paraId="412248E9" w14:textId="77777777">
        <w:trPr>
          <w:cantSplit/>
          <w:jc w:val="center"/>
        </w:trPr>
        <w:tc>
          <w:tcPr>
            <w:tcW w:w="2041" w:type="dxa"/>
            <w:shd w:val="clear" w:color="auto" w:fill="FFFFFF"/>
            <w:vAlign w:val="center"/>
          </w:tcPr>
          <w:p w14:paraId="4135020E"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Repas</w:t>
            </w:r>
          </w:p>
        </w:tc>
        <w:tc>
          <w:tcPr>
            <w:tcW w:w="1417" w:type="dxa"/>
            <w:shd w:val="clear" w:color="auto" w:fill="FFFFFF"/>
            <w:vAlign w:val="center"/>
          </w:tcPr>
          <w:p w14:paraId="299CAC7B"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60 USD</w:t>
            </w:r>
          </w:p>
        </w:tc>
        <w:tc>
          <w:tcPr>
            <w:tcW w:w="5839" w:type="dxa"/>
            <w:shd w:val="clear" w:color="auto" w:fill="FFFFFF"/>
            <w:vAlign w:val="center"/>
          </w:tcPr>
          <w:p w14:paraId="7A91A98C"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Un repas principal par jour, déjeuner ou dîner ; au plus 30 repas si les 30 jours sont éligibles.</w:t>
            </w:r>
          </w:p>
        </w:tc>
      </w:tr>
      <w:tr w:rsidR="00805045" w:rsidRPr="00A0638C" w14:paraId="327FD726" w14:textId="77777777">
        <w:trPr>
          <w:cantSplit/>
          <w:jc w:val="center"/>
        </w:trPr>
        <w:tc>
          <w:tcPr>
            <w:tcW w:w="2041" w:type="dxa"/>
            <w:shd w:val="clear" w:color="auto" w:fill="FFFFFF"/>
            <w:vAlign w:val="center"/>
          </w:tcPr>
          <w:p w14:paraId="5B53DF98"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Petit-déjeuner</w:t>
            </w:r>
          </w:p>
        </w:tc>
        <w:tc>
          <w:tcPr>
            <w:tcW w:w="1417" w:type="dxa"/>
            <w:shd w:val="clear" w:color="auto" w:fill="FFFFFF"/>
            <w:vAlign w:val="center"/>
          </w:tcPr>
          <w:p w14:paraId="3BB5B8F7"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40 USD</w:t>
            </w:r>
          </w:p>
        </w:tc>
        <w:tc>
          <w:tcPr>
            <w:tcW w:w="5839" w:type="dxa"/>
            <w:shd w:val="clear" w:color="auto" w:fill="FFFFFF"/>
            <w:vAlign w:val="center"/>
          </w:tcPr>
          <w:p w14:paraId="4585A10A"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Un petit-déjeuner par jour pendant 30 jours, selon le calendrier validé.</w:t>
            </w:r>
          </w:p>
        </w:tc>
      </w:tr>
      <w:tr w:rsidR="00805045" w:rsidRPr="00A0638C" w14:paraId="694A688B" w14:textId="77777777">
        <w:trPr>
          <w:cantSplit/>
          <w:jc w:val="center"/>
        </w:trPr>
        <w:tc>
          <w:tcPr>
            <w:tcW w:w="2041" w:type="dxa"/>
            <w:shd w:val="clear" w:color="auto" w:fill="FFFFFF"/>
            <w:vAlign w:val="center"/>
          </w:tcPr>
          <w:p w14:paraId="6D6D9076"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Sur mesure ou Flex</w:t>
            </w:r>
          </w:p>
        </w:tc>
        <w:tc>
          <w:tcPr>
            <w:tcW w:w="1417" w:type="dxa"/>
            <w:shd w:val="clear" w:color="auto" w:fill="FFFFFF"/>
            <w:vAlign w:val="center"/>
          </w:tcPr>
          <w:p w14:paraId="1F4BFFE5"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Sur devis</w:t>
            </w:r>
          </w:p>
        </w:tc>
        <w:tc>
          <w:tcPr>
            <w:tcW w:w="5839" w:type="dxa"/>
            <w:shd w:val="clear" w:color="auto" w:fill="FFFFFF"/>
            <w:vAlign w:val="center"/>
          </w:tcPr>
          <w:p w14:paraId="41A4C5F0"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Nombre de repas, services, jours et durée définis dans une offre spécifique.</w:t>
            </w:r>
          </w:p>
        </w:tc>
      </w:tr>
    </w:tbl>
    <w:p w14:paraId="66998CF6" w14:textId="77777777" w:rsidR="00805045" w:rsidRPr="00A0638C" w:rsidRDefault="00805045" w:rsidP="00A0638C">
      <w:pPr>
        <w:spacing w:after="0" w:line="240" w:lineRule="auto"/>
        <w:jc w:val="both"/>
        <w:rPr>
          <w:rFonts w:ascii="Century Gothic" w:hAnsi="Century Gothic"/>
        </w:rPr>
      </w:pPr>
    </w:p>
    <w:p w14:paraId="2BC1ABDC" w14:textId="77777777" w:rsidR="00805045" w:rsidRPr="00A0638C" w:rsidRDefault="00820FD6" w:rsidP="00A0638C">
      <w:pPr>
        <w:jc w:val="both"/>
        <w:rPr>
          <w:rFonts w:ascii="Century Gothic" w:hAnsi="Century Gothic"/>
        </w:rPr>
      </w:pPr>
      <w:commentRangeStart w:id="4"/>
      <w:r w:rsidRPr="00A0638C">
        <w:rPr>
          <w:rFonts w:ascii="Century Gothic" w:hAnsi="Century Gothic"/>
        </w:rPr>
        <w:t>Le prix de 8 000 CDF correspond au repas étudiant acheté à l’unité. Il ne définit ni la durée ni le contenu d’un abonnement Flex. Toute offre Flex précise séparément son prix, sa validité, ses quotas et ses possibilités de report. Une offre utilisant un portefeuille monétaire relève de l’option correspondante.</w:t>
      </w:r>
      <w:commentRangeEnd w:id="4"/>
      <w:r w:rsidRPr="00A0638C">
        <w:rPr>
          <w:rFonts w:ascii="Century Gothic" w:hAnsi="Century Gothic"/>
        </w:rPr>
        <w:commentReference w:id="4"/>
      </w:r>
    </w:p>
    <w:p w14:paraId="3FEADF61" w14:textId="77777777" w:rsidR="00805045" w:rsidRPr="00A0638C" w:rsidRDefault="00820FD6" w:rsidP="00A0638C">
      <w:pPr>
        <w:pStyle w:val="Titre2"/>
        <w:jc w:val="both"/>
        <w:rPr>
          <w:rFonts w:ascii="Century Gothic" w:hAnsi="Century Gothic"/>
        </w:rPr>
      </w:pPr>
      <w:r w:rsidRPr="00A0638C">
        <w:rPr>
          <w:rFonts w:ascii="Century Gothic" w:hAnsi="Century Gothic"/>
        </w:rPr>
        <w:t>Ventes à la carte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110" w:type="dxa"/>
          <w:bottom w:w="95" w:type="dxa"/>
          <w:right w:w="110" w:type="dxa"/>
        </w:tblCellMar>
        <w:tblLook w:val="04A0" w:firstRow="1" w:lastRow="0" w:firstColumn="1" w:lastColumn="0" w:noHBand="0" w:noVBand="1"/>
      </w:tblPr>
      <w:tblGrid>
        <w:gridCol w:w="3572"/>
        <w:gridCol w:w="1474"/>
        <w:gridCol w:w="4252"/>
      </w:tblGrid>
      <w:tr w:rsidR="00805045" w:rsidRPr="00A0638C" w14:paraId="161E254B" w14:textId="77777777">
        <w:trPr>
          <w:cantSplit/>
          <w:tblHeader/>
          <w:jc w:val="center"/>
        </w:trPr>
        <w:tc>
          <w:tcPr>
            <w:tcW w:w="3572" w:type="dxa"/>
            <w:shd w:val="clear" w:color="auto" w:fill="E5EAF0"/>
            <w:vAlign w:val="center"/>
          </w:tcPr>
          <w:p w14:paraId="30885884" w14:textId="77777777" w:rsidR="00805045" w:rsidRPr="00A0638C" w:rsidRDefault="00820FD6" w:rsidP="00A0638C">
            <w:pPr>
              <w:keepNext/>
              <w:spacing w:before="40" w:after="40" w:line="245" w:lineRule="auto"/>
              <w:jc w:val="both"/>
              <w:rPr>
                <w:rFonts w:ascii="Century Gothic" w:hAnsi="Century Gothic"/>
              </w:rPr>
            </w:pPr>
            <w:r w:rsidRPr="00A0638C">
              <w:rPr>
                <w:rFonts w:ascii="Century Gothic" w:hAnsi="Century Gothic"/>
                <w:b/>
                <w:sz w:val="20"/>
              </w:rPr>
              <w:t>Article ou catégorie</w:t>
            </w:r>
          </w:p>
        </w:tc>
        <w:tc>
          <w:tcPr>
            <w:tcW w:w="1474" w:type="dxa"/>
            <w:shd w:val="clear" w:color="auto" w:fill="E5EAF0"/>
            <w:vAlign w:val="center"/>
          </w:tcPr>
          <w:p w14:paraId="79B89658" w14:textId="77777777" w:rsidR="00805045" w:rsidRPr="00A0638C" w:rsidRDefault="00820FD6" w:rsidP="00A0638C">
            <w:pPr>
              <w:keepNext/>
              <w:spacing w:before="40" w:after="40" w:line="245" w:lineRule="auto"/>
              <w:jc w:val="both"/>
              <w:rPr>
                <w:rFonts w:ascii="Century Gothic" w:hAnsi="Century Gothic"/>
              </w:rPr>
            </w:pPr>
            <w:r w:rsidRPr="00A0638C">
              <w:rPr>
                <w:rFonts w:ascii="Century Gothic" w:hAnsi="Century Gothic"/>
                <w:b/>
                <w:sz w:val="20"/>
              </w:rPr>
              <w:t>Prix initial</w:t>
            </w:r>
          </w:p>
        </w:tc>
        <w:tc>
          <w:tcPr>
            <w:tcW w:w="4252" w:type="dxa"/>
            <w:shd w:val="clear" w:color="auto" w:fill="E5EAF0"/>
            <w:vAlign w:val="center"/>
          </w:tcPr>
          <w:p w14:paraId="396C985E" w14:textId="77777777" w:rsidR="00805045" w:rsidRPr="00A0638C" w:rsidRDefault="00820FD6" w:rsidP="00A0638C">
            <w:pPr>
              <w:keepNext/>
              <w:spacing w:before="40" w:after="40" w:line="245" w:lineRule="auto"/>
              <w:jc w:val="both"/>
              <w:rPr>
                <w:rFonts w:ascii="Century Gothic" w:hAnsi="Century Gothic"/>
              </w:rPr>
            </w:pPr>
            <w:r w:rsidRPr="00A0638C">
              <w:rPr>
                <w:rFonts w:ascii="Century Gothic" w:hAnsi="Century Gothic"/>
                <w:b/>
                <w:sz w:val="20"/>
              </w:rPr>
              <w:t>Règle</w:t>
            </w:r>
          </w:p>
        </w:tc>
      </w:tr>
      <w:tr w:rsidR="00805045" w:rsidRPr="00A0638C" w14:paraId="188B75F8" w14:textId="77777777">
        <w:trPr>
          <w:cantSplit/>
          <w:jc w:val="center"/>
        </w:trPr>
        <w:tc>
          <w:tcPr>
            <w:tcW w:w="3572" w:type="dxa"/>
            <w:shd w:val="clear" w:color="auto" w:fill="FFFFFF"/>
            <w:vAlign w:val="center"/>
          </w:tcPr>
          <w:p w14:paraId="1D896B3D"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Repas étudiant</w:t>
            </w:r>
          </w:p>
        </w:tc>
        <w:tc>
          <w:tcPr>
            <w:tcW w:w="1474" w:type="dxa"/>
            <w:shd w:val="clear" w:color="auto" w:fill="FFFFFF"/>
            <w:vAlign w:val="center"/>
          </w:tcPr>
          <w:p w14:paraId="3BE3D774"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8 000 CDF</w:t>
            </w:r>
          </w:p>
        </w:tc>
        <w:tc>
          <w:tcPr>
            <w:tcW w:w="4252" w:type="dxa"/>
            <w:shd w:val="clear" w:color="auto" w:fill="FFFFFF"/>
            <w:vAlign w:val="center"/>
          </w:tcPr>
          <w:p w14:paraId="2ECD643E"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Repas seul ; boissons et suppléments séparés.</w:t>
            </w:r>
          </w:p>
        </w:tc>
      </w:tr>
      <w:tr w:rsidR="00805045" w:rsidRPr="00A0638C" w14:paraId="65A411D0" w14:textId="77777777">
        <w:trPr>
          <w:cantSplit/>
          <w:jc w:val="center"/>
        </w:trPr>
        <w:tc>
          <w:tcPr>
            <w:tcW w:w="3572" w:type="dxa"/>
            <w:shd w:val="clear" w:color="auto" w:fill="FFFFFF"/>
            <w:vAlign w:val="center"/>
          </w:tcPr>
          <w:p w14:paraId="39395D99"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Repas personnel ULC ou autre catégorie autorisée</w:t>
            </w:r>
          </w:p>
        </w:tc>
        <w:tc>
          <w:tcPr>
            <w:tcW w:w="1474" w:type="dxa"/>
            <w:shd w:val="clear" w:color="auto" w:fill="FFFFFF"/>
            <w:vAlign w:val="center"/>
          </w:tcPr>
          <w:p w14:paraId="68C87A64"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10 000 CDF</w:t>
            </w:r>
          </w:p>
        </w:tc>
        <w:tc>
          <w:tcPr>
            <w:tcW w:w="4252" w:type="dxa"/>
            <w:shd w:val="clear" w:color="auto" w:fill="FFFFFF"/>
            <w:vAlign w:val="center"/>
          </w:tcPr>
          <w:p w14:paraId="6E0C36ED"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Catégorie du client vérifiée à la vente.</w:t>
            </w:r>
          </w:p>
        </w:tc>
      </w:tr>
      <w:tr w:rsidR="00805045" w:rsidRPr="00A0638C" w14:paraId="1E548596" w14:textId="77777777">
        <w:trPr>
          <w:cantSplit/>
          <w:jc w:val="center"/>
        </w:trPr>
        <w:tc>
          <w:tcPr>
            <w:tcW w:w="3572" w:type="dxa"/>
            <w:shd w:val="clear" w:color="auto" w:fill="FFFFFF"/>
            <w:vAlign w:val="center"/>
          </w:tcPr>
          <w:p w14:paraId="624C522B"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lastRenderedPageBreak/>
              <w:t>Eau, jus en plastique, jus en bouteille, bière</w:t>
            </w:r>
          </w:p>
        </w:tc>
        <w:tc>
          <w:tcPr>
            <w:tcW w:w="1474" w:type="dxa"/>
            <w:shd w:val="clear" w:color="auto" w:fill="FFFFFF"/>
            <w:vAlign w:val="center"/>
          </w:tcPr>
          <w:p w14:paraId="24F93442"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À définir</w:t>
            </w:r>
          </w:p>
        </w:tc>
        <w:tc>
          <w:tcPr>
            <w:tcW w:w="4252" w:type="dxa"/>
            <w:shd w:val="clear" w:color="auto" w:fill="FFFFFF"/>
            <w:vAlign w:val="center"/>
          </w:tcPr>
          <w:p w14:paraId="07568C64"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Chaque référence possède son prix et sa disponibilité ; catalogue soumis à validation.</w:t>
            </w:r>
          </w:p>
        </w:tc>
      </w:tr>
      <w:tr w:rsidR="00805045" w:rsidRPr="00A0638C" w14:paraId="72348040" w14:textId="77777777">
        <w:trPr>
          <w:cantSplit/>
          <w:jc w:val="center"/>
        </w:trPr>
        <w:tc>
          <w:tcPr>
            <w:tcW w:w="3572" w:type="dxa"/>
            <w:shd w:val="clear" w:color="auto" w:fill="FFFFFF"/>
            <w:vAlign w:val="center"/>
          </w:tcPr>
          <w:p w14:paraId="2B959A3E"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Sandwich, shawarma, petits-déjeuners et suppléments</w:t>
            </w:r>
          </w:p>
        </w:tc>
        <w:tc>
          <w:tcPr>
            <w:tcW w:w="1474" w:type="dxa"/>
            <w:shd w:val="clear" w:color="auto" w:fill="FFFFFF"/>
            <w:vAlign w:val="center"/>
          </w:tcPr>
          <w:p w14:paraId="254B12B1"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À définir</w:t>
            </w:r>
          </w:p>
        </w:tc>
        <w:tc>
          <w:tcPr>
            <w:tcW w:w="4252" w:type="dxa"/>
            <w:shd w:val="clear" w:color="auto" w:fill="FFFFFF"/>
            <w:vAlign w:val="center"/>
          </w:tcPr>
          <w:p w14:paraId="4C18E5CB"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Tarifs et compositions administrables.</w:t>
            </w:r>
          </w:p>
        </w:tc>
      </w:tr>
    </w:tbl>
    <w:p w14:paraId="6328F97B" w14:textId="77777777" w:rsidR="00805045" w:rsidRPr="00A0638C" w:rsidRDefault="00805045" w:rsidP="00A0638C">
      <w:pPr>
        <w:spacing w:after="0" w:line="240" w:lineRule="auto"/>
        <w:jc w:val="both"/>
        <w:rPr>
          <w:rFonts w:ascii="Century Gothic" w:hAnsi="Century Gothic"/>
        </w:rPr>
      </w:pPr>
    </w:p>
    <w:p w14:paraId="35F7C29E" w14:textId="77777777" w:rsidR="00805045" w:rsidRPr="00A0638C" w:rsidRDefault="00820FD6" w:rsidP="00A0638C">
      <w:pPr>
        <w:jc w:val="both"/>
        <w:rPr>
          <w:rFonts w:ascii="Century Gothic" w:hAnsi="Century Gothic"/>
        </w:rPr>
      </w:pPr>
      <w:r w:rsidRPr="00A0638C">
        <w:rPr>
          <w:rFonts w:ascii="Century Gothic" w:hAnsi="Century Gothic"/>
        </w:rPr>
        <w:t>Les exemples de prix utilisés dans les tests ou les tickets de démonstration ne deviennent pas automatiquement des tarifs de production.</w:t>
      </w:r>
    </w:p>
    <w:p w14:paraId="7CF2068E" w14:textId="77777777" w:rsidR="00805045" w:rsidRPr="00A0638C" w:rsidRDefault="00820FD6" w:rsidP="00A0638C">
      <w:pPr>
        <w:pStyle w:val="Titre2"/>
        <w:jc w:val="both"/>
        <w:rPr>
          <w:rFonts w:ascii="Century Gothic" w:hAnsi="Century Gothic"/>
        </w:rPr>
      </w:pPr>
      <w:r w:rsidRPr="00A0638C">
        <w:rPr>
          <w:rFonts w:ascii="Century Gothic" w:hAnsi="Century Gothic"/>
        </w:rPr>
        <w:t>Modification des prix</w:t>
      </w:r>
    </w:p>
    <w:p w14:paraId="6BF269A6" w14:textId="77777777" w:rsidR="00805045" w:rsidRPr="00A0638C" w:rsidRDefault="00820FD6" w:rsidP="00A0638C">
      <w:pPr>
        <w:jc w:val="both"/>
        <w:rPr>
          <w:rFonts w:ascii="Century Gothic" w:hAnsi="Century Gothic"/>
        </w:rPr>
      </w:pPr>
      <w:r w:rsidRPr="00A0638C">
        <w:rPr>
          <w:rFonts w:ascii="Century Gothic" w:hAnsi="Century Gothic"/>
        </w:rPr>
        <w:t>Les prix et avantages ne doivent pas être figés dans le code. Une personne habilitée peut modifier une formule, un tarif ou plusieurs prix en une opération contrôlée. Chaque changement conserve l’ancien montant, le nouveau montant, l’auteur, la date de saisie et la date de prise d’effet.</w:t>
      </w:r>
    </w:p>
    <w:p w14:paraId="4DCBED14" w14:textId="77777777" w:rsidR="00805045" w:rsidRPr="00A0638C" w:rsidRDefault="00820FD6" w:rsidP="00A0638C">
      <w:pPr>
        <w:jc w:val="both"/>
        <w:rPr>
          <w:rFonts w:ascii="Century Gothic" w:hAnsi="Century Gothic"/>
        </w:rPr>
      </w:pPr>
      <w:r w:rsidRPr="00A0638C">
        <w:rPr>
          <w:rFonts w:ascii="Century Gothic" w:hAnsi="Century Gothic"/>
        </w:rPr>
        <w:t>Les ventes clôturées et les conditions déjà souscrites restent rattachées à leur version tarifaire. Une nouvelle grille s’applique aux nouvelles opérations et aux renouvellements concernés. Toute modification exceptionnelle d’un abonnement en cours exige une régularisation explicite et traçable.</w:t>
      </w:r>
    </w:p>
    <w:p w14:paraId="23530823" w14:textId="77777777" w:rsidR="00805045" w:rsidRPr="00A0638C" w:rsidRDefault="00820FD6" w:rsidP="00A0638C">
      <w:pPr>
        <w:pStyle w:val="Titre1"/>
        <w:jc w:val="both"/>
        <w:rPr>
          <w:rFonts w:ascii="Century Gothic" w:hAnsi="Century Gothic"/>
        </w:rPr>
      </w:pPr>
      <w:bookmarkStart w:id="5" w:name="Section4"/>
      <w:r w:rsidRPr="00A0638C">
        <w:rPr>
          <w:rFonts w:ascii="Century Gothic" w:hAnsi="Century Gothic"/>
        </w:rPr>
        <w:t>4 Clients et abonnements</w:t>
      </w:r>
      <w:bookmarkEnd w:id="5"/>
    </w:p>
    <w:p w14:paraId="436BE175" w14:textId="77777777" w:rsidR="00805045" w:rsidRPr="00A0638C" w:rsidRDefault="00820FD6" w:rsidP="00A0638C">
      <w:pPr>
        <w:pStyle w:val="Titre2"/>
        <w:jc w:val="both"/>
        <w:rPr>
          <w:rFonts w:ascii="Century Gothic" w:hAnsi="Century Gothic"/>
        </w:rPr>
      </w:pPr>
      <w:r w:rsidRPr="00A0638C">
        <w:rPr>
          <w:rFonts w:ascii="Century Gothic" w:hAnsi="Century Gothic"/>
        </w:rPr>
        <w:t>Fichier clients</w:t>
      </w:r>
    </w:p>
    <w:p w14:paraId="1CB52EEE" w14:textId="77777777" w:rsidR="00805045" w:rsidRPr="00A0638C" w:rsidRDefault="00820FD6" w:rsidP="00A0638C">
      <w:pPr>
        <w:jc w:val="both"/>
        <w:rPr>
          <w:rFonts w:ascii="Century Gothic" w:hAnsi="Century Gothic"/>
        </w:rPr>
      </w:pPr>
      <w:r w:rsidRPr="00A0638C">
        <w:rPr>
          <w:rFonts w:ascii="Century Gothic" w:hAnsi="Century Gothic"/>
        </w:rPr>
        <w:t>Le système attribue un identifiant client unique, distinct du numéro de chaque abonnement. La fiche comprend le nom, la catégorie et, selon le besoin, le matricule ULC, la faculté, la promotion, le statut de résidence, le téléphone, le courriel et la photo. Les champs obligatoires sont définis par catégorie ; une vente ponctuelle peut rester non nominative si aucune livraison ou créance ne nécessite une identification.</w:t>
      </w:r>
    </w:p>
    <w:p w14:paraId="6DD629BD" w14:textId="77777777" w:rsidR="00805045" w:rsidRPr="00A0638C" w:rsidRDefault="00820FD6" w:rsidP="00A0638C">
      <w:pPr>
        <w:jc w:val="both"/>
        <w:rPr>
          <w:rFonts w:ascii="Century Gothic" w:hAnsi="Century Gothic"/>
        </w:rPr>
      </w:pPr>
      <w:r w:rsidRPr="00A0638C">
        <w:rPr>
          <w:rFonts w:ascii="Century Gothic" w:hAnsi="Century Gothic"/>
        </w:rPr>
        <w:t>La recherche s’effectue par nom, matricule, téléphone, identifiant ou QR Code. Un contrôle signale les doublons possibles. L’archivage d’une fiche conserve les opérations passées ; toute fusion de doublons est réservée à une personne habilitée et laisse une trace.</w:t>
      </w:r>
    </w:p>
    <w:p w14:paraId="4C0C2A3A" w14:textId="77777777" w:rsidR="00805045" w:rsidRPr="00A0638C" w:rsidRDefault="00820FD6" w:rsidP="00A0638C">
      <w:pPr>
        <w:jc w:val="both"/>
        <w:rPr>
          <w:rFonts w:ascii="Century Gothic" w:hAnsi="Century Gothic"/>
        </w:rPr>
      </w:pPr>
      <w:r w:rsidRPr="00A0638C">
        <w:rPr>
          <w:rFonts w:ascii="Century Gothic" w:hAnsi="Century Gothic"/>
        </w:rPr>
        <w:t>Les allergies ou contraintes alimentaires sont facultatives, renseignées avec l’accord du client et accessibles seulement aux agents qui en ont besoin. La cuisine reçoit l’instruction alimentaire utile à la commande, sans accès général au dossier du client.</w:t>
      </w:r>
    </w:p>
    <w:p w14:paraId="09BCC293" w14:textId="77777777" w:rsidR="00805045" w:rsidRPr="00A0638C" w:rsidRDefault="00820FD6" w:rsidP="00A0638C">
      <w:pPr>
        <w:pStyle w:val="Titre2"/>
        <w:jc w:val="both"/>
        <w:rPr>
          <w:rFonts w:ascii="Century Gothic" w:hAnsi="Century Gothic"/>
        </w:rPr>
      </w:pPr>
      <w:r w:rsidRPr="00A0638C">
        <w:rPr>
          <w:rFonts w:ascii="Century Gothic" w:hAnsi="Century Gothic"/>
        </w:rPr>
        <w:t>Souscription et activation</w:t>
      </w:r>
    </w:p>
    <w:p w14:paraId="29812A2A" w14:textId="77777777" w:rsidR="00805045" w:rsidRPr="00A0638C" w:rsidRDefault="00820FD6" w:rsidP="00A0638C">
      <w:pPr>
        <w:jc w:val="both"/>
        <w:rPr>
          <w:rFonts w:ascii="Century Gothic" w:hAnsi="Century Gothic"/>
        </w:rPr>
      </w:pPr>
      <w:r w:rsidRPr="00A0638C">
        <w:rPr>
          <w:rFonts w:ascii="Century Gothic" w:hAnsi="Century Gothic"/>
        </w:rPr>
        <w:t>L’abonnement est nominatif et non cessible. Il précise le client, la version de formule, le prix, les dates et services couverts, ainsi que la livraison incluse ou non. Pour une période de 30 jours commençant le jour D, la date de fin est D + 29, à la fin de la journée. Les journées et services sont calculés selon l’heure locale du restaurant à Kinshasa. Les dates sont affichées avant confirmation.</w:t>
      </w:r>
    </w:p>
    <w:p w14:paraId="5B3B5FE7" w14:textId="77777777" w:rsidR="00805045" w:rsidRPr="00A0638C" w:rsidRDefault="00820FD6" w:rsidP="00A0638C">
      <w:pPr>
        <w:jc w:val="both"/>
        <w:rPr>
          <w:rFonts w:ascii="Century Gothic" w:hAnsi="Century Gothic"/>
        </w:rPr>
      </w:pPr>
      <w:r w:rsidRPr="00A0638C">
        <w:rPr>
          <w:rFonts w:ascii="Century Gothic" w:hAnsi="Century Gothic"/>
        </w:rPr>
        <w:t xml:space="preserve">L’activation intervient à la date de début lorsque le paiement requis est confirmé. Une souscription payée à l’avance peut être planifiée. L’activation sur acompte exige une </w:t>
      </w:r>
      <w:r w:rsidRPr="00A0638C">
        <w:rPr>
          <w:rFonts w:ascii="Century Gothic" w:hAnsi="Century Gothic"/>
        </w:rPr>
        <w:lastRenderedPageBreak/>
        <w:t>autorisation et une règle définissant le montant minimal, le solde, l’échéance et le comportement en cas de retard.</w:t>
      </w:r>
    </w:p>
    <w:p w14:paraId="0FDB082C" w14:textId="77777777" w:rsidR="00805045" w:rsidRPr="00A0638C" w:rsidRDefault="00820FD6" w:rsidP="00A0638C">
      <w:pPr>
        <w:jc w:val="both"/>
        <w:rPr>
          <w:rFonts w:ascii="Century Gothic" w:hAnsi="Century Gothic"/>
        </w:rPr>
      </w:pPr>
      <w:r w:rsidRPr="00A0638C">
        <w:rPr>
          <w:rFonts w:ascii="Century Gothic" w:hAnsi="Century Gothic"/>
        </w:rPr>
        <w:t>Les états distinguent au minimum : en attente de paiement, planifié, actif, suspendu, expiré et résilié. Le solde financier reste distinct du statut de l’abonnement. Un renouvellement crée une nouvelle période et conserve l’historique précédent.</w:t>
      </w:r>
    </w:p>
    <w:p w14:paraId="60D53EFF" w14:textId="77777777" w:rsidR="00805045" w:rsidRPr="00A0638C" w:rsidRDefault="00820FD6" w:rsidP="00A0638C">
      <w:pPr>
        <w:pStyle w:val="Titre2"/>
        <w:jc w:val="both"/>
        <w:rPr>
          <w:rFonts w:ascii="Century Gothic" w:hAnsi="Century Gothic"/>
        </w:rPr>
      </w:pPr>
      <w:r w:rsidRPr="00A0638C">
        <w:rPr>
          <w:rFonts w:ascii="Century Gothic" w:hAnsi="Century Gothic"/>
        </w:rPr>
        <w:t>Calcul des droits</w:t>
      </w:r>
    </w:p>
    <w:p w14:paraId="6FDEB39F" w14:textId="77777777" w:rsidR="00805045" w:rsidRPr="00A0638C" w:rsidRDefault="00820FD6" w:rsidP="00A0638C">
      <w:pPr>
        <w:jc w:val="both"/>
        <w:rPr>
          <w:rFonts w:ascii="Century Gothic" w:hAnsi="Century Gothic"/>
        </w:rPr>
      </w:pPr>
      <w:r w:rsidRPr="00A0638C">
        <w:rPr>
          <w:rFonts w:ascii="Century Gothic" w:hAnsi="Century Gothic"/>
        </w:rPr>
        <w:t>Chaque formule définit les jours éligibles, les types de repas, le quota par service, le plafond journalier et, si nécessaire, un plafond sur la période. Pour la formule Repas, un déjeuner consommé épuise le droit au repas principal de la journée ; le dîner ne peut pas être obtenu sur le même droit.</w:t>
      </w:r>
    </w:p>
    <w:p w14:paraId="4D9DC5AF" w14:textId="77777777" w:rsidR="00805045" w:rsidRPr="00A0638C" w:rsidRDefault="00820FD6" w:rsidP="00A0638C">
      <w:pPr>
        <w:jc w:val="both"/>
        <w:rPr>
          <w:rFonts w:ascii="Century Gothic" w:hAnsi="Century Gothic"/>
        </w:rPr>
      </w:pPr>
      <w:r w:rsidRPr="00A0638C">
        <w:rPr>
          <w:rFonts w:ascii="Century Gothic" w:hAnsi="Century Gothic"/>
        </w:rPr>
        <w:t>La règle proposée pour les forfaits standards est l’absence de report des droits non utilisés. Tout report autorisé, notamment pour une offre Flex ou une fermeture, doit être paramétré explicitement. Le système bloque les cumuls involontaires de droits issus d’abonnements qui se chevauchent et applique la règle de cumul validée.</w:t>
      </w:r>
    </w:p>
    <w:p w14:paraId="38B5AC35" w14:textId="77777777" w:rsidR="00805045" w:rsidRPr="00A0638C" w:rsidRDefault="00820FD6" w:rsidP="00A0638C">
      <w:pPr>
        <w:pStyle w:val="Titre2"/>
        <w:jc w:val="both"/>
        <w:rPr>
          <w:rFonts w:ascii="Century Gothic" w:hAnsi="Century Gothic"/>
        </w:rPr>
      </w:pPr>
      <w:r w:rsidRPr="00A0638C">
        <w:rPr>
          <w:rFonts w:ascii="Century Gothic" w:hAnsi="Century Gothic"/>
        </w:rPr>
        <w:t>Suspension et suivi financier</w:t>
      </w:r>
    </w:p>
    <w:p w14:paraId="2C9C3ABB" w14:textId="77777777" w:rsidR="00805045" w:rsidRPr="00A0638C" w:rsidRDefault="00820FD6" w:rsidP="00A0638C">
      <w:pPr>
        <w:jc w:val="both"/>
        <w:rPr>
          <w:rFonts w:ascii="Century Gothic" w:hAnsi="Century Gothic"/>
        </w:rPr>
      </w:pPr>
      <w:r w:rsidRPr="00A0638C">
        <w:rPr>
          <w:rFonts w:ascii="Century Gothic" w:hAnsi="Century Gothic"/>
        </w:rPr>
        <w:t>Une suspension précise le motif, les dates, l’auteur et son effet sur les droits et la date de fin. Une pause n’allonge la période que si la politique retenue le prévoit. Une fermeture programmée doit être traitée selon la règle commerciale définie, sans prolongation implicite.</w:t>
      </w:r>
    </w:p>
    <w:p w14:paraId="0085EABC" w14:textId="77777777" w:rsidR="00805045" w:rsidRPr="00A0638C" w:rsidRDefault="00820FD6" w:rsidP="00A0638C">
      <w:pPr>
        <w:jc w:val="both"/>
        <w:rPr>
          <w:rFonts w:ascii="Century Gothic" w:hAnsi="Century Gothic"/>
        </w:rPr>
      </w:pPr>
      <w:r w:rsidRPr="00A0638C">
        <w:rPr>
          <w:rFonts w:ascii="Century Gothic" w:hAnsi="Century Gothic"/>
        </w:rPr>
        <w:t>Les paiements complets ou partiels sont reliés à la souscription. Le solde est calculé à partir du montant dû, des règlements confirmés et des régularisations validées. Le système conserve les échéances, les annulations et les remboursements sans effacer les écritures d’origine.</w:t>
      </w:r>
    </w:p>
    <w:p w14:paraId="2C8AD6C2" w14:textId="77777777" w:rsidR="00805045" w:rsidRPr="00A0638C" w:rsidRDefault="00820FD6" w:rsidP="00A0638C">
      <w:pPr>
        <w:jc w:val="both"/>
        <w:rPr>
          <w:rFonts w:ascii="Century Gothic" w:hAnsi="Century Gothic"/>
        </w:rPr>
      </w:pPr>
      <w:r w:rsidRPr="00A0638C">
        <w:rPr>
          <w:rFonts w:ascii="Century Gothic" w:hAnsi="Century Gothic"/>
        </w:rPr>
        <w:t>Des alertes internes signalent les soldes échus et les expirations proches, avec des délais configurables, initialement proposés à J−3 et J−1. Le renouvellement ne doit pas effacer une dette antérieure.</w:t>
      </w:r>
    </w:p>
    <w:p w14:paraId="655DAD9D" w14:textId="77777777" w:rsidR="00805045" w:rsidRPr="00A0638C" w:rsidRDefault="00820FD6" w:rsidP="00A0638C">
      <w:pPr>
        <w:pStyle w:val="Titre1"/>
        <w:jc w:val="both"/>
        <w:rPr>
          <w:rFonts w:ascii="Century Gothic" w:hAnsi="Century Gothic"/>
        </w:rPr>
      </w:pPr>
      <w:bookmarkStart w:id="6" w:name="Section5"/>
      <w:r w:rsidRPr="00A0638C">
        <w:rPr>
          <w:rFonts w:ascii="Century Gothic" w:hAnsi="Century Gothic"/>
        </w:rPr>
        <w:t>5 Identification et contrôle des repas</w:t>
      </w:r>
      <w:bookmarkEnd w:id="6"/>
    </w:p>
    <w:p w14:paraId="55DA3CE8" w14:textId="77777777" w:rsidR="00805045" w:rsidRPr="00A0638C" w:rsidRDefault="00820FD6" w:rsidP="00A0638C">
      <w:pPr>
        <w:pStyle w:val="Titre2"/>
        <w:jc w:val="both"/>
        <w:rPr>
          <w:rFonts w:ascii="Century Gothic" w:hAnsi="Century Gothic"/>
        </w:rPr>
      </w:pPr>
      <w:r w:rsidRPr="00A0638C">
        <w:rPr>
          <w:rFonts w:ascii="Century Gothic" w:hAnsi="Century Gothic"/>
        </w:rPr>
        <w:t>Identification au point de service</w:t>
      </w:r>
    </w:p>
    <w:p w14:paraId="305F82C6" w14:textId="77777777" w:rsidR="00805045" w:rsidRPr="00A0638C" w:rsidRDefault="00820FD6" w:rsidP="00A0638C">
      <w:pPr>
        <w:jc w:val="both"/>
        <w:rPr>
          <w:rFonts w:ascii="Century Gothic" w:hAnsi="Century Gothic"/>
        </w:rPr>
      </w:pPr>
      <w:r w:rsidRPr="00A0638C">
        <w:rPr>
          <w:rFonts w:ascii="Century Gothic" w:hAnsi="Century Gothic"/>
        </w:rPr>
        <w:t>Le QR Code contient un identifiant opaque et révocable, sans nom, téléphone ni solde lisible. Il permet de retrouver le client et ses droits en cours. Son remplacement invalide l’ancien code. Il peut être présenté sur téléphone ou imprimé ; la fabrication de cartes PVC relève des fournitures à chiffrer.</w:t>
      </w:r>
    </w:p>
    <w:p w14:paraId="5B28AE62" w14:textId="77777777" w:rsidR="00805045" w:rsidRPr="00A0638C" w:rsidRDefault="00820FD6" w:rsidP="00A0638C">
      <w:pPr>
        <w:jc w:val="both"/>
        <w:rPr>
          <w:rFonts w:ascii="Century Gothic" w:hAnsi="Century Gothic"/>
        </w:rPr>
      </w:pPr>
      <w:r w:rsidRPr="00A0638C">
        <w:rPr>
          <w:rFonts w:ascii="Century Gothic" w:hAnsi="Century Gothic"/>
        </w:rPr>
        <w:t>Après lecture, l’agent voit le nom, la photo lorsqu’elle est disponible, la formule, la validité, les droits ouverts et les consommations déjà enregistrées. La photo complète le contrôle d’identité ; un QR Code statique ne suffit pas à empêcher son partage. Une recherche manuelle applique exactement les mêmes règles de contrôle et de traçabilité.</w:t>
      </w:r>
    </w:p>
    <w:p w14:paraId="42B6D83E" w14:textId="77777777" w:rsidR="00805045" w:rsidRPr="00A0638C" w:rsidRDefault="00820FD6" w:rsidP="00A0638C">
      <w:pPr>
        <w:jc w:val="both"/>
        <w:rPr>
          <w:rFonts w:ascii="Century Gothic" w:hAnsi="Century Gothic"/>
        </w:rPr>
      </w:pPr>
      <w:r w:rsidRPr="00A0638C">
        <w:rPr>
          <w:rFonts w:ascii="Century Gothic" w:hAnsi="Century Gothic"/>
        </w:rPr>
        <w:t>La lecture du QR Code ne consomme aucun droit. L’agent enregistre la remise effective avec la commande « Repas servi ». Le système conserve la date et l’heure, le service, le point de remise, la commande éventuelle et l’agent.</w:t>
      </w:r>
    </w:p>
    <w:p w14:paraId="7B9298EA" w14:textId="77777777" w:rsidR="00805045" w:rsidRPr="00A0638C" w:rsidRDefault="00820FD6" w:rsidP="00A0638C">
      <w:pPr>
        <w:pStyle w:val="Titre2"/>
        <w:jc w:val="both"/>
        <w:rPr>
          <w:rFonts w:ascii="Century Gothic" w:hAnsi="Century Gothic"/>
        </w:rPr>
      </w:pPr>
      <w:r w:rsidRPr="00A0638C">
        <w:rPr>
          <w:rFonts w:ascii="Century Gothic" w:hAnsi="Century Gothic"/>
        </w:rPr>
        <w:lastRenderedPageBreak/>
        <w:t>Prévention de la double consommation</w:t>
      </w:r>
    </w:p>
    <w:p w14:paraId="42013368" w14:textId="77777777" w:rsidR="00805045" w:rsidRPr="00A0638C" w:rsidRDefault="00820FD6" w:rsidP="00A0638C">
      <w:pPr>
        <w:jc w:val="both"/>
        <w:rPr>
          <w:rFonts w:ascii="Century Gothic" w:hAnsi="Century Gothic"/>
        </w:rPr>
      </w:pPr>
      <w:r w:rsidRPr="00A0638C">
        <w:rPr>
          <w:rFonts w:ascii="Century Gothic" w:hAnsi="Century Gothic"/>
        </w:rPr>
        <w:t>Un droit peut être disponible, réservé pour une commande ou consommé. La réservation d’une livraison empêche l’utilisation simultanée du même droit au guichet. La remise effective au client transforme la réservation en consommation.</w:t>
      </w:r>
    </w:p>
    <w:p w14:paraId="431DF3EC" w14:textId="77777777" w:rsidR="00805045" w:rsidRPr="00A0638C" w:rsidRDefault="00820FD6" w:rsidP="00A0638C">
      <w:pPr>
        <w:jc w:val="both"/>
        <w:rPr>
          <w:rFonts w:ascii="Century Gothic" w:hAnsi="Century Gothic"/>
        </w:rPr>
      </w:pPr>
      <w:r w:rsidRPr="00A0638C">
        <w:rPr>
          <w:rFonts w:ascii="Century Gothic" w:hAnsi="Century Gothic"/>
        </w:rPr>
        <w:t>La vérification du quota et son utilisation doivent être réalisées en une seule opération indivisible. Deux validations simultanées du dernier droit disponible ne peuvent pas réussir. Une nouvelle tentative d’envoi de la même opération doit retourner le résultat initial, sans créer de deuxième consommation.</w:t>
      </w:r>
    </w:p>
    <w:p w14:paraId="6F238816" w14:textId="77777777" w:rsidR="00805045" w:rsidRPr="00A0638C" w:rsidRDefault="00820FD6" w:rsidP="00A0638C">
      <w:pPr>
        <w:jc w:val="both"/>
        <w:rPr>
          <w:rFonts w:ascii="Century Gothic" w:hAnsi="Century Gothic"/>
        </w:rPr>
      </w:pPr>
      <w:r w:rsidRPr="00A0638C">
        <w:rPr>
          <w:rFonts w:ascii="Century Gothic" w:hAnsi="Century Gothic"/>
        </w:rPr>
        <w:t>Une présentation refusée affiche une cause explicite : abonnement non actif, période expirée, service non couvert, droit déjà réservé ou consommé, ou restriction de paiement. Un achat supplémentaire peut être proposé comme vente distincte.</w:t>
      </w:r>
    </w:p>
    <w:p w14:paraId="4128AEA6" w14:textId="77777777" w:rsidR="00805045" w:rsidRPr="00A0638C" w:rsidRDefault="00820FD6" w:rsidP="00A0638C">
      <w:pPr>
        <w:pStyle w:val="Titre2"/>
        <w:jc w:val="both"/>
        <w:rPr>
          <w:rFonts w:ascii="Century Gothic" w:hAnsi="Century Gothic"/>
        </w:rPr>
      </w:pPr>
      <w:r w:rsidRPr="00A0638C">
        <w:rPr>
          <w:rFonts w:ascii="Century Gothic" w:hAnsi="Century Gothic"/>
        </w:rPr>
        <w:t>Exceptions et corrections</w:t>
      </w:r>
    </w:p>
    <w:p w14:paraId="50C0FD7B" w14:textId="77777777" w:rsidR="00805045" w:rsidRPr="00A0638C" w:rsidRDefault="00820FD6" w:rsidP="00A0638C">
      <w:pPr>
        <w:jc w:val="both"/>
        <w:rPr>
          <w:rFonts w:ascii="Century Gothic" w:hAnsi="Century Gothic"/>
        </w:rPr>
      </w:pPr>
      <w:r w:rsidRPr="00A0638C">
        <w:rPr>
          <w:rFonts w:ascii="Century Gothic" w:hAnsi="Century Gothic"/>
        </w:rPr>
        <w:t>Une dérogation exige un utilisateur habilité, un motif et la distinction entre repas offert et repas vendu. Elle ne réinitialise pas silencieusement le quota initial. Une consommation enregistrée par erreur est corrigée par une opération liée à l’original ; le droit n’est restitué qu’après vérification que le repas n’a pas été remis.</w:t>
      </w:r>
    </w:p>
    <w:p w14:paraId="16C93619" w14:textId="77777777" w:rsidR="00805045" w:rsidRPr="00A0638C" w:rsidRDefault="00820FD6" w:rsidP="00A0638C">
      <w:pPr>
        <w:jc w:val="both"/>
        <w:rPr>
          <w:rFonts w:ascii="Century Gothic" w:hAnsi="Century Gothic"/>
        </w:rPr>
      </w:pPr>
      <w:r w:rsidRPr="00A0638C">
        <w:rPr>
          <w:rFonts w:ascii="Century Gothic" w:hAnsi="Century Gothic"/>
        </w:rPr>
        <w:t>Les contrôles de concurrence supposent que les points de service partagent un état commun. Les règles applicables pendant une rupture de connexion sont précisées à la section 10.</w:t>
      </w:r>
    </w:p>
    <w:p w14:paraId="402D0B77" w14:textId="77777777" w:rsidR="00805045" w:rsidRPr="00A0638C" w:rsidRDefault="00820FD6" w:rsidP="00A0638C">
      <w:pPr>
        <w:pStyle w:val="Titre1"/>
        <w:jc w:val="both"/>
        <w:rPr>
          <w:rFonts w:ascii="Century Gothic" w:hAnsi="Century Gothic"/>
        </w:rPr>
      </w:pPr>
      <w:bookmarkStart w:id="7" w:name="Section6"/>
      <w:r w:rsidRPr="00A0638C">
        <w:rPr>
          <w:rFonts w:ascii="Century Gothic" w:hAnsi="Century Gothic"/>
        </w:rPr>
        <w:t>6 Caisse et paiements</w:t>
      </w:r>
      <w:bookmarkEnd w:id="7"/>
    </w:p>
    <w:p w14:paraId="1B1D986B" w14:textId="77777777" w:rsidR="00805045" w:rsidRPr="00A0638C" w:rsidRDefault="00820FD6" w:rsidP="00A0638C">
      <w:pPr>
        <w:pStyle w:val="Titre2"/>
        <w:jc w:val="both"/>
        <w:rPr>
          <w:rFonts w:ascii="Century Gothic" w:hAnsi="Century Gothic"/>
        </w:rPr>
      </w:pPr>
      <w:r w:rsidRPr="00A0638C">
        <w:rPr>
          <w:rFonts w:ascii="Century Gothic" w:hAnsi="Century Gothic"/>
        </w:rPr>
        <w:t>Vente et encaissement</w:t>
      </w:r>
    </w:p>
    <w:p w14:paraId="596CFF96" w14:textId="77777777" w:rsidR="00805045" w:rsidRPr="00A0638C" w:rsidRDefault="00820FD6" w:rsidP="00A0638C">
      <w:pPr>
        <w:jc w:val="both"/>
        <w:rPr>
          <w:rFonts w:ascii="Century Gothic" w:hAnsi="Century Gothic"/>
        </w:rPr>
      </w:pPr>
      <w:r w:rsidRPr="00A0638C">
        <w:rPr>
          <w:rFonts w:ascii="Century Gothic" w:hAnsi="Century Gothic"/>
        </w:rPr>
        <w:t>Le point de vente, ou POS, fonctionne sur ordinateur, tablette et terminal mobile autorisé. Le panier distingue les repas, boissons, suppléments et frais de livraison. L’agent choisit la catégorie du client et le mode de service : sur place, à emporter ou en livraison.</w:t>
      </w:r>
    </w:p>
    <w:p w14:paraId="4595F89B" w14:textId="77777777" w:rsidR="00805045" w:rsidRPr="00A0638C" w:rsidRDefault="00820FD6" w:rsidP="00A0638C">
      <w:pPr>
        <w:jc w:val="both"/>
        <w:rPr>
          <w:rFonts w:ascii="Century Gothic" w:hAnsi="Century Gothic"/>
        </w:rPr>
      </w:pPr>
      <w:r w:rsidRPr="00A0638C">
        <w:rPr>
          <w:rFonts w:ascii="Century Gothic" w:hAnsi="Century Gothic"/>
        </w:rPr>
        <w:t>La commande, le paiement et la remise du repas ont des statuts séparés. Une commande déjà payée à la caisse reste payée lorsqu’elle est ouverte sur le terminal de livraison. Toute tentative de paiement ou de synchronisation conserve un identifiant permettant d’éviter les doublons.</w:t>
      </w:r>
    </w:p>
    <w:p w14:paraId="256F275B" w14:textId="77777777" w:rsidR="00805045" w:rsidRPr="00A0638C" w:rsidRDefault="00820FD6" w:rsidP="00A0638C">
      <w:pPr>
        <w:jc w:val="both"/>
        <w:rPr>
          <w:rFonts w:ascii="Century Gothic" w:hAnsi="Century Gothic"/>
        </w:rPr>
      </w:pPr>
      <w:r w:rsidRPr="00A0638C">
        <w:rPr>
          <w:rFonts w:ascii="Century Gothic" w:hAnsi="Century Gothic"/>
        </w:rPr>
        <w:t>Chaque vente confirmée reçoit un numéro unique. Le reçu indique les articles, les prix, les remises, le total, la devise de référence, les règlements, la monnaie rendue, la date, la caisse et l’agent. Il est imprimable et téléchargeable. Une réimpression conserve le numéro d’origine et porte la mention de duplicata.</w:t>
      </w:r>
    </w:p>
    <w:p w14:paraId="344587C1" w14:textId="77777777" w:rsidR="00805045" w:rsidRPr="00A0638C" w:rsidRDefault="00820FD6" w:rsidP="00A0638C">
      <w:pPr>
        <w:jc w:val="both"/>
        <w:rPr>
          <w:rFonts w:ascii="Century Gothic" w:hAnsi="Century Gothic"/>
        </w:rPr>
      </w:pPr>
      <w:r w:rsidRPr="00A0638C">
        <w:rPr>
          <w:rFonts w:ascii="Century Gothic" w:hAnsi="Century Gothic"/>
        </w:rPr>
        <w:t>Le module distingue la vente, le règlement d’un abonnement et la consommation d’un repas prépayé. La validation de ce dernier ne produit pas une nouvelle recette.</w:t>
      </w:r>
    </w:p>
    <w:p w14:paraId="6A75CBB4" w14:textId="77777777" w:rsidR="00805045" w:rsidRPr="00A0638C" w:rsidRDefault="00820FD6" w:rsidP="00A0638C">
      <w:pPr>
        <w:pStyle w:val="Titre2"/>
        <w:jc w:val="both"/>
        <w:rPr>
          <w:rFonts w:ascii="Century Gothic" w:hAnsi="Century Gothic"/>
        </w:rPr>
      </w:pPr>
      <w:r w:rsidRPr="00A0638C">
        <w:rPr>
          <w:rFonts w:ascii="Century Gothic" w:hAnsi="Century Gothic"/>
        </w:rPr>
        <w:t>Moyens de paiement</w:t>
      </w:r>
    </w:p>
    <w:p w14:paraId="4414BB5E" w14:textId="77777777" w:rsidR="00805045" w:rsidRPr="00A0638C" w:rsidRDefault="00820FD6" w:rsidP="00A0638C">
      <w:pPr>
        <w:jc w:val="both"/>
        <w:rPr>
          <w:rFonts w:ascii="Century Gothic" w:hAnsi="Century Gothic"/>
        </w:rPr>
      </w:pPr>
      <w:r w:rsidRPr="00A0638C">
        <w:rPr>
          <w:rFonts w:ascii="Century Gothic" w:hAnsi="Century Gothic"/>
        </w:rPr>
        <w:t>Le socle permet d’enregistrer les espèces en USD et en CDF, ainsi que les paiements externes autorisés : M-Pesa, Orange Money, Airtel Money, carte ou virement. Chaque paiement non liquide conserve l’opérateur, la référence, le montant, la devise et son état de confirmation. La référence est contrôlée pour éviter sa réutilisation indue.</w:t>
      </w:r>
    </w:p>
    <w:p w14:paraId="6A64CC1A" w14:textId="77777777" w:rsidR="00805045" w:rsidRPr="00A0638C" w:rsidRDefault="00820FD6" w:rsidP="00A0638C">
      <w:pPr>
        <w:jc w:val="both"/>
        <w:rPr>
          <w:rFonts w:ascii="Century Gothic" w:hAnsi="Century Gothic"/>
        </w:rPr>
      </w:pPr>
      <w:r w:rsidRPr="00A0638C">
        <w:rPr>
          <w:rFonts w:ascii="Century Gothic" w:hAnsi="Century Gothic"/>
        </w:rPr>
        <w:t xml:space="preserve">Un paiement externe en attente ne vaut pas encaissement confirmé. Au lancement, une confirmation manuelle reste possible sur vérification effective par un agent </w:t>
      </w:r>
      <w:r w:rsidRPr="00A0638C">
        <w:rPr>
          <w:rFonts w:ascii="Century Gothic" w:hAnsi="Century Gothic"/>
        </w:rPr>
        <w:lastRenderedPageBreak/>
        <w:t>habilité. L’intégration automatique aux opérateurs est une option distincte, dépendante des accès, contrats et coûts des services concernés.</w:t>
      </w:r>
    </w:p>
    <w:p w14:paraId="37F7022C" w14:textId="77777777" w:rsidR="00805045" w:rsidRPr="00A0638C" w:rsidRDefault="00820FD6" w:rsidP="00A0638C">
      <w:pPr>
        <w:jc w:val="both"/>
        <w:rPr>
          <w:rFonts w:ascii="Century Gothic" w:hAnsi="Century Gothic"/>
        </w:rPr>
      </w:pPr>
      <w:r w:rsidRPr="00A0638C">
        <w:rPr>
          <w:rFonts w:ascii="Century Gothic" w:hAnsi="Century Gothic"/>
        </w:rPr>
        <w:t>Les recharges et débits d’un portefeuille client ne seront disponibles que si cette option est retenue. Elle devra gérer séparément chaque devise, interdire les soldes négatifs non autorisés et conserver tous les mouvements. Une recharge augmente les fonds disponibles du client ; elle ne constitue pas à elle seule une vente de repas.</w:t>
      </w:r>
    </w:p>
    <w:p w14:paraId="1A1B2E13" w14:textId="77777777" w:rsidR="00805045" w:rsidRPr="00A0638C" w:rsidRDefault="00820FD6" w:rsidP="00A0638C">
      <w:pPr>
        <w:pStyle w:val="Titre2"/>
        <w:jc w:val="both"/>
        <w:rPr>
          <w:rFonts w:ascii="Century Gothic" w:hAnsi="Century Gothic"/>
        </w:rPr>
      </w:pPr>
      <w:r w:rsidRPr="00A0638C">
        <w:rPr>
          <w:rFonts w:ascii="Century Gothic" w:hAnsi="Century Gothic"/>
        </w:rPr>
        <w:t>Conversion entre USD et CDF</w:t>
      </w:r>
    </w:p>
    <w:p w14:paraId="1FC34B72" w14:textId="77777777" w:rsidR="00805045" w:rsidRPr="00A0638C" w:rsidRDefault="00820FD6" w:rsidP="00A0638C">
      <w:pPr>
        <w:jc w:val="both"/>
        <w:rPr>
          <w:rFonts w:ascii="Century Gothic" w:hAnsi="Century Gothic"/>
        </w:rPr>
      </w:pPr>
      <w:r w:rsidRPr="00A0638C">
        <w:rPr>
          <w:rFonts w:ascii="Century Gothic" w:hAnsi="Century Gothic"/>
        </w:rPr>
        <w:t>La Direction ou son délégataire fixe un taux de gestion exprimé sous la forme « 1 USD = X CDF », avec sa date de prise d’effet et sa source de référence. Le caissier utilise le taux approuvé ; il ne le modifie pas librement. Le taux n’est pas présenté comme officiel sans référence correspondante.</w:t>
      </w:r>
    </w:p>
    <w:p w14:paraId="22322544" w14:textId="77777777" w:rsidR="00805045" w:rsidRPr="00A0638C" w:rsidRDefault="00820FD6" w:rsidP="00A0638C">
      <w:pPr>
        <w:jc w:val="both"/>
        <w:rPr>
          <w:rFonts w:ascii="Century Gothic" w:hAnsi="Century Gothic"/>
        </w:rPr>
      </w:pPr>
      <w:r w:rsidRPr="00A0638C">
        <w:rPr>
          <w:rFonts w:ascii="Century Gothic" w:hAnsi="Century Gothic"/>
        </w:rPr>
        <w:t>Chaque transaction conserve le prix dans sa devise de référence, le taux appliqué et les montants réellement reçus ou rendus dans chaque devise. Les paiements mixtes sont ventilés. Les arrondis et les dénominations acceptées sont paramétrés et visibles avant validation ; toute différence d’arrondi est isolée.</w:t>
      </w:r>
    </w:p>
    <w:p w14:paraId="78CC54CD" w14:textId="77777777" w:rsidR="00805045" w:rsidRPr="00A0638C" w:rsidRDefault="00820FD6" w:rsidP="00A0638C">
      <w:pPr>
        <w:jc w:val="both"/>
        <w:rPr>
          <w:rFonts w:ascii="Century Gothic" w:hAnsi="Century Gothic"/>
        </w:rPr>
      </w:pPr>
      <w:r w:rsidRPr="00A0638C">
        <w:rPr>
          <w:rFonts w:ascii="Century Gothic" w:hAnsi="Century Gothic"/>
        </w:rPr>
        <w:t>Un nouveau taux ne recalcule pas les opérations anciennes. Le solde d’un abonnement libellé en USD reste suivi en USD ; un versement en CDF réduit ce solde selon le taux appliqué au règlement concerné. Aucun taux actuel ne doit être appliqué rétroactivement aux encaissements passés.</w:t>
      </w:r>
    </w:p>
    <w:p w14:paraId="51DE3807" w14:textId="77777777" w:rsidR="00805045" w:rsidRPr="00A0638C" w:rsidRDefault="00820FD6" w:rsidP="00A0638C">
      <w:pPr>
        <w:pStyle w:val="Titre2"/>
        <w:jc w:val="both"/>
        <w:rPr>
          <w:rFonts w:ascii="Century Gothic" w:hAnsi="Century Gothic"/>
        </w:rPr>
      </w:pPr>
      <w:r w:rsidRPr="00A0638C">
        <w:rPr>
          <w:rFonts w:ascii="Century Gothic" w:hAnsi="Century Gothic"/>
        </w:rPr>
        <w:t>Ouverture et clôture de caisse</w:t>
      </w:r>
    </w:p>
    <w:p w14:paraId="5518529D" w14:textId="77777777" w:rsidR="00805045" w:rsidRPr="00A0638C" w:rsidRDefault="00820FD6" w:rsidP="00A0638C">
      <w:pPr>
        <w:jc w:val="both"/>
        <w:rPr>
          <w:rFonts w:ascii="Century Gothic" w:hAnsi="Century Gothic"/>
        </w:rPr>
      </w:pPr>
      <w:r w:rsidRPr="00A0638C">
        <w:rPr>
          <w:rFonts w:ascii="Century Gothic" w:hAnsi="Century Gothic"/>
        </w:rPr>
        <w:t>Chaque session identifie le point de vente, le caissier, l’heure d’ouverture et le fonds initial par devise. Les espèces sont suivies séparément des comptes Mobile Money, bancaires et autres moyens de paiement. Les transferts entre caisses constituent des mouvements internes, pas des ventes.</w:t>
      </w:r>
    </w:p>
    <w:p w14:paraId="2126245C" w14:textId="77777777" w:rsidR="00805045" w:rsidRPr="00A0638C" w:rsidRDefault="00820FD6" w:rsidP="00A0638C">
      <w:pPr>
        <w:jc w:val="both"/>
        <w:rPr>
          <w:rFonts w:ascii="Century Gothic" w:hAnsi="Century Gothic"/>
        </w:rPr>
      </w:pPr>
      <w:r w:rsidRPr="00A0638C">
        <w:rPr>
          <w:rFonts w:ascii="Century Gothic" w:hAnsi="Century Gothic"/>
        </w:rPr>
        <w:t>Le rapport de clôture présente les ventes, remises, annulations et remboursements, puis les encaissements par nature, devise et moyen. Il inclut les sorties autorisées, les dépôts, les transferts et le comptage physique. Les annulations de commande et les remboursements de paiements sont rapprochés sans être confondus.</w:t>
      </w:r>
    </w:p>
    <w:p w14:paraId="4F4D904C" w14:textId="77777777" w:rsidR="00805045" w:rsidRPr="00A0638C" w:rsidRDefault="00820FD6" w:rsidP="00A0638C">
      <w:pPr>
        <w:jc w:val="both"/>
        <w:rPr>
          <w:rFonts w:ascii="Century Gothic" w:hAnsi="Century Gothic"/>
        </w:rPr>
      </w:pPr>
      <w:r w:rsidRPr="00A0638C">
        <w:rPr>
          <w:rFonts w:ascii="Century Gothic" w:hAnsi="Century Gothic"/>
        </w:rPr>
        <w:t>Pour chaque devise, les espèces théoriques correspondent au fonds initial, augmenté des entrées en espèces et diminué des rendus de monnaie, remboursements et autres sorties en espèces. L’écart correspond au montant physiquement compté moins le montant théorique. Les flux numériques font l’objet d’un rapprochement distinct.</w:t>
      </w:r>
    </w:p>
    <w:p w14:paraId="6DA59A42" w14:textId="77777777" w:rsidR="00805045" w:rsidRPr="00A0638C" w:rsidRDefault="00820FD6" w:rsidP="00A0638C">
      <w:pPr>
        <w:jc w:val="both"/>
        <w:rPr>
          <w:rFonts w:ascii="Century Gothic" w:hAnsi="Century Gothic"/>
        </w:rPr>
      </w:pPr>
      <w:r w:rsidRPr="00A0638C">
        <w:rPr>
          <w:rFonts w:ascii="Century Gothic" w:hAnsi="Century Gothic"/>
        </w:rPr>
        <w:t>Le caissier effectue un comptage à l’aveugle avant affichage du théorique. La Responsable examine les écarts et valide la clôture. Les responsabilités de saisie et de validation restent identifiables, y compris en cas de cumul de fonctions autorisé.</w:t>
      </w:r>
    </w:p>
    <w:p w14:paraId="051BD057" w14:textId="77777777" w:rsidR="00805045" w:rsidRPr="00A0638C" w:rsidRDefault="00820FD6" w:rsidP="00A0638C">
      <w:pPr>
        <w:jc w:val="both"/>
        <w:rPr>
          <w:rFonts w:ascii="Century Gothic" w:hAnsi="Century Gothic"/>
        </w:rPr>
      </w:pPr>
      <w:r w:rsidRPr="00A0638C">
        <w:rPr>
          <w:rFonts w:ascii="Century Gothic" w:hAnsi="Century Gothic"/>
        </w:rPr>
        <w:t>Après clôture, une correction prend la forme d’une régularisation datée, motivée et reliée à l’opération d’origine. Elle ne réécrit pas les montants historiques. Toute clôture comportant des opérations non synchronisées reste provisoire jusqu’au rapprochement.</w:t>
      </w:r>
    </w:p>
    <w:p w14:paraId="17143E8C" w14:textId="77777777" w:rsidR="00805045" w:rsidRPr="00A0638C" w:rsidRDefault="00820FD6" w:rsidP="00A0638C">
      <w:pPr>
        <w:pStyle w:val="Titre1"/>
        <w:jc w:val="both"/>
        <w:rPr>
          <w:rFonts w:ascii="Century Gothic" w:hAnsi="Century Gothic"/>
        </w:rPr>
      </w:pPr>
      <w:bookmarkStart w:id="8" w:name="Section7"/>
      <w:r w:rsidRPr="00A0638C">
        <w:rPr>
          <w:rFonts w:ascii="Century Gothic" w:hAnsi="Century Gothic"/>
        </w:rPr>
        <w:lastRenderedPageBreak/>
        <w:t>7 Commandes et préparation des repas</w:t>
      </w:r>
      <w:bookmarkEnd w:id="8"/>
    </w:p>
    <w:p w14:paraId="7EB04963" w14:textId="77777777" w:rsidR="00805045" w:rsidRPr="00A0638C" w:rsidRDefault="00820FD6" w:rsidP="00A0638C">
      <w:pPr>
        <w:pStyle w:val="Titre2"/>
        <w:jc w:val="both"/>
        <w:rPr>
          <w:rFonts w:ascii="Century Gothic" w:hAnsi="Century Gothic"/>
        </w:rPr>
      </w:pPr>
      <w:r w:rsidRPr="00A0638C">
        <w:rPr>
          <w:rFonts w:ascii="Century Gothic" w:hAnsi="Century Gothic"/>
        </w:rPr>
        <w:t>Menus et suivi des commandes</w:t>
      </w:r>
    </w:p>
    <w:p w14:paraId="4BFC5493" w14:textId="77777777" w:rsidR="00805045" w:rsidRPr="00A0638C" w:rsidRDefault="00820FD6" w:rsidP="00A0638C">
      <w:pPr>
        <w:jc w:val="both"/>
        <w:rPr>
          <w:rFonts w:ascii="Century Gothic" w:hAnsi="Century Gothic"/>
        </w:rPr>
      </w:pPr>
      <w:r w:rsidRPr="00A0638C">
        <w:rPr>
          <w:rFonts w:ascii="Century Gothic" w:hAnsi="Century Gothic"/>
        </w:rPr>
        <w:t>Les menus sont définis par date et par service, avec la composition, le prix applicable, la quantité disponible et les éventuelles variantes. Un article épuisé peut être retiré de la vente. Le système conserve l’historique du menu utilisé pour chaque commande.</w:t>
      </w:r>
    </w:p>
    <w:p w14:paraId="2A455DC0" w14:textId="77777777" w:rsidR="00805045" w:rsidRPr="00A0638C" w:rsidRDefault="00820FD6" w:rsidP="00A0638C">
      <w:pPr>
        <w:jc w:val="both"/>
        <w:rPr>
          <w:rFonts w:ascii="Century Gothic" w:hAnsi="Century Gothic"/>
        </w:rPr>
      </w:pPr>
      <w:r w:rsidRPr="00A0638C">
        <w:rPr>
          <w:rFonts w:ascii="Century Gothic" w:hAnsi="Century Gothic"/>
        </w:rPr>
        <w:t>Une commande suit les états reçue, confirmée, en préparation, prête, puis servie ou en livraison et livrée. L’annulation reste possible selon l’avancement et les habilitations. Le motif est obligatoire ; ses effets sur le paiement, les droits aux repas et les stocks sont traités séparément.</w:t>
      </w:r>
    </w:p>
    <w:p w14:paraId="422A5A21" w14:textId="77777777" w:rsidR="00805045" w:rsidRPr="00A0638C" w:rsidRDefault="00820FD6" w:rsidP="00A0638C">
      <w:pPr>
        <w:jc w:val="both"/>
        <w:rPr>
          <w:rFonts w:ascii="Century Gothic" w:hAnsi="Century Gothic"/>
        </w:rPr>
      </w:pPr>
      <w:r w:rsidRPr="00A0638C">
        <w:rPr>
          <w:rFonts w:ascii="Century Gothic" w:hAnsi="Century Gothic"/>
        </w:rPr>
        <w:t>Le socle comprend une liste de commandes et une interface mobile de livraison. Le module cuisine de la phase 2 ajoute un écran de préparation, les quantités par lot et les prévisions. Il transmet uniquement les informations utiles à la production.</w:t>
      </w:r>
    </w:p>
    <w:p w14:paraId="6DD0737C" w14:textId="77777777" w:rsidR="00805045" w:rsidRPr="00A0638C" w:rsidRDefault="00820FD6" w:rsidP="00A0638C">
      <w:pPr>
        <w:pStyle w:val="Titre2"/>
        <w:jc w:val="both"/>
        <w:rPr>
          <w:rFonts w:ascii="Century Gothic" w:hAnsi="Century Gothic"/>
        </w:rPr>
      </w:pPr>
      <w:r w:rsidRPr="00A0638C">
        <w:rPr>
          <w:rFonts w:ascii="Century Gothic" w:hAnsi="Century Gothic"/>
        </w:rPr>
        <w:t>Prévision et production</w:t>
      </w:r>
    </w:p>
    <w:p w14:paraId="70EB5188" w14:textId="77777777" w:rsidR="00805045" w:rsidRPr="00A0638C" w:rsidRDefault="00820FD6" w:rsidP="00A0638C">
      <w:pPr>
        <w:jc w:val="both"/>
        <w:rPr>
          <w:rFonts w:ascii="Century Gothic" w:hAnsi="Century Gothic"/>
        </w:rPr>
      </w:pPr>
      <w:r w:rsidRPr="00A0638C">
        <w:rPr>
          <w:rFonts w:ascii="Century Gothic" w:hAnsi="Century Gothic"/>
        </w:rPr>
        <w:t>La prévision distingue les droits théoriques ouverts, les réservations confirmées, les commandes directes et une estimation de fréquentation. Elle évite d’additionner une réservation d’abonné et le droit correspondant comme deux repas différents. La Responsable peut ajuster la quantité à préparer ; l’ajustement est conservé.</w:t>
      </w:r>
    </w:p>
    <w:p w14:paraId="0EA3C76B" w14:textId="77777777" w:rsidR="00805045" w:rsidRPr="00A0638C" w:rsidRDefault="00820FD6" w:rsidP="00A0638C">
      <w:pPr>
        <w:jc w:val="both"/>
        <w:rPr>
          <w:rFonts w:ascii="Century Gothic" w:hAnsi="Century Gothic"/>
        </w:rPr>
      </w:pPr>
      <w:r w:rsidRPr="00A0638C">
        <w:rPr>
          <w:rFonts w:ascii="Century Gothic" w:hAnsi="Century Gothic"/>
        </w:rPr>
        <w:t>Le système suit, par service, les quantités prévues, préparées, servies, perdues et restantes. La prévision initiale doit rester explicable ; un historique insuffisant ne doit pas conduire à présenter une estimation comme une demande certaine.</w:t>
      </w:r>
    </w:p>
    <w:p w14:paraId="3C2614D6" w14:textId="77777777" w:rsidR="00805045" w:rsidRPr="00A0638C" w:rsidRDefault="00820FD6" w:rsidP="00A0638C">
      <w:pPr>
        <w:jc w:val="both"/>
        <w:rPr>
          <w:rFonts w:ascii="Century Gothic" w:hAnsi="Century Gothic"/>
        </w:rPr>
      </w:pPr>
      <w:r w:rsidRPr="00A0638C">
        <w:rPr>
          <w:rFonts w:ascii="Century Gothic" w:hAnsi="Century Gothic"/>
        </w:rPr>
        <w:t>Chaque fiche recette indique les ingrédients, les unités, les quantités, le rendement et la taille du lot ou de la portion. Les recettes sont versionnées. Les quantités techniques doivent être validées par la cuisine avant toute déduction automatique des matières.</w:t>
      </w:r>
    </w:p>
    <w:p w14:paraId="1BFA1BBA" w14:textId="77777777" w:rsidR="00805045" w:rsidRPr="00A0638C" w:rsidRDefault="00820FD6" w:rsidP="00A0638C">
      <w:pPr>
        <w:pStyle w:val="Titre2"/>
        <w:jc w:val="both"/>
        <w:rPr>
          <w:rFonts w:ascii="Century Gothic" w:hAnsi="Century Gothic"/>
        </w:rPr>
      </w:pPr>
      <w:r w:rsidRPr="00A0638C">
        <w:rPr>
          <w:rFonts w:ascii="Century Gothic" w:hAnsi="Century Gothic"/>
        </w:rPr>
        <w:t>Livraison sur le campus</w:t>
      </w:r>
    </w:p>
    <w:p w14:paraId="65067B12" w14:textId="77777777" w:rsidR="00805045" w:rsidRPr="00A0638C" w:rsidRDefault="00820FD6" w:rsidP="00A0638C">
      <w:pPr>
        <w:jc w:val="both"/>
        <w:rPr>
          <w:rFonts w:ascii="Century Gothic" w:hAnsi="Century Gothic"/>
        </w:rPr>
      </w:pPr>
      <w:r w:rsidRPr="00A0638C">
        <w:rPr>
          <w:rFonts w:ascii="Century Gothic" w:hAnsi="Century Gothic"/>
        </w:rPr>
        <w:t>La commande de livraison précise le destinataire, le téléphone utile au contact, le point de remise, l’heure souhaitée, le livreur, les frais éventuels et l’inclusion ou non de la livraison dans la formule. Les zones desservies et les heures limites sont administrables.</w:t>
      </w:r>
    </w:p>
    <w:p w14:paraId="44AC4CD6" w14:textId="77777777" w:rsidR="00805045" w:rsidRPr="00A0638C" w:rsidRDefault="00820FD6" w:rsidP="00A0638C">
      <w:pPr>
        <w:jc w:val="both"/>
        <w:rPr>
          <w:rFonts w:ascii="Century Gothic" w:hAnsi="Century Gothic"/>
        </w:rPr>
      </w:pPr>
      <w:r w:rsidRPr="00A0638C">
        <w:rPr>
          <w:rFonts w:ascii="Century Gothic" w:hAnsi="Century Gothic"/>
        </w:rPr>
        <w:t>La confirmation d’une commande sur abonnement réserve le droit concerné. Le livreur confirme ensuite la remise ; le système consomme ce droit une seule fois. Une annulation libère la réservation selon les règles validées, avec un traitement spécifique si le repas a déjà été préparé ou remis.</w:t>
      </w:r>
    </w:p>
    <w:p w14:paraId="210C8BC8" w14:textId="77777777" w:rsidR="00805045" w:rsidRPr="00A0638C" w:rsidRDefault="00820FD6" w:rsidP="00A0638C">
      <w:pPr>
        <w:jc w:val="both"/>
        <w:rPr>
          <w:rFonts w:ascii="Century Gothic" w:hAnsi="Century Gothic"/>
        </w:rPr>
      </w:pPr>
      <w:r w:rsidRPr="00A0638C">
        <w:rPr>
          <w:rFonts w:ascii="Century Gothic" w:hAnsi="Century Gothic"/>
        </w:rPr>
        <w:t>Le livreur peut consulter ses commandes et confirmer leur état depuis son téléphone. Il ne voit pas les soldes ni l’historique financier complet des clients. Un encaissement à la livraison n’est possible qu’avec une habilitation, un reçu et une affectation à une caisse ou une session mobile.</w:t>
      </w:r>
    </w:p>
    <w:p w14:paraId="795B298E" w14:textId="77777777" w:rsidR="00805045" w:rsidRPr="00A0638C" w:rsidRDefault="00820FD6" w:rsidP="00A0638C">
      <w:pPr>
        <w:jc w:val="both"/>
        <w:rPr>
          <w:rFonts w:ascii="Century Gothic" w:hAnsi="Century Gothic"/>
        </w:rPr>
      </w:pPr>
      <w:r w:rsidRPr="00A0638C">
        <w:rPr>
          <w:rFonts w:ascii="Century Gothic" w:hAnsi="Century Gothic"/>
        </w:rPr>
        <w:t>La preuve de remise comprend au minimum le livreur, l’heure et le résultat. Un code à usage unique propre à la commande peut être proposé en complément ; le scan du QR Code du livreur, à lui seul, ne prouve pas la réception par le client. Une livraison échouée ou refusée conserve son motif et la suite donnée au repas et au paiement.</w:t>
      </w:r>
    </w:p>
    <w:p w14:paraId="39562BBD" w14:textId="77777777" w:rsidR="00805045" w:rsidRPr="00A0638C" w:rsidRDefault="00820FD6" w:rsidP="00A0638C">
      <w:pPr>
        <w:pStyle w:val="Titre1"/>
        <w:jc w:val="both"/>
        <w:rPr>
          <w:rFonts w:ascii="Century Gothic" w:hAnsi="Century Gothic"/>
        </w:rPr>
      </w:pPr>
      <w:bookmarkStart w:id="9" w:name="Section8"/>
      <w:r w:rsidRPr="00A0638C">
        <w:rPr>
          <w:rFonts w:ascii="Century Gothic" w:hAnsi="Century Gothic"/>
        </w:rPr>
        <w:lastRenderedPageBreak/>
        <w:t>8 Stocks achats et dépenses</w:t>
      </w:r>
      <w:bookmarkEnd w:id="9"/>
    </w:p>
    <w:p w14:paraId="39D8D4F1" w14:textId="77777777" w:rsidR="00805045" w:rsidRPr="00A0638C" w:rsidRDefault="00820FD6" w:rsidP="00A0638C">
      <w:pPr>
        <w:pStyle w:val="Titre2"/>
        <w:jc w:val="both"/>
        <w:rPr>
          <w:rFonts w:ascii="Century Gothic" w:hAnsi="Century Gothic"/>
        </w:rPr>
      </w:pPr>
      <w:r w:rsidRPr="00A0638C">
        <w:rPr>
          <w:rFonts w:ascii="Century Gothic" w:hAnsi="Century Gothic"/>
        </w:rPr>
        <w:t>Articles et mouvements de stock</w:t>
      </w:r>
    </w:p>
    <w:p w14:paraId="4E6DEEE0" w14:textId="77777777" w:rsidR="00805045" w:rsidRPr="00A0638C" w:rsidRDefault="00820FD6" w:rsidP="00A0638C">
      <w:pPr>
        <w:jc w:val="both"/>
        <w:rPr>
          <w:rFonts w:ascii="Century Gothic" w:hAnsi="Century Gothic"/>
        </w:rPr>
      </w:pPr>
      <w:r w:rsidRPr="00A0638C">
        <w:rPr>
          <w:rFonts w:ascii="Century Gothic" w:hAnsi="Century Gothic"/>
        </w:rPr>
        <w:t>Chaque article de stock possède une unité de base, par exemple kilogramme, litre ou pièce. Les unités d’achat, telles que sac ou carton, comportent un coefficient de conversion explicite. Le système ne doit pas additionner des quantités exprimées dans des unités incompatibles.</w:t>
      </w:r>
    </w:p>
    <w:p w14:paraId="6A71F298" w14:textId="77777777" w:rsidR="00805045" w:rsidRPr="00A0638C" w:rsidRDefault="00820FD6" w:rsidP="00A0638C">
      <w:pPr>
        <w:jc w:val="both"/>
        <w:rPr>
          <w:rFonts w:ascii="Century Gothic" w:hAnsi="Century Gothic"/>
        </w:rPr>
      </w:pPr>
      <w:r w:rsidRPr="00A0638C">
        <w:rPr>
          <w:rFonts w:ascii="Century Gothic" w:hAnsi="Century Gothic"/>
        </w:rPr>
        <w:t>Le stock disponible découle du stock initial, des réceptions et retours validés, diminués des consommations, ventes de produits stockés, pertes et autres sorties. Chaque mouvement conserve l’article, la quantité, la date, le motif, l’auteur et l’opération d’origine. Les lots et dates de péremption sont suivis pour les denrées concernées.</w:t>
      </w:r>
    </w:p>
    <w:p w14:paraId="3074AEA6" w14:textId="77777777" w:rsidR="00805045" w:rsidRPr="00A0638C" w:rsidRDefault="00820FD6" w:rsidP="00A0638C">
      <w:pPr>
        <w:jc w:val="both"/>
        <w:rPr>
          <w:rFonts w:ascii="Century Gothic" w:hAnsi="Century Gothic"/>
        </w:rPr>
      </w:pPr>
      <w:r w:rsidRPr="00A0638C">
        <w:rPr>
          <w:rFonts w:ascii="Century Gothic" w:hAnsi="Century Gothic"/>
        </w:rPr>
        <w:t>Les seuils d’alerte sont configurables. Les inventaires comparent le comptage physique au stock théorique. Un écart ne constitue pas automatiquement un vol ; sa cause doit être recherchée et sa régularisation justifiée. Les stocks négatifs sont bloqués, sauf procédure exceptionnelle autorisée.</w:t>
      </w:r>
    </w:p>
    <w:p w14:paraId="075CF2B2" w14:textId="77777777" w:rsidR="00805045" w:rsidRPr="00A0638C" w:rsidRDefault="00820FD6" w:rsidP="00A0638C">
      <w:pPr>
        <w:pStyle w:val="Titre2"/>
        <w:jc w:val="both"/>
        <w:rPr>
          <w:rFonts w:ascii="Century Gothic" w:hAnsi="Century Gothic"/>
        </w:rPr>
      </w:pPr>
      <w:r w:rsidRPr="00A0638C">
        <w:rPr>
          <w:rFonts w:ascii="Century Gothic" w:hAnsi="Century Gothic"/>
        </w:rPr>
        <w:t>Déduction des ingrédients</w:t>
      </w:r>
    </w:p>
    <w:p w14:paraId="13D748B8" w14:textId="77777777" w:rsidR="00805045" w:rsidRPr="00A0638C" w:rsidRDefault="00820FD6" w:rsidP="00A0638C">
      <w:pPr>
        <w:jc w:val="both"/>
        <w:rPr>
          <w:rFonts w:ascii="Century Gothic" w:hAnsi="Century Gothic"/>
        </w:rPr>
      </w:pPr>
      <w:commentRangeStart w:id="10"/>
      <w:r w:rsidRPr="00A0638C">
        <w:rPr>
          <w:rFonts w:ascii="Century Gothic" w:hAnsi="Century Gothic"/>
        </w:rPr>
        <w:t>Les ingrédients sont déduits à la validation de la production, selon la recette et les quantités produites. Ils ne sont pas déduits une seconde fois lorsque le repas est servi. Les quantités préparées, servies et perdues sont rapprochées pour mesurer les écarts de production.</w:t>
      </w:r>
      <w:commentRangeEnd w:id="10"/>
      <w:r w:rsidRPr="00A0638C">
        <w:rPr>
          <w:rFonts w:ascii="Century Gothic" w:hAnsi="Century Gothic"/>
        </w:rPr>
        <w:commentReference w:id="10"/>
      </w:r>
    </w:p>
    <w:p w14:paraId="450D7B35" w14:textId="77777777" w:rsidR="00805045" w:rsidRPr="00A0638C" w:rsidRDefault="00820FD6" w:rsidP="00A0638C">
      <w:pPr>
        <w:jc w:val="both"/>
        <w:rPr>
          <w:rFonts w:ascii="Century Gothic" w:hAnsi="Century Gothic"/>
        </w:rPr>
      </w:pPr>
      <w:r w:rsidRPr="00A0638C">
        <w:rPr>
          <w:rFonts w:ascii="Century Gothic" w:hAnsi="Century Gothic"/>
        </w:rPr>
        <w:t>Un produit revendu en l’état, tel qu’une bouteille d’eau, est déduit lors de la validation de sa vente. Chaque article possède un mode unique de déstockage. Une annulation financière ne réintègre du stock que si le retour physique ou l’annulation effective de production est confirmé.</w:t>
      </w:r>
    </w:p>
    <w:p w14:paraId="313C7B38" w14:textId="77777777" w:rsidR="00805045" w:rsidRPr="00A0638C" w:rsidRDefault="00820FD6" w:rsidP="00A0638C">
      <w:pPr>
        <w:pStyle w:val="Titre2"/>
        <w:jc w:val="both"/>
        <w:rPr>
          <w:rFonts w:ascii="Century Gothic" w:hAnsi="Century Gothic"/>
        </w:rPr>
      </w:pPr>
      <w:r w:rsidRPr="00A0638C">
        <w:rPr>
          <w:rFonts w:ascii="Century Gothic" w:hAnsi="Century Gothic"/>
        </w:rPr>
        <w:t>Achats et fournisseurs</w:t>
      </w:r>
    </w:p>
    <w:p w14:paraId="784FDA73" w14:textId="77777777" w:rsidR="00805045" w:rsidRPr="00A0638C" w:rsidRDefault="00820FD6" w:rsidP="00A0638C">
      <w:pPr>
        <w:jc w:val="both"/>
        <w:rPr>
          <w:rFonts w:ascii="Century Gothic" w:hAnsi="Century Gothic"/>
        </w:rPr>
      </w:pPr>
      <w:r w:rsidRPr="00A0638C">
        <w:rPr>
          <w:rFonts w:ascii="Century Gothic" w:hAnsi="Century Gothic"/>
        </w:rPr>
        <w:t>Le fichier fournisseurs conserve les coordonnées et l’historique des opérations. Les achats distinguent la commande éventuelle, la réception physique, la facture et le paiement. Une réception validée augmente le stock une seule fois ; une facture ou son règlement ne crée pas une deuxième entrée.</w:t>
      </w:r>
    </w:p>
    <w:p w14:paraId="2A7C5614" w14:textId="77777777" w:rsidR="00805045" w:rsidRPr="00A0638C" w:rsidRDefault="00820FD6" w:rsidP="00A0638C">
      <w:pPr>
        <w:jc w:val="both"/>
        <w:rPr>
          <w:rFonts w:ascii="Century Gothic" w:hAnsi="Century Gothic"/>
        </w:rPr>
      </w:pPr>
      <w:r w:rsidRPr="00A0638C">
        <w:rPr>
          <w:rFonts w:ascii="Century Gothic" w:hAnsi="Century Gothic"/>
        </w:rPr>
        <w:t>Les réceptions partielles, montants dus et règlements fournisseurs sont suivis. Les pièces justificatives sont rattachées aux opérations correspondantes. Les prix d’achat conservent leur devise et, le cas échéant, leur taux de conversion.</w:t>
      </w:r>
    </w:p>
    <w:p w14:paraId="7EFF111B" w14:textId="77777777" w:rsidR="00805045" w:rsidRPr="00A0638C" w:rsidRDefault="00820FD6" w:rsidP="00A0638C">
      <w:pPr>
        <w:pStyle w:val="Titre2"/>
        <w:jc w:val="both"/>
        <w:rPr>
          <w:rFonts w:ascii="Century Gothic" w:hAnsi="Century Gothic"/>
        </w:rPr>
      </w:pPr>
      <w:r w:rsidRPr="00A0638C">
        <w:rPr>
          <w:rFonts w:ascii="Century Gothic" w:hAnsi="Century Gothic"/>
        </w:rPr>
        <w:t>Dépenses et sorties de caisse</w:t>
      </w:r>
    </w:p>
    <w:p w14:paraId="1A4042D4" w14:textId="77777777" w:rsidR="00805045" w:rsidRPr="00A0638C" w:rsidRDefault="00820FD6" w:rsidP="00A0638C">
      <w:pPr>
        <w:jc w:val="both"/>
        <w:rPr>
          <w:rFonts w:ascii="Century Gothic" w:hAnsi="Century Gothic"/>
        </w:rPr>
      </w:pPr>
      <w:r w:rsidRPr="00A0638C">
        <w:rPr>
          <w:rFonts w:ascii="Century Gothic" w:hAnsi="Century Gothic"/>
        </w:rPr>
        <w:t>Chaque dépense précise la date, le bénéficiaire, la catégorie, le motif, le montant, la devise, le mode de règlement et le justificatif. Les catégories comprennent les denrées, le gaz, le transport, le personnel, l’entretien, les emballages, l’eau et l’électricité.</w:t>
      </w:r>
    </w:p>
    <w:p w14:paraId="2E5088F9" w14:textId="77777777" w:rsidR="00805045" w:rsidRPr="00A0638C" w:rsidRDefault="00820FD6" w:rsidP="00A0638C">
      <w:pPr>
        <w:jc w:val="both"/>
        <w:rPr>
          <w:rFonts w:ascii="Century Gothic" w:hAnsi="Century Gothic"/>
        </w:rPr>
      </w:pPr>
      <w:r w:rsidRPr="00A0638C">
        <w:rPr>
          <w:rFonts w:ascii="Century Gothic" w:hAnsi="Century Gothic"/>
        </w:rPr>
        <w:t>Une dépense payée sur la recette crée une sortie de caisse identifiable, avec l’autorisation requise. Un règlement fournisseur renvoie à l’achat concerné afin de ne pas enregistrer deux fois la même charge. Un justificatif manquant doit rester signalé et faire l’objet d’une régularisation suivie.</w:t>
      </w:r>
    </w:p>
    <w:p w14:paraId="62A376A5" w14:textId="77777777" w:rsidR="00805045" w:rsidRPr="00A0638C" w:rsidRDefault="00820FD6" w:rsidP="00A0638C">
      <w:pPr>
        <w:jc w:val="both"/>
        <w:rPr>
          <w:rFonts w:ascii="Century Gothic" w:hAnsi="Century Gothic"/>
        </w:rPr>
      </w:pPr>
      <w:r w:rsidRPr="00A0638C">
        <w:rPr>
          <w:rFonts w:ascii="Century Gothic" w:hAnsi="Century Gothic"/>
        </w:rPr>
        <w:t>Le socle inclut l’enregistrement des sorties de caisse indispensables à une clôture fiable. Le suivi détaillé des achats, stocks et dettes fournisseurs est livré en phase 2.</w:t>
      </w:r>
    </w:p>
    <w:p w14:paraId="340B8F01" w14:textId="77777777" w:rsidR="00805045" w:rsidRPr="00A0638C" w:rsidRDefault="00820FD6" w:rsidP="00A0638C">
      <w:pPr>
        <w:pStyle w:val="Titre1"/>
        <w:jc w:val="both"/>
        <w:rPr>
          <w:rFonts w:ascii="Century Gothic" w:hAnsi="Century Gothic"/>
        </w:rPr>
      </w:pPr>
      <w:bookmarkStart w:id="11" w:name="Section9"/>
      <w:r w:rsidRPr="00A0638C">
        <w:rPr>
          <w:rFonts w:ascii="Century Gothic" w:hAnsi="Century Gothic"/>
        </w:rPr>
        <w:lastRenderedPageBreak/>
        <w:t>9 Tableaux de bord et rapports</w:t>
      </w:r>
      <w:bookmarkEnd w:id="11"/>
    </w:p>
    <w:p w14:paraId="3A79E4E4" w14:textId="77777777" w:rsidR="00805045" w:rsidRPr="00A0638C" w:rsidRDefault="00820FD6" w:rsidP="00A0638C">
      <w:pPr>
        <w:jc w:val="both"/>
        <w:rPr>
          <w:rFonts w:ascii="Century Gothic" w:hAnsi="Century Gothic"/>
        </w:rPr>
      </w:pPr>
      <w:r w:rsidRPr="00A0638C">
        <w:rPr>
          <w:rFonts w:ascii="Century Gothic" w:hAnsi="Century Gothic"/>
        </w:rPr>
        <w:t>Les rapports sont filtrables par période, service, catégorie de client, point de vente et agent selon les droits d’accès. Ils donnent accès aux opérations qui expliquent les totaux. Les montants sont présentés par devise ; toute consolidation indique sa méthode de conversion.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110" w:type="dxa"/>
          <w:bottom w:w="95" w:type="dxa"/>
          <w:right w:w="110" w:type="dxa"/>
        </w:tblCellMar>
        <w:tblLook w:val="04A0" w:firstRow="1" w:lastRow="0" w:firstColumn="1" w:lastColumn="0" w:noHBand="0" w:noVBand="1"/>
      </w:tblPr>
      <w:tblGrid>
        <w:gridCol w:w="1757"/>
        <w:gridCol w:w="6690"/>
        <w:gridCol w:w="850"/>
      </w:tblGrid>
      <w:tr w:rsidR="00805045" w:rsidRPr="00A0638C" w14:paraId="5D42D87D" w14:textId="77777777">
        <w:trPr>
          <w:cantSplit/>
          <w:tblHeader/>
          <w:jc w:val="center"/>
        </w:trPr>
        <w:tc>
          <w:tcPr>
            <w:tcW w:w="1757" w:type="dxa"/>
            <w:shd w:val="clear" w:color="auto" w:fill="E5EAF0"/>
            <w:vAlign w:val="center"/>
          </w:tcPr>
          <w:p w14:paraId="714EDC43" w14:textId="77777777" w:rsidR="00805045" w:rsidRPr="00A0638C" w:rsidRDefault="00820FD6" w:rsidP="00A0638C">
            <w:pPr>
              <w:keepNext/>
              <w:spacing w:before="40" w:after="40" w:line="245" w:lineRule="auto"/>
              <w:jc w:val="both"/>
              <w:rPr>
                <w:rFonts w:ascii="Century Gothic" w:hAnsi="Century Gothic"/>
              </w:rPr>
            </w:pPr>
            <w:r w:rsidRPr="00A0638C">
              <w:rPr>
                <w:rFonts w:ascii="Century Gothic" w:hAnsi="Century Gothic"/>
                <w:b/>
                <w:sz w:val="20"/>
              </w:rPr>
              <w:t>Domaine</w:t>
            </w:r>
          </w:p>
        </w:tc>
        <w:tc>
          <w:tcPr>
            <w:tcW w:w="6690" w:type="dxa"/>
            <w:shd w:val="clear" w:color="auto" w:fill="E5EAF0"/>
            <w:vAlign w:val="center"/>
          </w:tcPr>
          <w:p w14:paraId="7964E395" w14:textId="77777777" w:rsidR="00805045" w:rsidRPr="00A0638C" w:rsidRDefault="00820FD6" w:rsidP="00A0638C">
            <w:pPr>
              <w:keepNext/>
              <w:spacing w:before="40" w:after="40" w:line="245" w:lineRule="auto"/>
              <w:jc w:val="both"/>
              <w:rPr>
                <w:rFonts w:ascii="Century Gothic" w:hAnsi="Century Gothic"/>
              </w:rPr>
            </w:pPr>
            <w:r w:rsidRPr="00A0638C">
              <w:rPr>
                <w:rFonts w:ascii="Century Gothic" w:hAnsi="Century Gothic"/>
                <w:b/>
                <w:sz w:val="20"/>
              </w:rPr>
              <w:t>Indicateurs et états attendus</w:t>
            </w:r>
          </w:p>
        </w:tc>
        <w:tc>
          <w:tcPr>
            <w:tcW w:w="850" w:type="dxa"/>
            <w:shd w:val="clear" w:color="auto" w:fill="E5EAF0"/>
            <w:vAlign w:val="center"/>
          </w:tcPr>
          <w:p w14:paraId="2E7BC50A" w14:textId="77777777" w:rsidR="00805045" w:rsidRPr="00A0638C" w:rsidRDefault="00820FD6" w:rsidP="00A0638C">
            <w:pPr>
              <w:keepNext/>
              <w:spacing w:before="40" w:after="40" w:line="245" w:lineRule="auto"/>
              <w:jc w:val="both"/>
              <w:rPr>
                <w:rFonts w:ascii="Century Gothic" w:hAnsi="Century Gothic"/>
              </w:rPr>
            </w:pPr>
            <w:r w:rsidRPr="00A0638C">
              <w:rPr>
                <w:rFonts w:ascii="Century Gothic" w:hAnsi="Century Gothic"/>
                <w:b/>
                <w:sz w:val="20"/>
              </w:rPr>
              <w:t>Phase</w:t>
            </w:r>
          </w:p>
        </w:tc>
      </w:tr>
      <w:tr w:rsidR="00805045" w:rsidRPr="00A0638C" w14:paraId="5D2281EC" w14:textId="77777777">
        <w:trPr>
          <w:cantSplit/>
          <w:jc w:val="center"/>
        </w:trPr>
        <w:tc>
          <w:tcPr>
            <w:tcW w:w="1757" w:type="dxa"/>
            <w:shd w:val="clear" w:color="auto" w:fill="FFFFFF"/>
            <w:vAlign w:val="center"/>
          </w:tcPr>
          <w:p w14:paraId="687814AA"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Service</w:t>
            </w:r>
          </w:p>
        </w:tc>
        <w:tc>
          <w:tcPr>
            <w:tcW w:w="6690" w:type="dxa"/>
            <w:shd w:val="clear" w:color="auto" w:fill="FFFFFF"/>
            <w:vAlign w:val="center"/>
          </w:tcPr>
          <w:p w14:paraId="61BDB51E"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Repas servis par service, formule et mode ; distinction abonnements et ventes directes ; livraisons.</w:t>
            </w:r>
          </w:p>
        </w:tc>
        <w:tc>
          <w:tcPr>
            <w:tcW w:w="850" w:type="dxa"/>
            <w:shd w:val="clear" w:color="auto" w:fill="FFFFFF"/>
            <w:vAlign w:val="center"/>
          </w:tcPr>
          <w:p w14:paraId="45DA274D"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1</w:t>
            </w:r>
          </w:p>
        </w:tc>
      </w:tr>
      <w:tr w:rsidR="00805045" w:rsidRPr="00A0638C" w14:paraId="5EEFE30B" w14:textId="77777777">
        <w:trPr>
          <w:cantSplit/>
          <w:jc w:val="center"/>
        </w:trPr>
        <w:tc>
          <w:tcPr>
            <w:tcW w:w="1757" w:type="dxa"/>
            <w:shd w:val="clear" w:color="auto" w:fill="FFFFFF"/>
            <w:vAlign w:val="center"/>
          </w:tcPr>
          <w:p w14:paraId="0FDF297B"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Abonnements</w:t>
            </w:r>
          </w:p>
        </w:tc>
        <w:tc>
          <w:tcPr>
            <w:tcW w:w="6690" w:type="dxa"/>
            <w:shd w:val="clear" w:color="auto" w:fill="FFFFFF"/>
            <w:vAlign w:val="center"/>
          </w:tcPr>
          <w:p w14:paraId="7F4718FD"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Souscriptions, actifs, suspensions, échéances, expirations, droits utilisés et soldes à recouvrer.</w:t>
            </w:r>
          </w:p>
        </w:tc>
        <w:tc>
          <w:tcPr>
            <w:tcW w:w="850" w:type="dxa"/>
            <w:shd w:val="clear" w:color="auto" w:fill="FFFFFF"/>
            <w:vAlign w:val="center"/>
          </w:tcPr>
          <w:p w14:paraId="6596A2C9"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1</w:t>
            </w:r>
          </w:p>
        </w:tc>
      </w:tr>
      <w:tr w:rsidR="00805045" w:rsidRPr="00A0638C" w14:paraId="212BB003" w14:textId="77777777">
        <w:trPr>
          <w:cantSplit/>
          <w:jc w:val="center"/>
        </w:trPr>
        <w:tc>
          <w:tcPr>
            <w:tcW w:w="1757" w:type="dxa"/>
            <w:shd w:val="clear" w:color="auto" w:fill="FFFFFF"/>
            <w:vAlign w:val="center"/>
          </w:tcPr>
          <w:p w14:paraId="33E5F7A9"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Ventes et caisse</w:t>
            </w:r>
          </w:p>
        </w:tc>
        <w:tc>
          <w:tcPr>
            <w:tcW w:w="6690" w:type="dxa"/>
            <w:shd w:val="clear" w:color="auto" w:fill="FFFFFF"/>
            <w:vAlign w:val="center"/>
          </w:tcPr>
          <w:p w14:paraId="185ADFFF"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Ventes nettes, encaissements par nature et moyen, remboursements, sorties, clôtures et écarts par devise.</w:t>
            </w:r>
          </w:p>
        </w:tc>
        <w:tc>
          <w:tcPr>
            <w:tcW w:w="850" w:type="dxa"/>
            <w:shd w:val="clear" w:color="auto" w:fill="FFFFFF"/>
            <w:vAlign w:val="center"/>
          </w:tcPr>
          <w:p w14:paraId="714FE5B1"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1</w:t>
            </w:r>
          </w:p>
        </w:tc>
      </w:tr>
      <w:tr w:rsidR="00805045" w:rsidRPr="00A0638C" w14:paraId="00F23553" w14:textId="77777777">
        <w:trPr>
          <w:cantSplit/>
          <w:jc w:val="center"/>
        </w:trPr>
        <w:tc>
          <w:tcPr>
            <w:tcW w:w="1757" w:type="dxa"/>
            <w:shd w:val="clear" w:color="auto" w:fill="FFFFFF"/>
            <w:vAlign w:val="center"/>
          </w:tcPr>
          <w:p w14:paraId="240C2E8B"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Contrôles</w:t>
            </w:r>
          </w:p>
        </w:tc>
        <w:tc>
          <w:tcPr>
            <w:tcW w:w="6690" w:type="dxa"/>
            <w:shd w:val="clear" w:color="auto" w:fill="FFFFFF"/>
            <w:vAlign w:val="center"/>
          </w:tcPr>
          <w:p w14:paraId="026260F8"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Dérogations, annulations, remises, paiements en attente et opérations non synchronisées.</w:t>
            </w:r>
          </w:p>
        </w:tc>
        <w:tc>
          <w:tcPr>
            <w:tcW w:w="850" w:type="dxa"/>
            <w:shd w:val="clear" w:color="auto" w:fill="FFFFFF"/>
            <w:vAlign w:val="center"/>
          </w:tcPr>
          <w:p w14:paraId="132EAEBD"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1</w:t>
            </w:r>
          </w:p>
        </w:tc>
      </w:tr>
      <w:tr w:rsidR="00805045" w:rsidRPr="00A0638C" w14:paraId="5538E828" w14:textId="77777777">
        <w:trPr>
          <w:cantSplit/>
          <w:jc w:val="center"/>
        </w:trPr>
        <w:tc>
          <w:tcPr>
            <w:tcW w:w="1757" w:type="dxa"/>
            <w:shd w:val="clear" w:color="auto" w:fill="FFFFFF"/>
            <w:vAlign w:val="center"/>
          </w:tcPr>
          <w:p w14:paraId="66F45F28"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Production et stock</w:t>
            </w:r>
          </w:p>
        </w:tc>
        <w:tc>
          <w:tcPr>
            <w:tcW w:w="6690" w:type="dxa"/>
            <w:shd w:val="clear" w:color="auto" w:fill="FFFFFF"/>
            <w:vAlign w:val="center"/>
          </w:tcPr>
          <w:p w14:paraId="47F36F9A"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Préparé, servi, perdu et restant ; ruptures, péremptions, inventaires, valeur du stock et consommation de matières.</w:t>
            </w:r>
          </w:p>
        </w:tc>
        <w:tc>
          <w:tcPr>
            <w:tcW w:w="850" w:type="dxa"/>
            <w:shd w:val="clear" w:color="auto" w:fill="FFFFFF"/>
            <w:vAlign w:val="center"/>
          </w:tcPr>
          <w:p w14:paraId="610D45BA"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2</w:t>
            </w:r>
          </w:p>
        </w:tc>
      </w:tr>
      <w:tr w:rsidR="00805045" w:rsidRPr="00A0638C" w14:paraId="2E2FE1EB" w14:textId="77777777">
        <w:trPr>
          <w:cantSplit/>
          <w:jc w:val="center"/>
        </w:trPr>
        <w:tc>
          <w:tcPr>
            <w:tcW w:w="1757" w:type="dxa"/>
            <w:shd w:val="clear" w:color="auto" w:fill="FFFFFF"/>
            <w:vAlign w:val="center"/>
          </w:tcPr>
          <w:p w14:paraId="032F1C7A"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Achats et coûts</w:t>
            </w:r>
          </w:p>
        </w:tc>
        <w:tc>
          <w:tcPr>
            <w:tcW w:w="6690" w:type="dxa"/>
            <w:shd w:val="clear" w:color="auto" w:fill="FFFFFF"/>
            <w:vAlign w:val="center"/>
          </w:tcPr>
          <w:p w14:paraId="416434E9"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Achats, dettes fournisseurs, dépenses par catégorie et marge estimée sur matières.</w:t>
            </w:r>
          </w:p>
        </w:tc>
        <w:tc>
          <w:tcPr>
            <w:tcW w:w="850" w:type="dxa"/>
            <w:shd w:val="clear" w:color="auto" w:fill="FFFFFF"/>
            <w:vAlign w:val="center"/>
          </w:tcPr>
          <w:p w14:paraId="3C4E9827"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2</w:t>
            </w:r>
          </w:p>
        </w:tc>
      </w:tr>
    </w:tbl>
    <w:p w14:paraId="7DFAAE5D" w14:textId="77777777" w:rsidR="00805045" w:rsidRPr="00A0638C" w:rsidRDefault="00805045" w:rsidP="00A0638C">
      <w:pPr>
        <w:spacing w:after="0" w:line="240" w:lineRule="auto"/>
        <w:jc w:val="both"/>
        <w:rPr>
          <w:rFonts w:ascii="Century Gothic" w:hAnsi="Century Gothic"/>
        </w:rPr>
      </w:pPr>
    </w:p>
    <w:p w14:paraId="15001641" w14:textId="77777777" w:rsidR="00805045" w:rsidRPr="00A0638C" w:rsidRDefault="00820FD6" w:rsidP="00A0638C">
      <w:pPr>
        <w:jc w:val="both"/>
        <w:rPr>
          <w:rFonts w:ascii="Century Gothic" w:hAnsi="Century Gothic"/>
        </w:rPr>
      </w:pPr>
      <w:commentRangeStart w:id="12"/>
      <w:r w:rsidRPr="00A0638C">
        <w:rPr>
          <w:rFonts w:ascii="Century Gothic" w:hAnsi="Century Gothic"/>
        </w:rPr>
        <w:t>Le chiffre d’affaires, les encaissements et la trésorerie ne doivent pas être confondus. Les souscriptions facturées, les règlements reçus et les repas servis sont présentés séparément. Une consommation incluse dans un abonnement ne constitue pas une seconde vente. La reconnaissance du chiffre d’affaires des abonnements suit une méthode validée avec le référent comptable, documentée dans les rapports concernés.</w:t>
      </w:r>
      <w:commentRangeEnd w:id="12"/>
      <w:r w:rsidRPr="00A0638C">
        <w:rPr>
          <w:rFonts w:ascii="Century Gothic" w:hAnsi="Century Gothic"/>
        </w:rPr>
        <w:commentReference w:id="12"/>
      </w:r>
    </w:p>
    <w:p w14:paraId="3F6287D1" w14:textId="77777777" w:rsidR="00805045" w:rsidRPr="00A0638C" w:rsidRDefault="00820FD6" w:rsidP="00A0638C">
      <w:pPr>
        <w:jc w:val="both"/>
        <w:rPr>
          <w:rFonts w:ascii="Century Gothic" w:hAnsi="Century Gothic"/>
        </w:rPr>
      </w:pPr>
      <w:r w:rsidRPr="00A0638C">
        <w:rPr>
          <w:rFonts w:ascii="Century Gothic" w:hAnsi="Century Gothic"/>
        </w:rPr>
        <w:t>La marge par plat est une marge estimée sur matières, fondée sur les recettes et les coûts renseignés. Elle ne doit pas être présentée comme le bénéfice net du restaurant. Les coûts incomplets ou non actualisés sont signalés.</w:t>
      </w:r>
    </w:p>
    <w:p w14:paraId="42012C5A" w14:textId="77777777" w:rsidR="00805045" w:rsidRPr="00A0638C" w:rsidRDefault="00820FD6" w:rsidP="00A0638C">
      <w:pPr>
        <w:jc w:val="both"/>
        <w:rPr>
          <w:rFonts w:ascii="Century Gothic" w:hAnsi="Century Gothic"/>
        </w:rPr>
      </w:pPr>
      <w:r w:rsidRPr="00A0638C">
        <w:rPr>
          <w:rFonts w:ascii="Century Gothic" w:hAnsi="Century Gothic"/>
        </w:rPr>
        <w:t>Les rapports essentiels sont exportables en PDF et Excel ; les extractions de données sont également disponibles en CSV. Les exports respectent les habilitations, indiquent les filtres utilisés et sont rapprochables des données affichées. Les alertes internes couvrent les échéances, expirations et anomalies de caisse, puis les stocks en phase 2.</w:t>
      </w:r>
    </w:p>
    <w:p w14:paraId="420F40DA" w14:textId="77777777" w:rsidR="00805045" w:rsidRPr="00A0638C" w:rsidRDefault="00820FD6" w:rsidP="00A0638C">
      <w:pPr>
        <w:pStyle w:val="Titre1"/>
        <w:jc w:val="both"/>
        <w:rPr>
          <w:rFonts w:ascii="Century Gothic" w:hAnsi="Century Gothic"/>
        </w:rPr>
      </w:pPr>
      <w:bookmarkStart w:id="13" w:name="Section10"/>
      <w:r w:rsidRPr="00A0638C">
        <w:rPr>
          <w:rFonts w:ascii="Century Gothic" w:hAnsi="Century Gothic"/>
        </w:rPr>
        <w:t>10 Qualité sécurité et continuité de service</w:t>
      </w:r>
      <w:bookmarkEnd w:id="13"/>
    </w:p>
    <w:p w14:paraId="5E37C1F6" w14:textId="77777777" w:rsidR="00805045" w:rsidRPr="00A0638C" w:rsidRDefault="00820FD6" w:rsidP="00A0638C">
      <w:pPr>
        <w:pStyle w:val="Titre2"/>
        <w:jc w:val="both"/>
        <w:rPr>
          <w:rFonts w:ascii="Century Gothic" w:hAnsi="Century Gothic"/>
        </w:rPr>
      </w:pPr>
      <w:r w:rsidRPr="00A0638C">
        <w:rPr>
          <w:rFonts w:ascii="Century Gothic" w:hAnsi="Century Gothic"/>
        </w:rPr>
        <w:t>Ergonomie et performance</w:t>
      </w:r>
    </w:p>
    <w:p w14:paraId="1C18E13F" w14:textId="77777777" w:rsidR="00805045" w:rsidRPr="00A0638C" w:rsidRDefault="00820FD6" w:rsidP="00A0638C">
      <w:pPr>
        <w:jc w:val="both"/>
        <w:rPr>
          <w:rFonts w:ascii="Century Gothic" w:hAnsi="Century Gothic"/>
        </w:rPr>
      </w:pPr>
      <w:r w:rsidRPr="00A0638C">
        <w:rPr>
          <w:rFonts w:ascii="Century Gothic" w:hAnsi="Century Gothic"/>
        </w:rPr>
        <w:t>L’interface est en français, utilisable sur ordinateur, tablette et smartphone, avec des commandes tactiles lisibles. Les messages d’erreur expliquent l’action attendue. Le prestataire précise les navigateurs, versions et équipements d’impression ou de lecture de codes effectivement pris en charge.</w:t>
      </w:r>
    </w:p>
    <w:p w14:paraId="0185F06D" w14:textId="77777777" w:rsidR="00805045" w:rsidRPr="00A0638C" w:rsidRDefault="00820FD6" w:rsidP="00A0638C">
      <w:pPr>
        <w:jc w:val="both"/>
        <w:rPr>
          <w:rFonts w:ascii="Century Gothic" w:hAnsi="Century Gothic"/>
        </w:rPr>
      </w:pPr>
      <w:r w:rsidRPr="00A0638C">
        <w:rPr>
          <w:rFonts w:ascii="Century Gothic" w:hAnsi="Century Gothic"/>
        </w:rPr>
        <w:t xml:space="preserve">Les cibles de performance portent sur le temps du système : affichage des droits après lecture du QR Code en une seconde au plus et réponse des écrans courants de caisse </w:t>
      </w:r>
      <w:r w:rsidRPr="00A0638C">
        <w:rPr>
          <w:rFonts w:ascii="Century Gothic" w:hAnsi="Century Gothic"/>
        </w:rPr>
        <w:lastRenderedPageBreak/>
        <w:t>en deux secondes au plus pour au moins 95 % des opérations testées. Le passage d’un abonné en moins de cinq secondes constitue un objectif de parcours, incluant les gestes de l’agent.</w:t>
      </w:r>
    </w:p>
    <w:p w14:paraId="0A654477" w14:textId="77777777" w:rsidR="00805045" w:rsidRPr="00A0638C" w:rsidRDefault="00820FD6" w:rsidP="00A0638C">
      <w:pPr>
        <w:jc w:val="both"/>
        <w:rPr>
          <w:rFonts w:ascii="Century Gothic" w:hAnsi="Century Gothic"/>
        </w:rPr>
      </w:pPr>
      <w:r w:rsidRPr="00A0638C">
        <w:rPr>
          <w:rFonts w:ascii="Century Gothic" w:hAnsi="Century Gothic"/>
        </w:rPr>
        <w:t>Le protocole de mesure fixe les volumes de données, utilisateurs simultanés, équipements et conditions de connexion représentatifs. Il est validé au cadrage et joint aux résultats de recette. Le délai d’un opérateur de paiement externe est mesuré séparément.</w:t>
      </w:r>
    </w:p>
    <w:p w14:paraId="6A004BEA" w14:textId="77777777" w:rsidR="00805045" w:rsidRPr="00A0638C" w:rsidRDefault="00820FD6" w:rsidP="00A0638C">
      <w:pPr>
        <w:pStyle w:val="Titre2"/>
        <w:jc w:val="both"/>
        <w:rPr>
          <w:rFonts w:ascii="Century Gothic" w:hAnsi="Century Gothic"/>
        </w:rPr>
      </w:pPr>
      <w:r w:rsidRPr="00A0638C">
        <w:rPr>
          <w:rFonts w:ascii="Century Gothic" w:hAnsi="Century Gothic"/>
        </w:rPr>
        <w:t>Fonctionnement pendant les coupures</w:t>
      </w:r>
    </w:p>
    <w:p w14:paraId="286D4EAD" w14:textId="77777777" w:rsidR="00805045" w:rsidRPr="00A0638C" w:rsidRDefault="00820FD6" w:rsidP="00A0638C">
      <w:pPr>
        <w:jc w:val="both"/>
        <w:rPr>
          <w:rFonts w:ascii="Century Gothic" w:hAnsi="Century Gothic"/>
        </w:rPr>
      </w:pPr>
      <w:r w:rsidRPr="00A0638C">
        <w:rPr>
          <w:rFonts w:ascii="Century Gothic" w:hAnsi="Century Gothic"/>
        </w:rPr>
        <w:t>Le prestataire doit distinguer une coupure Internet, une panne du réseau local et une panne d’alimentation. Il décrit l’architecture proposée, les fonctions maintenues et la procédure de reprise. L’autonomie électrique et les équipements réseau nécessaires figurent dans son chiffrage.</w:t>
      </w:r>
    </w:p>
    <w:p w14:paraId="04700BFB" w14:textId="77777777" w:rsidR="00805045" w:rsidRPr="00A0638C" w:rsidRDefault="00820FD6" w:rsidP="00A0638C">
      <w:pPr>
        <w:jc w:val="both"/>
        <w:rPr>
          <w:rFonts w:ascii="Century Gothic" w:hAnsi="Century Gothic"/>
        </w:rPr>
      </w:pPr>
      <w:commentRangeStart w:id="14"/>
      <w:r w:rsidRPr="00A0638C">
        <w:rPr>
          <w:rFonts w:ascii="Century Gothic" w:hAnsi="Century Gothic"/>
        </w:rPr>
        <w:t>Pour maintenir plusieurs guichets pendant une coupure Internet, la solution doit leur permettre de consulter une autorité locale commune conservant les droits et les transactions. Une copie indépendante sur chaque téléphone ne garantit pas l’absence de double consommation.</w:t>
      </w:r>
      <w:commentRangeEnd w:id="14"/>
      <w:r w:rsidRPr="00A0638C">
        <w:rPr>
          <w:rFonts w:ascii="Century Gothic" w:hAnsi="Century Gothic"/>
        </w:rPr>
        <w:commentReference w:id="14"/>
      </w:r>
    </w:p>
    <w:p w14:paraId="59885A73" w14:textId="77777777" w:rsidR="00805045" w:rsidRPr="00A0638C" w:rsidRDefault="00820FD6" w:rsidP="00A0638C">
      <w:pPr>
        <w:jc w:val="both"/>
        <w:rPr>
          <w:rFonts w:ascii="Century Gothic" w:hAnsi="Century Gothic"/>
        </w:rPr>
      </w:pPr>
      <w:r w:rsidRPr="00A0638C">
        <w:rPr>
          <w:rFonts w:ascii="Century Gothic" w:hAnsi="Century Gothic"/>
        </w:rPr>
        <w:t>Si les terminaux ne peuvent plus partager cet état commun, la validation des droits est réservée à un poste de secours prédésigné, disposant de données suffisamment à jour et selon une procédure contrôlée. Les autres postes ne valident plus de consommations sur abonnement. Si ces conditions ne sont pas réunies, une procédure manuelle numérotée est appliquée et rapprochée à la reprise.</w:t>
      </w:r>
    </w:p>
    <w:p w14:paraId="5F02C571" w14:textId="77777777" w:rsidR="00805045" w:rsidRPr="00A0638C" w:rsidRDefault="00820FD6" w:rsidP="00A0638C">
      <w:pPr>
        <w:jc w:val="both"/>
        <w:rPr>
          <w:rFonts w:ascii="Century Gothic" w:hAnsi="Century Gothic"/>
        </w:rPr>
      </w:pPr>
      <w:r w:rsidRPr="00A0638C">
        <w:rPr>
          <w:rFonts w:ascii="Century Gothic" w:hAnsi="Century Gothic"/>
        </w:rPr>
        <w:t>Le mode hors connexion affiche clairement son état, l’heure de la dernière synchronisation et les opérations en attente. Il utilise uniquement les tarifs et taux approuvés disponibles. Les changements de formule, de tarif et les activations ou modifications sensibles nécessitant l’autorité centrale sont suspendus tant qu’elle n’est pas accessible. Un paiement externe non vérifiable reste en attente.</w:t>
      </w:r>
    </w:p>
    <w:p w14:paraId="085D6DD3" w14:textId="77777777" w:rsidR="00805045" w:rsidRPr="00A0638C" w:rsidRDefault="00820FD6" w:rsidP="00A0638C">
      <w:pPr>
        <w:jc w:val="both"/>
        <w:rPr>
          <w:rFonts w:ascii="Century Gothic" w:hAnsi="Century Gothic"/>
        </w:rPr>
      </w:pPr>
      <w:r w:rsidRPr="00A0638C">
        <w:rPr>
          <w:rFonts w:ascii="Century Gothic" w:hAnsi="Century Gothic"/>
        </w:rPr>
        <w:t>Chaque opération locale possède un identifiant unique, l’agent, le terminal et l’horodatage. La reprise tolère les envois répétés sans duplication et conserve les opérations jusqu’à leur confirmation. Les conflits ou refus de synchronisation sont visibles dans un registre à traiter ; aucune opération ne disparaît silencieusement.</w:t>
      </w:r>
    </w:p>
    <w:p w14:paraId="034AEF1A" w14:textId="77777777" w:rsidR="00805045" w:rsidRPr="00A0638C" w:rsidRDefault="00820FD6" w:rsidP="00A0638C">
      <w:pPr>
        <w:pStyle w:val="Titre2"/>
        <w:jc w:val="both"/>
        <w:rPr>
          <w:rFonts w:ascii="Century Gothic" w:hAnsi="Century Gothic"/>
        </w:rPr>
      </w:pPr>
      <w:r w:rsidRPr="00A0638C">
        <w:rPr>
          <w:rFonts w:ascii="Century Gothic" w:hAnsi="Century Gothic"/>
        </w:rPr>
        <w:t>Sécurité et données personnelles</w:t>
      </w:r>
    </w:p>
    <w:p w14:paraId="6CC37BCE" w14:textId="77777777" w:rsidR="00805045" w:rsidRPr="00A0638C" w:rsidRDefault="00820FD6" w:rsidP="00A0638C">
      <w:pPr>
        <w:jc w:val="both"/>
        <w:rPr>
          <w:rFonts w:ascii="Century Gothic" w:hAnsi="Century Gothic"/>
        </w:rPr>
      </w:pPr>
      <w:r w:rsidRPr="00A0638C">
        <w:rPr>
          <w:rFonts w:ascii="Century Gothic" w:hAnsi="Century Gothic"/>
        </w:rPr>
        <w:t>Le socle inclut l’authentification individuelle, les droits par rôle, des mots de passe stockés de manière sécurisée, la limitation des tentatives de connexion, la gestion des sessions et une déconnexion après inactivité paramétrable. Une protection renforcée des comptes privilégiés doit être proposée. Les échanges sont chiffrés et les postes autorisés identifiables.</w:t>
      </w:r>
    </w:p>
    <w:p w14:paraId="227172FE" w14:textId="77777777" w:rsidR="00805045" w:rsidRPr="00A0638C" w:rsidRDefault="00820FD6" w:rsidP="00A0638C">
      <w:pPr>
        <w:jc w:val="both"/>
        <w:rPr>
          <w:rFonts w:ascii="Century Gothic" w:hAnsi="Century Gothic"/>
        </w:rPr>
      </w:pPr>
      <w:r w:rsidRPr="00A0638C">
        <w:rPr>
          <w:rFonts w:ascii="Century Gothic" w:hAnsi="Century Gothic"/>
        </w:rPr>
        <w:t>Le journal d’audit couvre les accès sensibles, habilitations, prix, taux, paiements, remises, annulations, restitutions de droits et mouvements de stock. Il conserve l’auteur, la date, l’objet et, lorsque pertinent, les valeurs avant et après. Il est protégé contre la modification et sa consultation est restreinte.</w:t>
      </w:r>
    </w:p>
    <w:p w14:paraId="75554D11" w14:textId="77777777" w:rsidR="00805045" w:rsidRPr="00A0638C" w:rsidRDefault="00820FD6" w:rsidP="00A0638C">
      <w:pPr>
        <w:jc w:val="both"/>
        <w:rPr>
          <w:rFonts w:ascii="Century Gothic" w:hAnsi="Century Gothic"/>
        </w:rPr>
      </w:pPr>
      <w:r w:rsidRPr="00A0638C">
        <w:rPr>
          <w:rFonts w:ascii="Century Gothic" w:hAnsi="Century Gothic"/>
        </w:rPr>
        <w:t xml:space="preserve">Les données collectées sont limitées aux besoins du service. L’accès aux photos, coordonnées et informations alimentaires est contrôlé ; leur conservation et leur suppression suivent une politique définie avant la mise en production. Les données de </w:t>
      </w:r>
      <w:r w:rsidRPr="00A0638C">
        <w:rPr>
          <w:rFonts w:ascii="Century Gothic" w:hAnsi="Century Gothic"/>
        </w:rPr>
        <w:lastRenderedPageBreak/>
        <w:t>carte bancaire et les secrets des comptes Mobile Money ne sont pas stockés dans l’application.</w:t>
      </w:r>
    </w:p>
    <w:p w14:paraId="647A7A5D" w14:textId="77777777" w:rsidR="00805045" w:rsidRPr="00A0638C" w:rsidRDefault="00820FD6" w:rsidP="00A0638C">
      <w:pPr>
        <w:jc w:val="both"/>
        <w:rPr>
          <w:rFonts w:ascii="Century Gothic" w:hAnsi="Century Gothic"/>
        </w:rPr>
      </w:pPr>
      <w:r w:rsidRPr="00A0638C">
        <w:rPr>
          <w:rFonts w:ascii="Century Gothic" w:hAnsi="Century Gothic"/>
        </w:rPr>
        <w:t>L’identification par biométrie n’est pas nécessaire au socle. Si elle est envisagée, elle fait l’objet d’une étude et d’une décision séparées couvrant sa nécessité, son coût, les conditions de traitement des données et une solution d’identification alternative.</w:t>
      </w:r>
    </w:p>
    <w:p w14:paraId="49B51EEC" w14:textId="77777777" w:rsidR="00805045" w:rsidRPr="00A0638C" w:rsidRDefault="00820FD6" w:rsidP="00A0638C">
      <w:pPr>
        <w:pStyle w:val="Titre2"/>
        <w:jc w:val="both"/>
        <w:rPr>
          <w:rFonts w:ascii="Century Gothic" w:hAnsi="Century Gothic"/>
        </w:rPr>
      </w:pPr>
      <w:r w:rsidRPr="00A0638C">
        <w:rPr>
          <w:rFonts w:ascii="Century Gothic" w:hAnsi="Century Gothic"/>
        </w:rPr>
        <w:t>Sauvegardes et restauration</w:t>
      </w:r>
    </w:p>
    <w:p w14:paraId="4470151B" w14:textId="77777777" w:rsidR="00805045" w:rsidRPr="00A0638C" w:rsidRDefault="00820FD6" w:rsidP="00A0638C">
      <w:pPr>
        <w:jc w:val="both"/>
        <w:rPr>
          <w:rFonts w:ascii="Century Gothic" w:hAnsi="Century Gothic"/>
        </w:rPr>
      </w:pPr>
      <w:r w:rsidRPr="00A0638C">
        <w:rPr>
          <w:rFonts w:ascii="Century Gothic" w:hAnsi="Century Gothic"/>
        </w:rPr>
        <w:t>Les sauvegardes automatiques sont au minimum quotidiennes, conservées sur un emplacement distinct du système principal et protégées. Leur succès est contrôlé ; les données locales en attente de synchronisation font également l’objet d’une protection adaptée.</w:t>
      </w:r>
    </w:p>
    <w:p w14:paraId="1AE690B1" w14:textId="77777777" w:rsidR="00805045" w:rsidRPr="00A0638C" w:rsidRDefault="00820FD6" w:rsidP="00A0638C">
      <w:pPr>
        <w:jc w:val="both"/>
        <w:rPr>
          <w:rFonts w:ascii="Century Gothic" w:hAnsi="Century Gothic"/>
        </w:rPr>
      </w:pPr>
      <w:r w:rsidRPr="00A0638C">
        <w:rPr>
          <w:rFonts w:ascii="Century Gothic" w:hAnsi="Century Gothic"/>
        </w:rPr>
        <w:t>Le prestataire propose une durée de conservation, une perte maximale de données admissible et un délai de reprise, à valider selon le budget et le service attendu. Une restauration complète est testée sur un environnement distinct avant réception, avec contrôle des abonnements, soldes, ventes et journaux. La procédure indique les responsables et les étapes de reprise.</w:t>
      </w:r>
    </w:p>
    <w:p w14:paraId="1A498EA6" w14:textId="77777777" w:rsidR="00805045" w:rsidRPr="00A0638C" w:rsidRDefault="00820FD6" w:rsidP="00A0638C">
      <w:pPr>
        <w:pStyle w:val="Titre1"/>
        <w:jc w:val="both"/>
        <w:rPr>
          <w:rFonts w:ascii="Century Gothic" w:hAnsi="Century Gothic"/>
        </w:rPr>
      </w:pPr>
      <w:bookmarkStart w:id="15" w:name="Section11"/>
      <w:r w:rsidRPr="00A0638C">
        <w:rPr>
          <w:rFonts w:ascii="Century Gothic" w:hAnsi="Century Gothic"/>
        </w:rPr>
        <w:t>11 Réalisation et livrables</w:t>
      </w:r>
      <w:bookmarkEnd w:id="15"/>
    </w:p>
    <w:p w14:paraId="12F24090" w14:textId="77777777" w:rsidR="00805045" w:rsidRPr="00A0638C" w:rsidRDefault="00820FD6" w:rsidP="00A0638C">
      <w:pPr>
        <w:pStyle w:val="Titre2"/>
        <w:jc w:val="both"/>
        <w:rPr>
          <w:rFonts w:ascii="Century Gothic" w:hAnsi="Century Gothic"/>
        </w:rPr>
      </w:pPr>
      <w:r w:rsidRPr="00A0638C">
        <w:rPr>
          <w:rFonts w:ascii="Century Gothic" w:hAnsi="Century Gothic"/>
        </w:rPr>
        <w:t>Cadrage et conduite du projet</w:t>
      </w:r>
    </w:p>
    <w:p w14:paraId="72A38803" w14:textId="77777777" w:rsidR="00805045" w:rsidRPr="00A0638C" w:rsidRDefault="00820FD6" w:rsidP="00A0638C">
      <w:pPr>
        <w:jc w:val="both"/>
        <w:rPr>
          <w:rFonts w:ascii="Century Gothic" w:hAnsi="Century Gothic"/>
        </w:rPr>
      </w:pPr>
      <w:r w:rsidRPr="00A0638C">
        <w:rPr>
          <w:rFonts w:ascii="Century Gothic" w:hAnsi="Century Gothic"/>
        </w:rPr>
        <w:t>Le prestataire analyse les parcours avec la Direction et la Responsable du restaurant, examine les contraintes du site et produit les maquettes des écrans principaux. Les règles commerciales, droits, tarifs, volumes et choix de continuité sont arrêtés avant le développement concerné.</w:t>
      </w:r>
    </w:p>
    <w:p w14:paraId="06A5C1AC" w14:textId="77777777" w:rsidR="00805045" w:rsidRPr="00A0638C" w:rsidRDefault="00820FD6" w:rsidP="00A0638C">
      <w:pPr>
        <w:jc w:val="both"/>
        <w:rPr>
          <w:rFonts w:ascii="Century Gothic" w:hAnsi="Century Gothic"/>
        </w:rPr>
      </w:pPr>
      <w:r w:rsidRPr="00A0638C">
        <w:rPr>
          <w:rFonts w:ascii="Century Gothic" w:hAnsi="Century Gothic"/>
        </w:rPr>
        <w:t>Le chronogramme distingue le cadrage, la validation des maquettes, le développement par phase, les tests internes, la recette utilisateur, les corrections, la formation et la mise en service. Les dates et charges sont proposées dans l’offre et fixées contractuellement. La sécurité, les sauvegardes et les contrôles financiers sont requis dès le socle.</w:t>
      </w:r>
    </w:p>
    <w:p w14:paraId="20038A39" w14:textId="77777777" w:rsidR="00805045" w:rsidRPr="00A0638C" w:rsidRDefault="00820FD6" w:rsidP="00A0638C">
      <w:pPr>
        <w:pStyle w:val="Titre2"/>
        <w:jc w:val="both"/>
        <w:rPr>
          <w:rFonts w:ascii="Century Gothic" w:hAnsi="Century Gothic"/>
        </w:rPr>
      </w:pPr>
      <w:r w:rsidRPr="00A0638C">
        <w:rPr>
          <w:rFonts w:ascii="Century Gothic" w:hAnsi="Century Gothic"/>
        </w:rPr>
        <w:t>Livrables attendus</w:t>
      </w:r>
    </w:p>
    <w:p w14:paraId="42DA8306" w14:textId="77777777" w:rsidR="00805045" w:rsidRPr="00A0638C" w:rsidRDefault="00820FD6" w:rsidP="00A0638C">
      <w:pPr>
        <w:pStyle w:val="Listepuces"/>
        <w:jc w:val="both"/>
        <w:rPr>
          <w:rFonts w:ascii="Century Gothic" w:hAnsi="Century Gothic"/>
        </w:rPr>
      </w:pPr>
      <w:r w:rsidRPr="00A0638C">
        <w:rPr>
          <w:rFonts w:ascii="Century Gothic" w:hAnsi="Century Gothic"/>
        </w:rPr>
        <w:t>Dossier de cadrage validé, maquettes et liste des exigences incluses, exclues ou optionnelles.</w:t>
      </w:r>
    </w:p>
    <w:p w14:paraId="53E1609C" w14:textId="77777777" w:rsidR="00805045" w:rsidRPr="00A0638C" w:rsidRDefault="00820FD6" w:rsidP="00A0638C">
      <w:pPr>
        <w:pStyle w:val="Listepuces"/>
        <w:jc w:val="both"/>
        <w:rPr>
          <w:rFonts w:ascii="Century Gothic" w:hAnsi="Century Gothic"/>
        </w:rPr>
      </w:pPr>
      <w:r w:rsidRPr="00A0638C">
        <w:rPr>
          <w:rFonts w:ascii="Century Gothic" w:hAnsi="Century Gothic"/>
        </w:rPr>
        <w:t>Application et base de données conformes au périmètre retenu, avec environnements de test et de production distincts.</w:t>
      </w:r>
    </w:p>
    <w:p w14:paraId="08441BF0" w14:textId="77777777" w:rsidR="00805045" w:rsidRPr="00A0638C" w:rsidRDefault="00820FD6" w:rsidP="00A0638C">
      <w:pPr>
        <w:pStyle w:val="Listepuces"/>
        <w:jc w:val="both"/>
        <w:rPr>
          <w:rFonts w:ascii="Century Gothic" w:hAnsi="Century Gothic"/>
        </w:rPr>
      </w:pPr>
      <w:r w:rsidRPr="00A0638C">
        <w:rPr>
          <w:rFonts w:ascii="Century Gothic" w:hAnsi="Century Gothic"/>
        </w:rPr>
        <w:t>Paramètres initiaux, matrice des habilitations et reprise contrôlée des données existantes, si nécessaire.</w:t>
      </w:r>
    </w:p>
    <w:p w14:paraId="37F082CE" w14:textId="77777777" w:rsidR="00805045" w:rsidRPr="00A0638C" w:rsidRDefault="00820FD6" w:rsidP="00A0638C">
      <w:pPr>
        <w:pStyle w:val="Listepuces"/>
        <w:jc w:val="both"/>
        <w:rPr>
          <w:rFonts w:ascii="Century Gothic" w:hAnsi="Century Gothic"/>
        </w:rPr>
      </w:pPr>
      <w:r w:rsidRPr="00A0638C">
        <w:rPr>
          <w:rFonts w:ascii="Century Gothic" w:hAnsi="Century Gothic"/>
        </w:rPr>
        <w:t>Code source, scripts de déploiement, description des données, dépendances et éléments nécessaires à la maintenance, selon les droits fixés au contrat.</w:t>
      </w:r>
    </w:p>
    <w:p w14:paraId="20D6F0A7" w14:textId="77777777" w:rsidR="00805045" w:rsidRPr="00A0638C" w:rsidRDefault="00820FD6" w:rsidP="00A0638C">
      <w:pPr>
        <w:pStyle w:val="Listepuces"/>
        <w:jc w:val="both"/>
        <w:rPr>
          <w:rFonts w:ascii="Century Gothic" w:hAnsi="Century Gothic"/>
        </w:rPr>
      </w:pPr>
      <w:r w:rsidRPr="00A0638C">
        <w:rPr>
          <w:rFonts w:ascii="Century Gothic" w:hAnsi="Century Gothic"/>
        </w:rPr>
        <w:t>Manuel utilisateur en français, procédures de clôture, mode dégradé, sauvegarde et restauration.</w:t>
      </w:r>
    </w:p>
    <w:p w14:paraId="70DB0C02" w14:textId="77777777" w:rsidR="00805045" w:rsidRPr="00A0638C" w:rsidRDefault="00820FD6" w:rsidP="00A0638C">
      <w:pPr>
        <w:pStyle w:val="Listepuces"/>
        <w:jc w:val="both"/>
        <w:rPr>
          <w:rFonts w:ascii="Century Gothic" w:hAnsi="Century Gothic"/>
        </w:rPr>
      </w:pPr>
      <w:r w:rsidRPr="00A0638C">
        <w:rPr>
          <w:rFonts w:ascii="Century Gothic" w:hAnsi="Century Gothic"/>
        </w:rPr>
        <w:t>Jeux et résultats de tests, registre des anomalies et procès-verbal de recette.</w:t>
      </w:r>
    </w:p>
    <w:p w14:paraId="1E68A4A9" w14:textId="77777777" w:rsidR="00805045" w:rsidRPr="00A0638C" w:rsidRDefault="00820FD6" w:rsidP="00A0638C">
      <w:pPr>
        <w:pStyle w:val="Listepuces"/>
        <w:jc w:val="both"/>
        <w:rPr>
          <w:rFonts w:ascii="Century Gothic" w:hAnsi="Century Gothic"/>
        </w:rPr>
      </w:pPr>
      <w:r w:rsidRPr="00A0638C">
        <w:rPr>
          <w:rFonts w:ascii="Century Gothic" w:hAnsi="Century Gothic"/>
        </w:rPr>
        <w:t>Formation pratique de la Responsable, des caissiers et des autres utilisateurs concernés, puis assistance au démarrage.</w:t>
      </w:r>
    </w:p>
    <w:p w14:paraId="2F81ABA8" w14:textId="77777777" w:rsidR="00805045" w:rsidRPr="00A0638C" w:rsidRDefault="00820FD6" w:rsidP="00A0638C">
      <w:pPr>
        <w:jc w:val="both"/>
        <w:rPr>
          <w:rFonts w:ascii="Century Gothic" w:hAnsi="Century Gothic"/>
        </w:rPr>
      </w:pPr>
      <w:r w:rsidRPr="00A0638C">
        <w:rPr>
          <w:rFonts w:ascii="Century Gothic" w:hAnsi="Century Gothic"/>
        </w:rPr>
        <w:t>Les importations éventuelles de clients, abonnements ou stocks font l’objet d’un contrôle des doublons et d’un rapprochement des soldes. Les données de démonstration sont retirées de la production avant ouverture.</w:t>
      </w:r>
    </w:p>
    <w:p w14:paraId="1CA311B8" w14:textId="77777777" w:rsidR="00805045" w:rsidRPr="00A0638C" w:rsidRDefault="00820FD6" w:rsidP="00A0638C">
      <w:pPr>
        <w:pStyle w:val="Titre2"/>
        <w:jc w:val="both"/>
        <w:rPr>
          <w:rFonts w:ascii="Century Gothic" w:hAnsi="Century Gothic"/>
        </w:rPr>
      </w:pPr>
      <w:r w:rsidRPr="00A0638C">
        <w:rPr>
          <w:rFonts w:ascii="Century Gothic" w:hAnsi="Century Gothic"/>
        </w:rPr>
        <w:lastRenderedPageBreak/>
        <w:t>Offre financière et maintenance</w:t>
      </w:r>
    </w:p>
    <w:p w14:paraId="36EB7079" w14:textId="77777777" w:rsidR="00805045" w:rsidRPr="00A0638C" w:rsidRDefault="00820FD6" w:rsidP="00A0638C">
      <w:pPr>
        <w:jc w:val="both"/>
        <w:rPr>
          <w:rFonts w:ascii="Century Gothic" w:hAnsi="Century Gothic"/>
        </w:rPr>
      </w:pPr>
      <w:r w:rsidRPr="00A0638C">
        <w:rPr>
          <w:rFonts w:ascii="Century Gothic" w:hAnsi="Century Gothic"/>
        </w:rPr>
        <w:t>L’offre détaille le coût du socle, de la phase 2 et de chaque option. Elle précise les équipements nécessaires et les frais récurrents : hébergement, domaine, sauvegardes, maintenance, messagerie et services de paiement. Les limites, dépendances et prestations non incluses sont explicites.</w:t>
      </w:r>
    </w:p>
    <w:p w14:paraId="0146A761" w14:textId="77777777" w:rsidR="00805045" w:rsidRPr="00A0638C" w:rsidRDefault="00820FD6" w:rsidP="00A0638C">
      <w:pPr>
        <w:jc w:val="both"/>
        <w:rPr>
          <w:rFonts w:ascii="Century Gothic" w:hAnsi="Century Gothic"/>
        </w:rPr>
      </w:pPr>
      <w:r w:rsidRPr="00A0638C">
        <w:rPr>
          <w:rFonts w:ascii="Century Gothic" w:hAnsi="Century Gothic"/>
        </w:rPr>
        <w:t>Le contrat fixe la garantie corrective, le début de sa période, les horaires de support, les délais de prise en charge et de rétablissement par gravité, ainsi que les conditions des évolutions. Il précise les droits d’utilisation, l’accès au code, les licences tierces et la restitution des données dans des formats réutilisables en cas de changement de prestataire.</w:t>
      </w:r>
    </w:p>
    <w:p w14:paraId="0E8FEA6A" w14:textId="77777777" w:rsidR="00805045" w:rsidRPr="00A0638C" w:rsidRDefault="00820FD6" w:rsidP="00A0638C">
      <w:pPr>
        <w:jc w:val="both"/>
        <w:rPr>
          <w:rFonts w:ascii="Century Gothic" w:hAnsi="Century Gothic"/>
        </w:rPr>
      </w:pPr>
      <w:r w:rsidRPr="00A0638C">
        <w:rPr>
          <w:rFonts w:ascii="Century Gothic" w:hAnsi="Century Gothic"/>
        </w:rPr>
        <w:t>Toute modification du périmètre doit être décrite, évaluée en coût et délai, puis validée avant réalisation. Les demandes d’évolution restent distinctes des corrections nécessaires à la conformité du périmètre accepté.</w:t>
      </w:r>
    </w:p>
    <w:p w14:paraId="4220A47F" w14:textId="77777777" w:rsidR="00805045" w:rsidRPr="00A0638C" w:rsidRDefault="00820FD6" w:rsidP="00A0638C">
      <w:pPr>
        <w:pStyle w:val="Titre1"/>
        <w:jc w:val="both"/>
        <w:rPr>
          <w:rFonts w:ascii="Century Gothic" w:hAnsi="Century Gothic"/>
        </w:rPr>
      </w:pPr>
      <w:bookmarkStart w:id="16" w:name="Section12"/>
      <w:r w:rsidRPr="00A0638C">
        <w:rPr>
          <w:rFonts w:ascii="Century Gothic" w:hAnsi="Century Gothic"/>
        </w:rPr>
        <w:t>12 Recette et acceptation</w:t>
      </w:r>
      <w:bookmarkEnd w:id="16"/>
    </w:p>
    <w:p w14:paraId="7953861F" w14:textId="77777777" w:rsidR="00805045" w:rsidRPr="00A0638C" w:rsidRDefault="00820FD6" w:rsidP="00A0638C">
      <w:pPr>
        <w:jc w:val="both"/>
        <w:rPr>
          <w:rFonts w:ascii="Century Gothic" w:hAnsi="Century Gothic"/>
        </w:rPr>
      </w:pPr>
      <w:r w:rsidRPr="00A0638C">
        <w:rPr>
          <w:rFonts w:ascii="Century Gothic" w:hAnsi="Century Gothic"/>
        </w:rPr>
        <w:t>La recette est conduite par JAMI FOOD sur un environnement de test, avec le prestataire. Les scénarios suivants constituent le minimum à compléter par les parcours validés au cadrage. Les prix, taux et dates des jeux de test sont identifiés comme fictifs lorsque cela s’applique.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110" w:type="dxa"/>
          <w:bottom w:w="95" w:type="dxa"/>
          <w:right w:w="110" w:type="dxa"/>
        </w:tblCellMar>
        <w:tblLook w:val="04A0" w:firstRow="1" w:lastRow="0" w:firstColumn="1" w:lastColumn="0" w:noHBand="0" w:noVBand="1"/>
      </w:tblPr>
      <w:tblGrid>
        <w:gridCol w:w="737"/>
        <w:gridCol w:w="3969"/>
        <w:gridCol w:w="4592"/>
      </w:tblGrid>
      <w:tr w:rsidR="00805045" w:rsidRPr="00A0638C" w14:paraId="443AAA12" w14:textId="77777777">
        <w:trPr>
          <w:cantSplit/>
          <w:tblHeader/>
          <w:jc w:val="center"/>
        </w:trPr>
        <w:tc>
          <w:tcPr>
            <w:tcW w:w="737" w:type="dxa"/>
            <w:shd w:val="clear" w:color="auto" w:fill="E5EAF0"/>
            <w:vAlign w:val="center"/>
          </w:tcPr>
          <w:p w14:paraId="144D3DAA" w14:textId="77777777" w:rsidR="00805045" w:rsidRPr="00A0638C" w:rsidRDefault="00820FD6" w:rsidP="00A0638C">
            <w:pPr>
              <w:keepNext/>
              <w:spacing w:before="40" w:after="40" w:line="245" w:lineRule="auto"/>
              <w:jc w:val="both"/>
              <w:rPr>
                <w:rFonts w:ascii="Century Gothic" w:hAnsi="Century Gothic"/>
              </w:rPr>
            </w:pPr>
            <w:r w:rsidRPr="00A0638C">
              <w:rPr>
                <w:rFonts w:ascii="Century Gothic" w:hAnsi="Century Gothic"/>
                <w:b/>
                <w:sz w:val="20"/>
              </w:rPr>
              <w:t>Réf</w:t>
            </w:r>
          </w:p>
        </w:tc>
        <w:tc>
          <w:tcPr>
            <w:tcW w:w="3969" w:type="dxa"/>
            <w:shd w:val="clear" w:color="auto" w:fill="E5EAF0"/>
            <w:vAlign w:val="center"/>
          </w:tcPr>
          <w:p w14:paraId="72435389" w14:textId="77777777" w:rsidR="00805045" w:rsidRPr="00A0638C" w:rsidRDefault="00820FD6" w:rsidP="00A0638C">
            <w:pPr>
              <w:keepNext/>
              <w:spacing w:before="40" w:after="40" w:line="245" w:lineRule="auto"/>
              <w:jc w:val="both"/>
              <w:rPr>
                <w:rFonts w:ascii="Century Gothic" w:hAnsi="Century Gothic"/>
              </w:rPr>
            </w:pPr>
            <w:r w:rsidRPr="00A0638C">
              <w:rPr>
                <w:rFonts w:ascii="Century Gothic" w:hAnsi="Century Gothic"/>
                <w:b/>
                <w:sz w:val="20"/>
              </w:rPr>
              <w:t>Scénario</w:t>
            </w:r>
          </w:p>
        </w:tc>
        <w:tc>
          <w:tcPr>
            <w:tcW w:w="4592" w:type="dxa"/>
            <w:shd w:val="clear" w:color="auto" w:fill="E5EAF0"/>
            <w:vAlign w:val="center"/>
          </w:tcPr>
          <w:p w14:paraId="1BE89221" w14:textId="77777777" w:rsidR="00805045" w:rsidRPr="00A0638C" w:rsidRDefault="00820FD6" w:rsidP="00A0638C">
            <w:pPr>
              <w:keepNext/>
              <w:spacing w:before="40" w:after="40" w:line="245" w:lineRule="auto"/>
              <w:jc w:val="both"/>
              <w:rPr>
                <w:rFonts w:ascii="Century Gothic" w:hAnsi="Century Gothic"/>
              </w:rPr>
            </w:pPr>
            <w:r w:rsidRPr="00A0638C">
              <w:rPr>
                <w:rFonts w:ascii="Century Gothic" w:hAnsi="Century Gothic"/>
                <w:b/>
                <w:sz w:val="20"/>
              </w:rPr>
              <w:t>Résultat attendu</w:t>
            </w:r>
          </w:p>
        </w:tc>
      </w:tr>
      <w:tr w:rsidR="00805045" w:rsidRPr="00A0638C" w14:paraId="65F9DD48" w14:textId="77777777">
        <w:trPr>
          <w:cantSplit/>
          <w:jc w:val="center"/>
        </w:trPr>
        <w:tc>
          <w:tcPr>
            <w:tcW w:w="737" w:type="dxa"/>
            <w:shd w:val="clear" w:color="auto" w:fill="FFFFFF"/>
            <w:vAlign w:val="center"/>
          </w:tcPr>
          <w:p w14:paraId="199B4337"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R01</w:t>
            </w:r>
          </w:p>
        </w:tc>
        <w:tc>
          <w:tcPr>
            <w:tcW w:w="3969" w:type="dxa"/>
            <w:shd w:val="clear" w:color="auto" w:fill="FFFFFF"/>
            <w:vAlign w:val="center"/>
          </w:tcPr>
          <w:p w14:paraId="746E642D"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Client, souscription payée et date de début future.</w:t>
            </w:r>
          </w:p>
        </w:tc>
        <w:tc>
          <w:tcPr>
            <w:tcW w:w="4592" w:type="dxa"/>
            <w:shd w:val="clear" w:color="auto" w:fill="FFFFFF"/>
            <w:vAlign w:val="center"/>
          </w:tcPr>
          <w:p w14:paraId="4A061253"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Un seul client et un abonnement planifié ; activation à la date prévue et fin correctement calculée.</w:t>
            </w:r>
          </w:p>
        </w:tc>
      </w:tr>
      <w:tr w:rsidR="00805045" w:rsidRPr="00A0638C" w14:paraId="6A3DE4D1" w14:textId="77777777">
        <w:trPr>
          <w:cantSplit/>
          <w:jc w:val="center"/>
        </w:trPr>
        <w:tc>
          <w:tcPr>
            <w:tcW w:w="737" w:type="dxa"/>
            <w:shd w:val="clear" w:color="auto" w:fill="FFFFFF"/>
            <w:vAlign w:val="center"/>
          </w:tcPr>
          <w:p w14:paraId="3DAAF8E9"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R02</w:t>
            </w:r>
          </w:p>
        </w:tc>
        <w:tc>
          <w:tcPr>
            <w:tcW w:w="3969" w:type="dxa"/>
            <w:shd w:val="clear" w:color="auto" w:fill="FFFFFF"/>
            <w:vAlign w:val="center"/>
          </w:tcPr>
          <w:p w14:paraId="631BCFBE"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Paiement partiel puis règlement du solde.</w:t>
            </w:r>
          </w:p>
        </w:tc>
        <w:tc>
          <w:tcPr>
            <w:tcW w:w="4592" w:type="dxa"/>
            <w:shd w:val="clear" w:color="auto" w:fill="FFFFFF"/>
            <w:vAlign w:val="center"/>
          </w:tcPr>
          <w:p w14:paraId="3CFDA8B4"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Dû, reçu, solde et échéance cohérents ; activation et retard traités selon la règle retenue.</w:t>
            </w:r>
          </w:p>
        </w:tc>
      </w:tr>
      <w:tr w:rsidR="00805045" w:rsidRPr="00A0638C" w14:paraId="1D54B61A" w14:textId="77777777">
        <w:trPr>
          <w:cantSplit/>
          <w:jc w:val="center"/>
        </w:trPr>
        <w:tc>
          <w:tcPr>
            <w:tcW w:w="737" w:type="dxa"/>
            <w:shd w:val="clear" w:color="auto" w:fill="FFFFFF"/>
            <w:vAlign w:val="center"/>
          </w:tcPr>
          <w:p w14:paraId="6380278D"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R03</w:t>
            </w:r>
          </w:p>
        </w:tc>
        <w:tc>
          <w:tcPr>
            <w:tcW w:w="3969" w:type="dxa"/>
            <w:shd w:val="clear" w:color="auto" w:fill="FFFFFF"/>
            <w:vAlign w:val="center"/>
          </w:tcPr>
          <w:p w14:paraId="467A2F34"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Deux guichets utilisent simultanément le dernier droit ; nouvel envoi de la même validation.</w:t>
            </w:r>
          </w:p>
        </w:tc>
        <w:tc>
          <w:tcPr>
            <w:tcW w:w="4592" w:type="dxa"/>
            <w:shd w:val="clear" w:color="auto" w:fill="FFFFFF"/>
            <w:vAlign w:val="center"/>
          </w:tcPr>
          <w:p w14:paraId="5871B5B5"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Une seule consommation ; refus explicite de la seconde demande distincte ; aucune duplication au nouvel envoi.</w:t>
            </w:r>
          </w:p>
        </w:tc>
      </w:tr>
      <w:tr w:rsidR="00805045" w:rsidRPr="00A0638C" w14:paraId="7AE152A6" w14:textId="77777777">
        <w:trPr>
          <w:cantSplit/>
          <w:jc w:val="center"/>
        </w:trPr>
        <w:tc>
          <w:tcPr>
            <w:tcW w:w="737" w:type="dxa"/>
            <w:shd w:val="clear" w:color="auto" w:fill="FFFFFF"/>
            <w:vAlign w:val="center"/>
          </w:tcPr>
          <w:p w14:paraId="55DAB2A6"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R04</w:t>
            </w:r>
          </w:p>
        </w:tc>
        <w:tc>
          <w:tcPr>
            <w:tcW w:w="3969" w:type="dxa"/>
            <w:shd w:val="clear" w:color="auto" w:fill="FFFFFF"/>
            <w:vAlign w:val="center"/>
          </w:tcPr>
          <w:p w14:paraId="420474C7"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Formule Repas utilisée au déjeuner puis présentée au dîner.</w:t>
            </w:r>
          </w:p>
        </w:tc>
        <w:tc>
          <w:tcPr>
            <w:tcW w:w="4592" w:type="dxa"/>
            <w:shd w:val="clear" w:color="auto" w:fill="FFFFFF"/>
            <w:vAlign w:val="center"/>
          </w:tcPr>
          <w:p w14:paraId="4000D467"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Second repas bloqué sur ce forfait ; achat supplémentaire possible séparément.</w:t>
            </w:r>
          </w:p>
        </w:tc>
      </w:tr>
      <w:tr w:rsidR="00805045" w:rsidRPr="00A0638C" w14:paraId="4B6355EE" w14:textId="77777777">
        <w:trPr>
          <w:cantSplit/>
          <w:jc w:val="center"/>
        </w:trPr>
        <w:tc>
          <w:tcPr>
            <w:tcW w:w="737" w:type="dxa"/>
            <w:shd w:val="clear" w:color="auto" w:fill="FFFFFF"/>
            <w:vAlign w:val="center"/>
          </w:tcPr>
          <w:p w14:paraId="312CA557"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R05</w:t>
            </w:r>
          </w:p>
        </w:tc>
        <w:tc>
          <w:tcPr>
            <w:tcW w:w="3969" w:type="dxa"/>
            <w:shd w:val="clear" w:color="auto" w:fill="FFFFFF"/>
            <w:vAlign w:val="center"/>
          </w:tcPr>
          <w:p w14:paraId="18CFB7F9"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Code révoqué, abonnement expiré ou suspendu et recherche manuelle.</w:t>
            </w:r>
          </w:p>
        </w:tc>
        <w:tc>
          <w:tcPr>
            <w:tcW w:w="4592" w:type="dxa"/>
            <w:shd w:val="clear" w:color="auto" w:fill="FFFFFF"/>
            <w:vAlign w:val="center"/>
          </w:tcPr>
          <w:p w14:paraId="73D19C3A"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Refus conformes ; aucun contournement par recherche manuelle.</w:t>
            </w:r>
          </w:p>
        </w:tc>
      </w:tr>
      <w:tr w:rsidR="00805045" w:rsidRPr="00A0638C" w14:paraId="7C747CE2" w14:textId="77777777">
        <w:trPr>
          <w:cantSplit/>
          <w:jc w:val="center"/>
        </w:trPr>
        <w:tc>
          <w:tcPr>
            <w:tcW w:w="737" w:type="dxa"/>
            <w:shd w:val="clear" w:color="auto" w:fill="FFFFFF"/>
            <w:vAlign w:val="center"/>
          </w:tcPr>
          <w:p w14:paraId="3CE464DA"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R06</w:t>
            </w:r>
          </w:p>
        </w:tc>
        <w:tc>
          <w:tcPr>
            <w:tcW w:w="3969" w:type="dxa"/>
            <w:shd w:val="clear" w:color="auto" w:fill="FFFFFF"/>
            <w:vAlign w:val="center"/>
          </w:tcPr>
          <w:p w14:paraId="20FDCD6C"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Commande livrée réservant un droit puis remise confirmée deux fois.</w:t>
            </w:r>
          </w:p>
        </w:tc>
        <w:tc>
          <w:tcPr>
            <w:tcW w:w="4592" w:type="dxa"/>
            <w:shd w:val="clear" w:color="auto" w:fill="FFFFFF"/>
            <w:vAlign w:val="center"/>
          </w:tcPr>
          <w:p w14:paraId="43BE73FD"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Droit indisponible au guichet pendant la réservation ; une seule consommation finale.</w:t>
            </w:r>
          </w:p>
        </w:tc>
      </w:tr>
      <w:tr w:rsidR="00805045" w:rsidRPr="00A0638C" w14:paraId="7B579C12" w14:textId="77777777">
        <w:trPr>
          <w:cantSplit/>
          <w:jc w:val="center"/>
        </w:trPr>
        <w:tc>
          <w:tcPr>
            <w:tcW w:w="737" w:type="dxa"/>
            <w:shd w:val="clear" w:color="auto" w:fill="FFFFFF"/>
            <w:vAlign w:val="center"/>
          </w:tcPr>
          <w:p w14:paraId="1BE7F15A"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R07</w:t>
            </w:r>
          </w:p>
        </w:tc>
        <w:tc>
          <w:tcPr>
            <w:tcW w:w="3969" w:type="dxa"/>
            <w:shd w:val="clear" w:color="auto" w:fill="FFFFFF"/>
            <w:vAlign w:val="center"/>
          </w:tcPr>
          <w:p w14:paraId="2C22B7ED"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Vente fictive de 9 700 CDF payée avec 5 USD au taux de test de 2 500 CDF pour 1 USD.</w:t>
            </w:r>
          </w:p>
        </w:tc>
        <w:tc>
          <w:tcPr>
            <w:tcW w:w="4592" w:type="dxa"/>
            <w:shd w:val="clear" w:color="auto" w:fill="FFFFFF"/>
            <w:vAlign w:val="center"/>
          </w:tcPr>
          <w:p w14:paraId="4AF6DBB5"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Reçu à 9 700 CDF ; entrée de 5 USD et rendu de 2 800 CDF ; aucun encaissement dupliqué.</w:t>
            </w:r>
          </w:p>
        </w:tc>
      </w:tr>
      <w:tr w:rsidR="00805045" w:rsidRPr="00A0638C" w14:paraId="41AA6A62" w14:textId="77777777">
        <w:trPr>
          <w:cantSplit/>
          <w:jc w:val="center"/>
        </w:trPr>
        <w:tc>
          <w:tcPr>
            <w:tcW w:w="737" w:type="dxa"/>
            <w:shd w:val="clear" w:color="auto" w:fill="FFFFFF"/>
            <w:vAlign w:val="center"/>
          </w:tcPr>
          <w:p w14:paraId="6B0B5F43"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R08</w:t>
            </w:r>
          </w:p>
        </w:tc>
        <w:tc>
          <w:tcPr>
            <w:tcW w:w="3969" w:type="dxa"/>
            <w:shd w:val="clear" w:color="auto" w:fill="FFFFFF"/>
            <w:vAlign w:val="center"/>
          </w:tcPr>
          <w:p w14:paraId="2E528FF1"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Paiement Mobile Money en attente, confirmé puis notification ou saisie répétée.</w:t>
            </w:r>
          </w:p>
        </w:tc>
        <w:tc>
          <w:tcPr>
            <w:tcW w:w="4592" w:type="dxa"/>
            <w:shd w:val="clear" w:color="auto" w:fill="FFFFFF"/>
            <w:vAlign w:val="center"/>
          </w:tcPr>
          <w:p w14:paraId="3068DB1B"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Aucune recette confirmée avant vérification ; un seul règlement après confirmation.</w:t>
            </w:r>
          </w:p>
        </w:tc>
      </w:tr>
      <w:tr w:rsidR="00805045" w:rsidRPr="00A0638C" w14:paraId="3D1912BF" w14:textId="77777777">
        <w:trPr>
          <w:cantSplit/>
          <w:jc w:val="center"/>
        </w:trPr>
        <w:tc>
          <w:tcPr>
            <w:tcW w:w="737" w:type="dxa"/>
            <w:shd w:val="clear" w:color="auto" w:fill="FFFFFF"/>
            <w:vAlign w:val="center"/>
          </w:tcPr>
          <w:p w14:paraId="41C007B2"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lastRenderedPageBreak/>
              <w:t>R09</w:t>
            </w:r>
          </w:p>
        </w:tc>
        <w:tc>
          <w:tcPr>
            <w:tcW w:w="3969" w:type="dxa"/>
            <w:shd w:val="clear" w:color="auto" w:fill="FFFFFF"/>
            <w:vAlign w:val="center"/>
          </w:tcPr>
          <w:p w14:paraId="7EF4062F"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Changement de prix ou de taux après une vente et une souscription.</w:t>
            </w:r>
          </w:p>
        </w:tc>
        <w:tc>
          <w:tcPr>
            <w:tcW w:w="4592" w:type="dxa"/>
            <w:shd w:val="clear" w:color="auto" w:fill="FFFFFF"/>
            <w:vAlign w:val="center"/>
          </w:tcPr>
          <w:p w14:paraId="729E4710"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Historique inchangé ; nouveaux paramètres appliqués seulement aux opérations concernées.</w:t>
            </w:r>
          </w:p>
        </w:tc>
      </w:tr>
      <w:tr w:rsidR="00805045" w:rsidRPr="00A0638C" w14:paraId="34965E18" w14:textId="77777777">
        <w:trPr>
          <w:cantSplit/>
          <w:jc w:val="center"/>
        </w:trPr>
        <w:tc>
          <w:tcPr>
            <w:tcW w:w="737" w:type="dxa"/>
            <w:shd w:val="clear" w:color="auto" w:fill="FFFFFF"/>
            <w:vAlign w:val="center"/>
          </w:tcPr>
          <w:p w14:paraId="05F0EC74"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R10</w:t>
            </w:r>
          </w:p>
        </w:tc>
        <w:tc>
          <w:tcPr>
            <w:tcW w:w="3969" w:type="dxa"/>
            <w:shd w:val="clear" w:color="auto" w:fill="FFFFFF"/>
            <w:vAlign w:val="center"/>
          </w:tcPr>
          <w:p w14:paraId="06ABC110"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Ouverture, vente, règlement abonné, dépense, remboursement et clôture.</w:t>
            </w:r>
          </w:p>
        </w:tc>
        <w:tc>
          <w:tcPr>
            <w:tcW w:w="4592" w:type="dxa"/>
            <w:shd w:val="clear" w:color="auto" w:fill="FFFFFF"/>
            <w:vAlign w:val="center"/>
          </w:tcPr>
          <w:p w14:paraId="061A28A8"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Espèces et flux numériques rapprochés séparément ; écarts justifiés ; accès direct de la Responsable au rapport.</w:t>
            </w:r>
          </w:p>
        </w:tc>
      </w:tr>
      <w:tr w:rsidR="00805045" w:rsidRPr="00A0638C" w14:paraId="7B16FE89" w14:textId="77777777">
        <w:trPr>
          <w:cantSplit/>
          <w:jc w:val="center"/>
        </w:trPr>
        <w:tc>
          <w:tcPr>
            <w:tcW w:w="737" w:type="dxa"/>
            <w:shd w:val="clear" w:color="auto" w:fill="FFFFFF"/>
            <w:vAlign w:val="center"/>
          </w:tcPr>
          <w:p w14:paraId="07A486E1"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R11</w:t>
            </w:r>
          </w:p>
        </w:tc>
        <w:tc>
          <w:tcPr>
            <w:tcW w:w="3969" w:type="dxa"/>
            <w:shd w:val="clear" w:color="auto" w:fill="FFFFFF"/>
            <w:vAlign w:val="center"/>
          </w:tcPr>
          <w:p w14:paraId="4DD71624"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Caissier tente une remise interdite, un changement de taux ou une correction après clôture.</w:t>
            </w:r>
          </w:p>
        </w:tc>
        <w:tc>
          <w:tcPr>
            <w:tcW w:w="4592" w:type="dxa"/>
            <w:shd w:val="clear" w:color="auto" w:fill="FFFFFF"/>
            <w:vAlign w:val="center"/>
          </w:tcPr>
          <w:p w14:paraId="4F7949F4"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Refus conforme aux droits ; correction autorisée réalisée par régularisation et visible dans le journal.</w:t>
            </w:r>
          </w:p>
        </w:tc>
      </w:tr>
      <w:tr w:rsidR="00805045" w:rsidRPr="00A0638C" w14:paraId="2FD7D22D" w14:textId="77777777">
        <w:trPr>
          <w:cantSplit/>
          <w:jc w:val="center"/>
        </w:trPr>
        <w:tc>
          <w:tcPr>
            <w:tcW w:w="737" w:type="dxa"/>
            <w:shd w:val="clear" w:color="auto" w:fill="FFFFFF"/>
            <w:vAlign w:val="center"/>
          </w:tcPr>
          <w:p w14:paraId="3C2FD95D"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R12</w:t>
            </w:r>
          </w:p>
        </w:tc>
        <w:tc>
          <w:tcPr>
            <w:tcW w:w="3969" w:type="dxa"/>
            <w:shd w:val="clear" w:color="auto" w:fill="FFFFFF"/>
            <w:vAlign w:val="center"/>
          </w:tcPr>
          <w:p w14:paraId="12B2878D"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Coupure Internet, perte du réseau local puis reprise et envois répétés.</w:t>
            </w:r>
          </w:p>
        </w:tc>
        <w:tc>
          <w:tcPr>
            <w:tcW w:w="4592" w:type="dxa"/>
            <w:shd w:val="clear" w:color="auto" w:fill="FFFFFF"/>
            <w:vAlign w:val="center"/>
          </w:tcPr>
          <w:p w14:paraId="6606D9A1"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Mode prévu appliqué ; absence de validations concurrentes non contrôlées ; aucune perte ni duplication des opérations enregistrées.</w:t>
            </w:r>
          </w:p>
        </w:tc>
      </w:tr>
      <w:tr w:rsidR="00805045" w:rsidRPr="00A0638C" w14:paraId="744F5672" w14:textId="77777777">
        <w:trPr>
          <w:cantSplit/>
          <w:jc w:val="center"/>
        </w:trPr>
        <w:tc>
          <w:tcPr>
            <w:tcW w:w="737" w:type="dxa"/>
            <w:shd w:val="clear" w:color="auto" w:fill="FFFFFF"/>
            <w:vAlign w:val="center"/>
          </w:tcPr>
          <w:p w14:paraId="05A6D647"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R13</w:t>
            </w:r>
          </w:p>
        </w:tc>
        <w:tc>
          <w:tcPr>
            <w:tcW w:w="3969" w:type="dxa"/>
            <w:shd w:val="clear" w:color="auto" w:fill="FFFFFF"/>
            <w:vAlign w:val="center"/>
          </w:tcPr>
          <w:p w14:paraId="6C7711AB"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Consultation et export des rapports après ventes, abonnements et repas servis.</w:t>
            </w:r>
          </w:p>
        </w:tc>
        <w:tc>
          <w:tcPr>
            <w:tcW w:w="4592" w:type="dxa"/>
            <w:shd w:val="clear" w:color="auto" w:fill="FFFFFF"/>
            <w:vAlign w:val="center"/>
          </w:tcPr>
          <w:p w14:paraId="2EEDCFF3"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Totaux rapprochables ; repas prépayés non facturés deux fois ; données limitées aux droits du profil.</w:t>
            </w:r>
          </w:p>
        </w:tc>
      </w:tr>
      <w:tr w:rsidR="00805045" w:rsidRPr="00A0638C" w14:paraId="637FA73D" w14:textId="77777777">
        <w:trPr>
          <w:cantSplit/>
          <w:jc w:val="center"/>
        </w:trPr>
        <w:tc>
          <w:tcPr>
            <w:tcW w:w="737" w:type="dxa"/>
            <w:shd w:val="clear" w:color="auto" w:fill="FFFFFF"/>
            <w:vAlign w:val="center"/>
          </w:tcPr>
          <w:p w14:paraId="22B443F5"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R14</w:t>
            </w:r>
          </w:p>
        </w:tc>
        <w:tc>
          <w:tcPr>
            <w:tcW w:w="3969" w:type="dxa"/>
            <w:shd w:val="clear" w:color="auto" w:fill="FFFFFF"/>
            <w:vAlign w:val="center"/>
          </w:tcPr>
          <w:p w14:paraId="789FE13F"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Restauration et parcours sur ordinateur et mobile ; mesures de performance.</w:t>
            </w:r>
          </w:p>
        </w:tc>
        <w:tc>
          <w:tcPr>
            <w:tcW w:w="4592" w:type="dxa"/>
            <w:shd w:val="clear" w:color="auto" w:fill="FFFFFF"/>
            <w:vAlign w:val="center"/>
          </w:tcPr>
          <w:p w14:paraId="28912686"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Données restaurées cohérentes, reçus lisibles et cibles de la section 10 vérifiées selon le protocole convenu.</w:t>
            </w:r>
          </w:p>
        </w:tc>
      </w:tr>
      <w:tr w:rsidR="00805045" w:rsidRPr="00A0638C" w14:paraId="3127CD7C" w14:textId="77777777">
        <w:trPr>
          <w:cantSplit/>
          <w:jc w:val="center"/>
        </w:trPr>
        <w:tc>
          <w:tcPr>
            <w:tcW w:w="737" w:type="dxa"/>
            <w:shd w:val="clear" w:color="auto" w:fill="FFFFFF"/>
            <w:vAlign w:val="center"/>
          </w:tcPr>
          <w:p w14:paraId="333FB0B8"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R15</w:t>
            </w:r>
          </w:p>
        </w:tc>
        <w:tc>
          <w:tcPr>
            <w:tcW w:w="3969" w:type="dxa"/>
            <w:shd w:val="clear" w:color="auto" w:fill="FFFFFF"/>
            <w:vAlign w:val="center"/>
          </w:tcPr>
          <w:p w14:paraId="2D6B495A"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Phase 2 : réception partielle, facture, paiement, production, service et perte.</w:t>
            </w:r>
          </w:p>
        </w:tc>
        <w:tc>
          <w:tcPr>
            <w:tcW w:w="4592" w:type="dxa"/>
            <w:shd w:val="clear" w:color="auto" w:fill="FFFFFF"/>
            <w:vAlign w:val="center"/>
          </w:tcPr>
          <w:p w14:paraId="07E9D89E"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Une seule entrée par réception ; aucune entrée au paiement ; ingrédients déduits une fois ; pertes et stock cohérents.</w:t>
            </w:r>
          </w:p>
        </w:tc>
      </w:tr>
      <w:tr w:rsidR="00805045" w:rsidRPr="00A0638C" w14:paraId="669E9D7C" w14:textId="77777777">
        <w:trPr>
          <w:cantSplit/>
          <w:jc w:val="center"/>
        </w:trPr>
        <w:tc>
          <w:tcPr>
            <w:tcW w:w="737" w:type="dxa"/>
            <w:shd w:val="clear" w:color="auto" w:fill="FFFFFF"/>
            <w:vAlign w:val="center"/>
          </w:tcPr>
          <w:p w14:paraId="5F02EEB4"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R16</w:t>
            </w:r>
          </w:p>
        </w:tc>
        <w:tc>
          <w:tcPr>
            <w:tcW w:w="3969" w:type="dxa"/>
            <w:shd w:val="clear" w:color="auto" w:fill="FFFFFF"/>
            <w:vAlign w:val="center"/>
          </w:tcPr>
          <w:p w14:paraId="0E8C555F"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Phase 2 : inventaire et règlement fournisseur.</w:t>
            </w:r>
          </w:p>
        </w:tc>
        <w:tc>
          <w:tcPr>
            <w:tcW w:w="4592" w:type="dxa"/>
            <w:shd w:val="clear" w:color="auto" w:fill="FFFFFF"/>
            <w:vAlign w:val="center"/>
          </w:tcPr>
          <w:p w14:paraId="38B3D928"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Écart justifié et validé ; dette et sortie financière rapprochées sans double charge.</w:t>
            </w:r>
          </w:p>
        </w:tc>
      </w:tr>
    </w:tbl>
    <w:p w14:paraId="6E0C8299" w14:textId="77777777" w:rsidR="00805045" w:rsidRPr="00A0638C" w:rsidRDefault="00805045" w:rsidP="00A0638C">
      <w:pPr>
        <w:spacing w:after="0" w:line="240" w:lineRule="auto"/>
        <w:jc w:val="both"/>
        <w:rPr>
          <w:rFonts w:ascii="Century Gothic" w:hAnsi="Century Gothic"/>
        </w:rPr>
      </w:pPr>
    </w:p>
    <w:p w14:paraId="70FB1EA4" w14:textId="77777777" w:rsidR="00805045" w:rsidRPr="00A0638C" w:rsidRDefault="00820FD6" w:rsidP="00A0638C">
      <w:pPr>
        <w:pStyle w:val="Titre2"/>
        <w:jc w:val="both"/>
        <w:rPr>
          <w:rFonts w:ascii="Century Gothic" w:hAnsi="Century Gothic"/>
        </w:rPr>
      </w:pPr>
      <w:r w:rsidRPr="00A0638C">
        <w:rPr>
          <w:rFonts w:ascii="Century Gothic" w:hAnsi="Century Gothic"/>
        </w:rPr>
        <w:t>Conditions de réception</w:t>
      </w:r>
    </w:p>
    <w:p w14:paraId="6CD36B8B" w14:textId="77777777" w:rsidR="00805045" w:rsidRPr="00A0638C" w:rsidRDefault="00820FD6" w:rsidP="00A0638C">
      <w:pPr>
        <w:jc w:val="both"/>
        <w:rPr>
          <w:rFonts w:ascii="Century Gothic" w:hAnsi="Century Gothic"/>
        </w:rPr>
      </w:pPr>
      <w:r w:rsidRPr="00A0638C">
        <w:rPr>
          <w:rFonts w:ascii="Century Gothic" w:hAnsi="Century Gothic"/>
        </w:rPr>
        <w:t>Chaque test conserve les données utilisées, le résultat attendu, le résultat constaté, la preuve et le nom du vérificateur. Les tests de phase 2 et les options sont exécutés lors de la réception du lot concerné.</w:t>
      </w:r>
    </w:p>
    <w:p w14:paraId="05D197FB" w14:textId="77777777" w:rsidR="00805045" w:rsidRPr="00A0638C" w:rsidRDefault="00820FD6" w:rsidP="00A0638C">
      <w:pPr>
        <w:jc w:val="both"/>
        <w:rPr>
          <w:rFonts w:ascii="Century Gothic" w:hAnsi="Century Gothic"/>
        </w:rPr>
      </w:pPr>
      <w:r w:rsidRPr="00A0638C">
        <w:rPr>
          <w:rFonts w:ascii="Century Gothic" w:hAnsi="Century Gothic"/>
        </w:rPr>
        <w:t>La réception du socle exige la réussite des contrôles essentiels, l’absence d’anomalie bloquante ou majeure, la restauration testée, la remise des livrables et la formation des utilisateurs clés. Une anomalie touchant les soldes, les droits aux repas, la sécurité ou la perte de transactions ne peut pas être classée mineure au seul motif qu’un contournement existe.</w:t>
      </w:r>
    </w:p>
    <w:p w14:paraId="54C01BA0" w14:textId="77777777" w:rsidR="00805045" w:rsidRPr="00A0638C" w:rsidRDefault="00820FD6" w:rsidP="00A0638C">
      <w:pPr>
        <w:jc w:val="both"/>
        <w:rPr>
          <w:rFonts w:ascii="Century Gothic" w:hAnsi="Century Gothic"/>
        </w:rPr>
      </w:pPr>
      <w:r w:rsidRPr="00A0638C">
        <w:rPr>
          <w:rFonts w:ascii="Century Gothic" w:hAnsi="Century Gothic"/>
        </w:rPr>
        <w:t>Le procès-verbal mentionne les éventuelles réserves mineures, leur responsable et leur délai de correction. La mise en production est autorisée après vérification des paramètres réels, des comptes, des soldes de départ et de la procédure de reprise. La réception définitive suit les conditions et la période d’observation prévues au contrat.</w:t>
      </w:r>
      <w:bookmarkStart w:id="17" w:name="_GoBack"/>
      <w:bookmarkEnd w:id="17"/>
    </w:p>
    <w:p w14:paraId="68F09FBD" w14:textId="77777777" w:rsidR="00805045" w:rsidRPr="00A0638C" w:rsidRDefault="00663C17" w:rsidP="00A0638C">
      <w:pPr>
        <w:pStyle w:val="Titre1"/>
        <w:jc w:val="both"/>
        <w:rPr>
          <w:rFonts w:ascii="Century Gothic" w:hAnsi="Century Gothic"/>
        </w:rPr>
      </w:pPr>
      <w:bookmarkStart w:id="18" w:name="Section13"/>
      <w:r>
        <w:rPr>
          <w:rFonts w:ascii="Century Gothic" w:hAnsi="Century Gothic"/>
        </w:rPr>
        <w:lastRenderedPageBreak/>
        <w:t xml:space="preserve">13. </w:t>
      </w:r>
      <w:r w:rsidR="00820FD6" w:rsidRPr="00A0638C">
        <w:rPr>
          <w:rFonts w:ascii="Century Gothic" w:hAnsi="Century Gothic"/>
        </w:rPr>
        <w:t>Paramètres à valider et approbation</w:t>
      </w:r>
      <w:bookmarkEnd w:id="18"/>
    </w:p>
    <w:p w14:paraId="722D14F6" w14:textId="77777777" w:rsidR="00805045" w:rsidRPr="00A0638C" w:rsidRDefault="00820FD6" w:rsidP="00A0638C">
      <w:pPr>
        <w:jc w:val="both"/>
        <w:rPr>
          <w:rFonts w:ascii="Century Gothic" w:hAnsi="Century Gothic"/>
        </w:rPr>
      </w:pPr>
      <w:r w:rsidRPr="00A0638C">
        <w:rPr>
          <w:rFonts w:ascii="Century Gothic" w:hAnsi="Century Gothic"/>
        </w:rPr>
        <w:t>Les décisions suivantes doivent être consignées avant le paramétrage définitif. Elles précisent les modalités commerciales et d’exploitation ; elles ne remettent pas en cause les exigences de traçabilité et de cohérence du présent document.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110" w:type="dxa"/>
          <w:bottom w:w="95" w:type="dxa"/>
          <w:right w:w="110" w:type="dxa"/>
        </w:tblCellMar>
        <w:tblLook w:val="04A0" w:firstRow="1" w:lastRow="0" w:firstColumn="1" w:lastColumn="0" w:noHBand="0" w:noVBand="1"/>
      </w:tblPr>
      <w:tblGrid>
        <w:gridCol w:w="1701"/>
        <w:gridCol w:w="5329"/>
        <w:gridCol w:w="2268"/>
      </w:tblGrid>
      <w:tr w:rsidR="00805045" w:rsidRPr="00A0638C" w14:paraId="6A11CE7A" w14:textId="77777777">
        <w:trPr>
          <w:cantSplit/>
          <w:tblHeader/>
          <w:jc w:val="center"/>
        </w:trPr>
        <w:tc>
          <w:tcPr>
            <w:tcW w:w="1701" w:type="dxa"/>
            <w:shd w:val="clear" w:color="auto" w:fill="E5EAF0"/>
            <w:vAlign w:val="center"/>
          </w:tcPr>
          <w:p w14:paraId="468A1282" w14:textId="77777777" w:rsidR="00805045" w:rsidRPr="00A0638C" w:rsidRDefault="00820FD6" w:rsidP="00A0638C">
            <w:pPr>
              <w:keepNext/>
              <w:spacing w:before="40" w:after="40" w:line="245" w:lineRule="auto"/>
              <w:jc w:val="both"/>
              <w:rPr>
                <w:rFonts w:ascii="Century Gothic" w:hAnsi="Century Gothic"/>
              </w:rPr>
            </w:pPr>
            <w:r w:rsidRPr="00A0638C">
              <w:rPr>
                <w:rFonts w:ascii="Century Gothic" w:hAnsi="Century Gothic"/>
                <w:b/>
                <w:sz w:val="20"/>
              </w:rPr>
              <w:t>Point</w:t>
            </w:r>
          </w:p>
        </w:tc>
        <w:tc>
          <w:tcPr>
            <w:tcW w:w="5329" w:type="dxa"/>
            <w:shd w:val="clear" w:color="auto" w:fill="E5EAF0"/>
            <w:vAlign w:val="center"/>
          </w:tcPr>
          <w:p w14:paraId="39F4E9DB" w14:textId="77777777" w:rsidR="00805045" w:rsidRPr="00A0638C" w:rsidRDefault="00820FD6" w:rsidP="00A0638C">
            <w:pPr>
              <w:keepNext/>
              <w:spacing w:before="40" w:after="40" w:line="245" w:lineRule="auto"/>
              <w:jc w:val="both"/>
              <w:rPr>
                <w:rFonts w:ascii="Century Gothic" w:hAnsi="Century Gothic"/>
              </w:rPr>
            </w:pPr>
            <w:r w:rsidRPr="00A0638C">
              <w:rPr>
                <w:rFonts w:ascii="Century Gothic" w:hAnsi="Century Gothic"/>
                <w:b/>
                <w:sz w:val="20"/>
              </w:rPr>
              <w:t>Décision attendue</w:t>
            </w:r>
          </w:p>
        </w:tc>
        <w:tc>
          <w:tcPr>
            <w:tcW w:w="2268" w:type="dxa"/>
            <w:shd w:val="clear" w:color="auto" w:fill="E5EAF0"/>
            <w:vAlign w:val="center"/>
          </w:tcPr>
          <w:p w14:paraId="03BC4E3B" w14:textId="77777777" w:rsidR="00805045" w:rsidRPr="00A0638C" w:rsidRDefault="00820FD6" w:rsidP="00A0638C">
            <w:pPr>
              <w:keepNext/>
              <w:spacing w:before="40" w:after="40" w:line="245" w:lineRule="auto"/>
              <w:jc w:val="both"/>
              <w:rPr>
                <w:rFonts w:ascii="Century Gothic" w:hAnsi="Century Gothic"/>
              </w:rPr>
            </w:pPr>
            <w:r w:rsidRPr="00A0638C">
              <w:rPr>
                <w:rFonts w:ascii="Century Gothic" w:hAnsi="Century Gothic"/>
                <w:b/>
                <w:sz w:val="20"/>
              </w:rPr>
              <w:t>Responsable</w:t>
            </w:r>
          </w:p>
        </w:tc>
      </w:tr>
      <w:tr w:rsidR="00805045" w:rsidRPr="00A0638C" w14:paraId="757BB725" w14:textId="77777777">
        <w:trPr>
          <w:cantSplit/>
          <w:jc w:val="center"/>
        </w:trPr>
        <w:tc>
          <w:tcPr>
            <w:tcW w:w="1701" w:type="dxa"/>
            <w:shd w:val="clear" w:color="auto" w:fill="FFFFFF"/>
            <w:vAlign w:val="center"/>
          </w:tcPr>
          <w:p w14:paraId="482AFC21"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Clientèle et catalogue</w:t>
            </w:r>
          </w:p>
        </w:tc>
        <w:tc>
          <w:tcPr>
            <w:tcW w:w="5329" w:type="dxa"/>
            <w:shd w:val="clear" w:color="auto" w:fill="FFFFFF"/>
            <w:vAlign w:val="center"/>
          </w:tcPr>
          <w:p w14:paraId="341767B7"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Catégories autorisées sur le campus, articles proposés et tarifs des boissons et compléments.</w:t>
            </w:r>
          </w:p>
        </w:tc>
        <w:tc>
          <w:tcPr>
            <w:tcW w:w="2268" w:type="dxa"/>
            <w:shd w:val="clear" w:color="auto" w:fill="FFFFFF"/>
            <w:vAlign w:val="center"/>
          </w:tcPr>
          <w:p w14:paraId="00F29646"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Direction JAMI FOOD, avec ULC si nécessaire</w:t>
            </w:r>
          </w:p>
        </w:tc>
      </w:tr>
      <w:tr w:rsidR="00805045" w:rsidRPr="00A0638C" w14:paraId="0E25AFDC" w14:textId="77777777">
        <w:trPr>
          <w:cantSplit/>
          <w:jc w:val="center"/>
        </w:trPr>
        <w:tc>
          <w:tcPr>
            <w:tcW w:w="1701" w:type="dxa"/>
            <w:shd w:val="clear" w:color="auto" w:fill="FFFFFF"/>
            <w:vAlign w:val="center"/>
          </w:tcPr>
          <w:p w14:paraId="262DFDBB"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Formules</w:t>
            </w:r>
          </w:p>
        </w:tc>
        <w:tc>
          <w:tcPr>
            <w:tcW w:w="5329" w:type="dxa"/>
            <w:shd w:val="clear" w:color="auto" w:fill="FFFFFF"/>
            <w:vAlign w:val="center"/>
          </w:tcPr>
          <w:p w14:paraId="4D6BB48B"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Confirmation des prix 140, 110, 60 et 40 USD ; jours de service, livraison incluse et contenu des offres Flex.</w:t>
            </w:r>
          </w:p>
        </w:tc>
        <w:tc>
          <w:tcPr>
            <w:tcW w:w="2268" w:type="dxa"/>
            <w:shd w:val="clear" w:color="auto" w:fill="FFFFFF"/>
            <w:vAlign w:val="center"/>
          </w:tcPr>
          <w:p w14:paraId="37FA0885"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Direction JAMI FOOD</w:t>
            </w:r>
          </w:p>
        </w:tc>
      </w:tr>
      <w:tr w:rsidR="00805045" w:rsidRPr="00A0638C" w14:paraId="1575D9E2" w14:textId="77777777">
        <w:trPr>
          <w:cantSplit/>
          <w:jc w:val="center"/>
        </w:trPr>
        <w:tc>
          <w:tcPr>
            <w:tcW w:w="1701" w:type="dxa"/>
            <w:shd w:val="clear" w:color="auto" w:fill="FFFFFF"/>
            <w:vAlign w:val="center"/>
          </w:tcPr>
          <w:p w14:paraId="56D840B8"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Droits et absences</w:t>
            </w:r>
          </w:p>
        </w:tc>
        <w:tc>
          <w:tcPr>
            <w:tcW w:w="5329" w:type="dxa"/>
            <w:shd w:val="clear" w:color="auto" w:fill="FFFFFF"/>
            <w:vAlign w:val="center"/>
          </w:tcPr>
          <w:p w14:paraId="4137BCB8"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Reports, jours fermés, suspensions, prolongations, cumul de formules et annulations après préparation.</w:t>
            </w:r>
          </w:p>
        </w:tc>
        <w:tc>
          <w:tcPr>
            <w:tcW w:w="2268" w:type="dxa"/>
            <w:shd w:val="clear" w:color="auto" w:fill="FFFFFF"/>
            <w:vAlign w:val="center"/>
          </w:tcPr>
          <w:p w14:paraId="124FAB93"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Direction et Responsable</w:t>
            </w:r>
          </w:p>
        </w:tc>
      </w:tr>
      <w:tr w:rsidR="00805045" w:rsidRPr="00A0638C" w14:paraId="54D4B663" w14:textId="77777777">
        <w:trPr>
          <w:cantSplit/>
          <w:jc w:val="center"/>
        </w:trPr>
        <w:tc>
          <w:tcPr>
            <w:tcW w:w="1701" w:type="dxa"/>
            <w:shd w:val="clear" w:color="auto" w:fill="FFFFFF"/>
            <w:vAlign w:val="center"/>
          </w:tcPr>
          <w:p w14:paraId="65345E68"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Paiements</w:t>
            </w:r>
          </w:p>
        </w:tc>
        <w:tc>
          <w:tcPr>
            <w:tcW w:w="5329" w:type="dxa"/>
            <w:shd w:val="clear" w:color="auto" w:fill="FFFFFF"/>
            <w:vAlign w:val="center"/>
          </w:tcPr>
          <w:p w14:paraId="2516BB89"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Acompte minimal, échéances, retards, remboursements, moyens acceptés et encaissement à la livraison.</w:t>
            </w:r>
          </w:p>
        </w:tc>
        <w:tc>
          <w:tcPr>
            <w:tcW w:w="2268" w:type="dxa"/>
            <w:shd w:val="clear" w:color="auto" w:fill="FFFFFF"/>
            <w:vAlign w:val="center"/>
          </w:tcPr>
          <w:p w14:paraId="742544FE"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Direction et référent financier</w:t>
            </w:r>
          </w:p>
        </w:tc>
      </w:tr>
      <w:tr w:rsidR="00805045" w:rsidRPr="00A0638C" w14:paraId="5E89B2E0" w14:textId="77777777">
        <w:trPr>
          <w:cantSplit/>
          <w:jc w:val="center"/>
        </w:trPr>
        <w:tc>
          <w:tcPr>
            <w:tcW w:w="1701" w:type="dxa"/>
            <w:shd w:val="clear" w:color="auto" w:fill="FFFFFF"/>
            <w:vAlign w:val="center"/>
          </w:tcPr>
          <w:p w14:paraId="7F65E660"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Devises et rapports</w:t>
            </w:r>
          </w:p>
        </w:tc>
        <w:tc>
          <w:tcPr>
            <w:tcW w:w="5329" w:type="dxa"/>
            <w:shd w:val="clear" w:color="auto" w:fill="FFFFFF"/>
            <w:vAlign w:val="center"/>
          </w:tcPr>
          <w:p w14:paraId="0343FF18"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Source du taux, délégation, arrondis, devise de synthèse et méthode de reconnaissance des produits.</w:t>
            </w:r>
          </w:p>
        </w:tc>
        <w:tc>
          <w:tcPr>
            <w:tcW w:w="2268" w:type="dxa"/>
            <w:shd w:val="clear" w:color="auto" w:fill="FFFFFF"/>
            <w:vAlign w:val="center"/>
          </w:tcPr>
          <w:p w14:paraId="629DE5E7"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Direction et référent financier</w:t>
            </w:r>
          </w:p>
        </w:tc>
      </w:tr>
      <w:tr w:rsidR="00805045" w:rsidRPr="00A0638C" w14:paraId="4E32E425" w14:textId="77777777">
        <w:trPr>
          <w:cantSplit/>
          <w:jc w:val="center"/>
        </w:trPr>
        <w:tc>
          <w:tcPr>
            <w:tcW w:w="1701" w:type="dxa"/>
            <w:shd w:val="clear" w:color="auto" w:fill="FFFFFF"/>
            <w:vAlign w:val="center"/>
          </w:tcPr>
          <w:p w14:paraId="63A011B1"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Organisation du service</w:t>
            </w:r>
          </w:p>
        </w:tc>
        <w:tc>
          <w:tcPr>
            <w:tcW w:w="5329" w:type="dxa"/>
            <w:shd w:val="clear" w:color="auto" w:fill="FFFFFF"/>
            <w:vAlign w:val="center"/>
          </w:tcPr>
          <w:p w14:paraId="0ED396BC"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Horaires, délais de réservation, zones, points de remise et responsabilités de validation.</w:t>
            </w:r>
          </w:p>
        </w:tc>
        <w:tc>
          <w:tcPr>
            <w:tcW w:w="2268" w:type="dxa"/>
            <w:shd w:val="clear" w:color="auto" w:fill="FFFFFF"/>
            <w:vAlign w:val="center"/>
          </w:tcPr>
          <w:p w14:paraId="664A5F32"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Responsable du restaurant</w:t>
            </w:r>
          </w:p>
        </w:tc>
      </w:tr>
      <w:tr w:rsidR="00805045" w:rsidRPr="00A0638C" w14:paraId="0F3D2489" w14:textId="77777777">
        <w:trPr>
          <w:cantSplit/>
          <w:jc w:val="center"/>
        </w:trPr>
        <w:tc>
          <w:tcPr>
            <w:tcW w:w="1701" w:type="dxa"/>
            <w:shd w:val="clear" w:color="auto" w:fill="FFFFFF"/>
            <w:vAlign w:val="center"/>
          </w:tcPr>
          <w:p w14:paraId="11673743"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Continuité et capacité</w:t>
            </w:r>
          </w:p>
        </w:tc>
        <w:tc>
          <w:tcPr>
            <w:tcW w:w="5329" w:type="dxa"/>
            <w:shd w:val="clear" w:color="auto" w:fill="FFFFFF"/>
            <w:vAlign w:val="center"/>
          </w:tcPr>
          <w:p w14:paraId="3FBFB452"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Terminaux, réseau, alimentation, volumes, mode dégradé, sauvegardes et objectifs de reprise.</w:t>
            </w:r>
          </w:p>
        </w:tc>
        <w:tc>
          <w:tcPr>
            <w:tcW w:w="2268" w:type="dxa"/>
            <w:shd w:val="clear" w:color="auto" w:fill="FFFFFF"/>
            <w:vAlign w:val="center"/>
          </w:tcPr>
          <w:p w14:paraId="3875835C"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JAMI FOOD et prestataire</w:t>
            </w:r>
          </w:p>
        </w:tc>
      </w:tr>
      <w:tr w:rsidR="00805045" w:rsidRPr="00A0638C" w14:paraId="636DDB63" w14:textId="77777777">
        <w:trPr>
          <w:cantSplit/>
          <w:jc w:val="center"/>
        </w:trPr>
        <w:tc>
          <w:tcPr>
            <w:tcW w:w="1701" w:type="dxa"/>
            <w:shd w:val="clear" w:color="auto" w:fill="FFFFFF"/>
            <w:vAlign w:val="center"/>
          </w:tcPr>
          <w:p w14:paraId="37AF5384"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Périmètre et contrat</w:t>
            </w:r>
          </w:p>
        </w:tc>
        <w:tc>
          <w:tcPr>
            <w:tcW w:w="5329" w:type="dxa"/>
            <w:shd w:val="clear" w:color="auto" w:fill="FFFFFF"/>
            <w:vAlign w:val="center"/>
          </w:tcPr>
          <w:p w14:paraId="5C23CE30"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Phases retenues, options, budget, délais, maintenance, droits sur le code et conservation des données.</w:t>
            </w:r>
          </w:p>
        </w:tc>
        <w:tc>
          <w:tcPr>
            <w:tcW w:w="2268" w:type="dxa"/>
            <w:shd w:val="clear" w:color="auto" w:fill="FFFFFF"/>
            <w:vAlign w:val="center"/>
          </w:tcPr>
          <w:p w14:paraId="64A9DC1B" w14:textId="77777777" w:rsidR="00805045" w:rsidRPr="00A0638C" w:rsidRDefault="00820FD6" w:rsidP="00A0638C">
            <w:pPr>
              <w:spacing w:before="40" w:after="40" w:line="245" w:lineRule="auto"/>
              <w:jc w:val="both"/>
              <w:rPr>
                <w:rFonts w:ascii="Century Gothic" w:hAnsi="Century Gothic"/>
              </w:rPr>
            </w:pPr>
            <w:r w:rsidRPr="00A0638C">
              <w:rPr>
                <w:rFonts w:ascii="Century Gothic" w:hAnsi="Century Gothic"/>
                <w:sz w:val="20"/>
              </w:rPr>
              <w:t>Direction et prestataire</w:t>
            </w:r>
          </w:p>
        </w:tc>
      </w:tr>
    </w:tbl>
    <w:p w14:paraId="08864E2B" w14:textId="77777777" w:rsidR="00805045" w:rsidRPr="00A0638C" w:rsidRDefault="00805045" w:rsidP="00A0638C">
      <w:pPr>
        <w:spacing w:after="0" w:line="240" w:lineRule="auto"/>
        <w:jc w:val="both"/>
        <w:rPr>
          <w:rFonts w:ascii="Century Gothic" w:hAnsi="Century Gothic"/>
        </w:rPr>
      </w:pPr>
    </w:p>
    <w:p w14:paraId="23717BFF" w14:textId="77777777" w:rsidR="00805045" w:rsidRPr="00A0638C" w:rsidRDefault="00820FD6" w:rsidP="00A0638C">
      <w:pPr>
        <w:jc w:val="both"/>
        <w:rPr>
          <w:rFonts w:ascii="Century Gothic" w:hAnsi="Century Gothic"/>
        </w:rPr>
      </w:pPr>
      <w:r w:rsidRPr="00A0638C">
        <w:rPr>
          <w:rFonts w:ascii="Century Gothic" w:hAnsi="Century Gothic"/>
        </w:rPr>
        <w:t>L’approbation porte sur le présent cahier des charges, la grille commerciale retenue, le périmètre de chaque phase et les décisions de paramétrage. Les offres du prestataire doivent identifier toute réserve ou dérogation avant contractualisation.</w:t>
      </w:r>
    </w:p>
    <w:p w14:paraId="53AEBE33" w14:textId="77777777" w:rsidR="00805045" w:rsidRDefault="00820FD6">
      <w:r>
        <w:t xml:space="preserve"> </w:t>
      </w:r>
    </w:p>
    <w:sectPr w:rsidR="00805045" w:rsidSect="00034616">
      <w:headerReference w:type="default" r:id="rId10"/>
      <w:footerReference w:type="default" r:id="rId11"/>
      <w:pgSz w:w="11906" w:h="16838"/>
      <w:pgMar w:top="1191" w:right="1304" w:bottom="1134" w:left="1304" w:header="510" w:footer="567"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Révision fonctionnelle" w:date="2026-09-24T15:11:00Z" w:initials="RF">
    <w:p w14:paraId="36C345B9" w14:textId="77777777" w:rsidR="00820FD6" w:rsidRDefault="00820FD6">
      <w:r>
        <w:annotationRef/>
      </w:r>
      <w:r>
        <w:t>Les deux ensembles de spécifications et les précisions finales du document initial sont regroupés dans une structure unique. Les fonctionnalités sont réparties par phase afin de permettre un chiffrage et une recette sans doublons.</w:t>
      </w:r>
    </w:p>
  </w:comment>
  <w:comment w:id="4" w:author="Révision fonctionnelle" w:date="2026-09-24T15:11:00Z" w:initials="RF">
    <w:p w14:paraId="7C5692F6" w14:textId="77777777" w:rsidR="00820FD6" w:rsidRDefault="00820FD6">
      <w:r>
        <w:annotationRef/>
      </w:r>
      <w:r>
        <w:t>Clarification commerciale : la vente à l’unité à 8 000 CDF est distinguée de la formule Flex, décrite aussi comme une offre sur devis. Les tarifs du fichier sont conservés ; les modalités non arrêtées figurent parmi les décisions à valider.</w:t>
      </w:r>
    </w:p>
  </w:comment>
  <w:comment w:id="10" w:author="Révision fonctionnelle" w:date="2026-09-24T15:11:00Z" w:initials="RF">
    <w:p w14:paraId="2050CF85" w14:textId="77777777" w:rsidR="00820FD6" w:rsidRDefault="00820FD6">
      <w:r>
        <w:annotationRef/>
      </w:r>
      <w:r>
        <w:t>La déduction est rattachée à la production pour suivre les matières réellement engagées, y compris les portions non servies. Cette règle remplace les déclenchements contradictoires au paiement et à la validation du repas, sources de double déstockage.</w:t>
      </w:r>
    </w:p>
  </w:comment>
  <w:comment w:id="12" w:author="Révision fonctionnelle" w:date="2026-09-24T15:11:00Z" w:initials="RF">
    <w:p w14:paraId="5735E760" w14:textId="77777777" w:rsidR="00820FD6" w:rsidRDefault="00820FD6">
      <w:r>
        <w:annotationRef/>
      </w:r>
      <w:r>
        <w:t>Les indicateurs séparent ventes, encaissements et consommations afin d’éviter de compter une seconde recette lors de la remise d’un repas déjà payé dans un abonnement.</w:t>
      </w:r>
    </w:p>
  </w:comment>
  <w:comment w:id="14" w:author="Révision fonctionnelle" w:date="2026-09-24T15:11:00Z" w:initials="RF">
    <w:p w14:paraId="49FA2158" w14:textId="77777777" w:rsidR="00820FD6" w:rsidRDefault="00820FD6">
      <w:r>
        <w:annotationRef/>
      </w:r>
      <w:r>
        <w:t>La continuité hors connexion distingue une coupure Internet d’un isolement des terminaux. La garantie de non-duplication nécessite un état commun ou un poste de secours unique ; la seule synchronisation ultérieure ne suffit pas.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6C345B9" w15:done="0"/>
  <w15:commentEx w15:paraId="7C5692F6" w15:done="0"/>
  <w15:commentEx w15:paraId="2050CF85" w15:done="0"/>
  <w15:commentEx w15:paraId="5735E760" w15:done="0"/>
  <w15:commentEx w15:paraId="49FA215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087DCC" w14:textId="77777777" w:rsidR="00E73A0E" w:rsidRDefault="00E73A0E">
      <w:pPr>
        <w:spacing w:after="0" w:line="240" w:lineRule="auto"/>
      </w:pPr>
      <w:r>
        <w:separator/>
      </w:r>
    </w:p>
  </w:endnote>
  <w:endnote w:type="continuationSeparator" w:id="0">
    <w:p w14:paraId="6CF172C1" w14:textId="77777777" w:rsidR="00E73A0E" w:rsidRDefault="00E73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3DA3A6" w14:textId="77777777" w:rsidR="00820FD6" w:rsidRDefault="00820FD6">
    <w:pPr>
      <w:pStyle w:val="Pieddepage"/>
      <w:jc w:val="right"/>
    </w:pPr>
    <w:r>
      <w:rPr>
        <w:sz w:val="18"/>
      </w:rPr>
      <w:t xml:space="preserve">Version 3.0  •  Septembre 2026     |     Page </w:t>
    </w:r>
    <w:r>
      <w:fldChar w:fldCharType="begin"/>
    </w:r>
    <w:r>
      <w:instrText>PAGE</w:instrText>
    </w:r>
    <w:r>
      <w:fldChar w:fldCharType="separate"/>
    </w:r>
    <w:r w:rsidR="00967CE6">
      <w:rPr>
        <w:noProof/>
      </w:rPr>
      <w:t>6</w:t>
    </w:r>
    <w:r>
      <w:fldChar w:fldCharType="end"/>
    </w:r>
    <w:r>
      <w:rPr>
        <w:sz w:val="18"/>
      </w:rPr>
      <w:t xml:space="preserve"> sur </w:t>
    </w:r>
    <w:r>
      <w:fldChar w:fldCharType="begin"/>
    </w:r>
    <w:r>
      <w:instrText>NUMPAGES</w:instrText>
    </w:r>
    <w:r>
      <w:fldChar w:fldCharType="separate"/>
    </w:r>
    <w:r w:rsidR="00967CE6">
      <w:rPr>
        <w:noProof/>
      </w:rPr>
      <w:t>16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C048CB" w14:textId="77777777" w:rsidR="00E73A0E" w:rsidRDefault="00E73A0E">
      <w:pPr>
        <w:spacing w:after="0" w:line="240" w:lineRule="auto"/>
      </w:pPr>
      <w:r>
        <w:separator/>
      </w:r>
    </w:p>
  </w:footnote>
  <w:footnote w:type="continuationSeparator" w:id="0">
    <w:p w14:paraId="0E8F733F" w14:textId="77777777" w:rsidR="00E73A0E" w:rsidRDefault="00E73A0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4569C2" w14:textId="77777777" w:rsidR="00820FD6" w:rsidRDefault="00820FD6">
    <w:pPr>
      <w:pStyle w:val="En-tte"/>
    </w:pPr>
    <w:r>
      <w:rPr>
        <w:sz w:val="18"/>
      </w:rPr>
      <w:t>JAMI FOOD  |  Gestion du restaurant étudiant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nsid w:val="29E02521"/>
    <w:multiLevelType w:val="multilevel"/>
    <w:tmpl w:val="EF8C8684"/>
    <w:lvl w:ilvl="0">
      <w:start w:val="1"/>
      <w:numFmt w:val="decimal"/>
      <w:lvlText w:val="%1."/>
      <w:lvlJc w:val="left"/>
      <w:pPr>
        <w:ind w:left="720" w:hanging="360"/>
      </w:pPr>
      <w:rPr>
        <w:rFonts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E3F5A"/>
    <w:rsid w:val="00663C17"/>
    <w:rsid w:val="00805045"/>
    <w:rsid w:val="00820FD6"/>
    <w:rsid w:val="00967CE6"/>
    <w:rsid w:val="00A0638C"/>
    <w:rsid w:val="00AA1D8D"/>
    <w:rsid w:val="00B47730"/>
    <w:rsid w:val="00CB0664"/>
    <w:rsid w:val="00E73A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82393"/>
  <w14:defaultImageDpi w14:val="300"/>
  <w15:docId w15:val="{9B69ABB6-44AF-4599-A173-6AE008EA7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59" w:lineRule="auto"/>
    </w:pPr>
    <w:rPr>
      <w:rFonts w:ascii="Calibri" w:eastAsia="Calibri" w:hAnsi="Calibri"/>
      <w:color w:val="000000"/>
    </w:rPr>
  </w:style>
  <w:style w:type="paragraph" w:styleId="Titre1">
    <w:name w:val="heading 1"/>
    <w:basedOn w:val="Normal"/>
    <w:next w:val="Normal"/>
    <w:link w:val="Titre1Car"/>
    <w:uiPriority w:val="9"/>
    <w:qFormat/>
    <w:rsid w:val="00FC693F"/>
    <w:pPr>
      <w:keepNext/>
      <w:keepLines/>
      <w:spacing w:before="300" w:after="160" w:line="252" w:lineRule="auto"/>
      <w:outlineLvl w:val="0"/>
    </w:pPr>
    <w:rPr>
      <w:rFonts w:asciiTheme="majorHAnsi" w:eastAsiaTheme="majorEastAsia" w:hAnsiTheme="majorHAnsi" w:cstheme="majorBidi"/>
      <w:b/>
      <w:bCs/>
      <w:sz w:val="30"/>
      <w:szCs w:val="28"/>
    </w:rPr>
  </w:style>
  <w:style w:type="paragraph" w:styleId="Titre2">
    <w:name w:val="heading 2"/>
    <w:basedOn w:val="Normal"/>
    <w:next w:val="Normal"/>
    <w:link w:val="Titre2Car"/>
    <w:uiPriority w:val="9"/>
    <w:unhideWhenUsed/>
    <w:qFormat/>
    <w:rsid w:val="00FC693F"/>
    <w:pPr>
      <w:keepNext/>
      <w:keepLines/>
      <w:spacing w:before="200" w:after="100" w:line="252" w:lineRule="auto"/>
      <w:outlineLvl w:val="1"/>
    </w:pPr>
    <w:rPr>
      <w:rFonts w:asciiTheme="majorHAnsi" w:eastAsiaTheme="majorEastAsia" w:hAnsiTheme="majorHAnsi" w:cstheme="majorBidi"/>
      <w:b/>
      <w:bCs/>
      <w:sz w:val="24"/>
      <w:szCs w:val="26"/>
    </w:rPr>
  </w:style>
  <w:style w:type="paragraph" w:styleId="Titre3">
    <w:name w:val="heading 3"/>
    <w:basedOn w:val="Normal"/>
    <w:next w:val="Normal"/>
    <w:link w:val="Titre3Car"/>
    <w:uiPriority w:val="9"/>
    <w:unhideWhenUsed/>
    <w:qFormat/>
    <w:rsid w:val="00FC693F"/>
    <w:pPr>
      <w:keepNext/>
      <w:keepLines/>
      <w:spacing w:before="160" w:after="80" w:line="252" w:lineRule="auto"/>
      <w:outlineLvl w:val="2"/>
    </w:pPr>
    <w:rPr>
      <w:rFonts w:asciiTheme="majorHAnsi" w:eastAsiaTheme="majorEastAsia" w:hAnsiTheme="majorHAnsi" w:cstheme="majorBidi"/>
      <w:b/>
      <w:bCs/>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keepLines/>
      <w:spacing w:after="240" w:line="252" w:lineRule="auto"/>
      <w:contextualSpacing/>
    </w:pPr>
    <w:rPr>
      <w:rFonts w:asciiTheme="majorHAnsi" w:eastAsiaTheme="majorEastAsia" w:hAnsiTheme="majorHAnsi" w:cstheme="majorBidi"/>
      <w:spacing w:val="5"/>
      <w:kern w:val="28"/>
      <w:sz w:val="4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keepNext/>
      <w:keepLines/>
      <w:numPr>
        <w:ilvl w:val="1"/>
      </w:numPr>
      <w:spacing w:after="200" w:line="252" w:lineRule="auto"/>
    </w:pPr>
    <w:rPr>
      <w:rFonts w:asciiTheme="majorHAnsi" w:eastAsiaTheme="majorEastAsia" w:hAnsiTheme="majorHAnsi" w:cstheme="majorBidi"/>
      <w:i/>
      <w:iCs/>
      <w:spacing w:val="15"/>
      <w:sz w:val="28"/>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tabs>
        <w:tab w:val="clear" w:pos="360"/>
        <w:tab w:val="left" w:pos="369"/>
      </w:tabs>
      <w:spacing w:after="80" w:line="254" w:lineRule="auto"/>
      <w:ind w:left="369" w:hanging="198"/>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tabs>
        <w:tab w:val="clear" w:pos="360"/>
        <w:tab w:val="left" w:pos="369"/>
      </w:tabs>
      <w:spacing w:after="80" w:line="254" w:lineRule="auto"/>
      <w:ind w:left="369" w:hanging="198"/>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rFonts w:ascii="Calibri" w:eastAsia="Calibri" w:hAnsi="Calibri"/>
      <w:color w:val="000000"/>
      <w:sz w:val="20"/>
      <w:szCs w:val="20"/>
    </w:rPr>
  </w:style>
  <w:style w:type="character" w:styleId="Marquedecommentaire">
    <w:name w:val="annotation reference"/>
    <w:basedOn w:val="Policepardfaut"/>
    <w:uiPriority w:val="99"/>
    <w:semiHidden/>
    <w:unhideWhenUsed/>
    <w:rPr>
      <w:sz w:val="16"/>
      <w:szCs w:val="16"/>
    </w:rPr>
  </w:style>
  <w:style w:type="paragraph" w:styleId="Textedebulles">
    <w:name w:val="Balloon Text"/>
    <w:basedOn w:val="Normal"/>
    <w:link w:val="TextedebullesCar"/>
    <w:uiPriority w:val="99"/>
    <w:semiHidden/>
    <w:unhideWhenUsed/>
    <w:rsid w:val="004E3F5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E3F5A"/>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5353A3-709E-412D-BD35-2B2EB01F6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6275</Words>
  <Characters>34516</Characters>
  <Application>Microsoft Office Word</Application>
  <DocSecurity>0</DocSecurity>
  <Lines>287</Lines>
  <Paragraphs>81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Cahier des charges fonctionnel de JAMI FOOD</vt:lpstr>
      <vt:lpstr/>
    </vt:vector>
  </TitlesOfParts>
  <Manager/>
  <Company/>
  <LinksUpToDate>false</LinksUpToDate>
  <CharactersWithSpaces>40710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fonctionnel de JAMI FOOD</dc:title>
  <dc:subject>Application intégrée de gestion du restaurant étudiant</dc:subject>
  <dc:creator>JAMI FOOD</dc:creator>
  <cp:keywords>JAMI FOOD, ULC, abonnements, caisse, stocks, cahier des charges</cp:keywords>
  <dc:description/>
  <cp:lastModifiedBy>User</cp:lastModifiedBy>
  <cp:revision>2</cp:revision>
  <dcterms:created xsi:type="dcterms:W3CDTF">2026-09-24T19:19:00Z</dcterms:created>
  <dcterms:modified xsi:type="dcterms:W3CDTF">2026-09-24T19:19:00Z</dcterms:modified>
  <cp:category/>
</cp:coreProperties>
</file>