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Guide administrateur InvitaFlow</w:t>
      </w:r>
    </w:p>
    <w:p>
      <w:r>
        <w:rPr>
          <w:b/>
          <w:color w:val="9B772C"/>
        </w:rPr>
        <w:t>INVITAFLOW  ·  FOCUS HD ENTREPRISES</w:t>
      </w:r>
    </w:p>
    <w:p>
      <w:r>
        <w:rPr>
          <w:i/>
        </w:rPr>
        <w:t>Document de référence · 2026-10-07 · Version 1.0</w:t>
      </w:r>
    </w:p>
    <w:p/>
    <w:p>
      <w:pPr>
        <w:pStyle w:val="Heading1"/>
      </w:pPr>
      <w:r>
        <w:t>Accès et tâches</w:t>
      </w:r>
    </w:p>
    <w:p>
      <w:pPr>
        <w:pStyle w:val="ListNumber"/>
      </w:pPr>
      <w:r>
        <w:t>Authentifiez un compte Keycloak doté du rôle spécifique; n’accordez pas Super Admin pour tester.</w:t>
      </w:r>
    </w:p>
    <w:p>
      <w:pPr>
        <w:pStyle w:val="ListNumber"/>
      </w:pPr>
      <w:r>
        <w:t>Support: ouvrir les vues d’audit/modération existantes, examiner l’état et enregistrer une décision autorisée.</w:t>
      </w:r>
    </w:p>
    <w:p>
      <w:pPr>
        <w:pStyle w:val="ListNumber"/>
      </w:pPr>
      <w:r>
        <w:t>Finance: consulter pricing schedules/paiements/anomalies selon rôle.</w:t>
      </w:r>
    </w:p>
    <w:p>
      <w:pPr>
        <w:pStyle w:val="ListNumber"/>
      </w:pPr>
      <w:r>
        <w:t>Les ajustements wallet passent par operations internes idempotentes et auditables, jamais SQL direct.</w:t>
      </w:r>
    </w:p>
    <w:p>
      <w:pPr>
        <w:pStyle w:val="ListNumber"/>
      </w:pPr>
      <w:r>
        <w:t>Avant agir sur payment provider, confirmer provider/ref/status server side; jamais copier secrets marchand dans notes.</w:t>
      </w:r>
    </w:p>
    <w:p>
      <w:r>
        <w:t>Pas de gestion admin utilisateur/stockage/système complète prouvée par le shell admin seul. Captures non générées; voir screenshots/README.md.</w:t>
      </w:r>
    </w:p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95B6B"/>
        <w:sz w:val="16"/>
      </w:rPr>
      <w:t xml:space="preserve">InvitaFlow · FOCUS HD  |  Documentation technique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23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8234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E34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8C65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