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Audit architecture — constats et limites</w:t>
      </w:r>
    </w:p>
    <w:p>
      <w:r>
        <w:rPr>
          <w:b/>
          <w:color w:val="9B772C"/>
        </w:rPr>
        <w:t>INVITAFLOW  ·  FOCUS HD ENTREPRISES</w:t>
      </w:r>
    </w:p>
    <w:p>
      <w:r>
        <w:rPr>
          <w:i/>
        </w:rPr>
        <w:t>Document de référence · 2026-10-07 · Version 1.0</w:t>
      </w:r>
    </w:p>
    <w:p/>
    <w:p>
      <w:pPr>
        <w:pStyle w:val="Heading1"/>
      </w:pPr>
      <w:r>
        <w:t>Périmètre</w:t>
      </w:r>
    </w:p>
    <w:p>
      <w:r>
        <w:t>Lecture statique des sources et README présents dans le dépôt au 2026-10-07. Aucun Docker, environnement staging/prod, navigateur authentifié ni base déployée n’a été interrogé pendant la production documentaire.</w:t>
      </w:r>
    </w:p>
    <w:p>
      <w:pPr>
        <w:pStyle w:val="Heading1"/>
      </w:pPr>
      <w:r>
        <w:t>Observations</w:t>
      </w:r>
    </w:p>
    <w:p>
      <w:pPr>
        <w:pStyle w:val="ListBullet"/>
      </w:pPr>
      <w:r>
        <w:t>Monorepo avec frontends séparés, gateway API et services de domaine NestJS/Prisma.</w:t>
      </w:r>
    </w:p>
    <w:p>
      <w:pPr>
        <w:pStyle w:val="ListBullet"/>
      </w:pPr>
      <w:r>
        <w:t>Les frontières de données et ownership par service sont documentés dans 02-data/DATABASE_OWNERSHIP.md.</w:t>
      </w:r>
    </w:p>
    <w:p>
      <w:pPr>
        <w:pStyle w:val="ListBullet"/>
      </w:pPr>
      <w:r>
        <w:t>Les échanges asynchrones utilisent outbox, RabbitMQ et consommateurs idempotents dans plusieurs domaines.</w:t>
      </w:r>
    </w:p>
    <w:p>
      <w:pPr>
        <w:pStyle w:val="ListBullet"/>
      </w:pPr>
      <w:r>
        <w:t>Paiement réel non démontré: le README Payments déclare FlexPay bloqué sans contrat marchand; ancien nom EasyPay ne constitue pas preuve d’intégration opérationnelle.</w:t>
      </w:r>
    </w:p>
    <w:p>
      <w:pPr>
        <w:pStyle w:val="ListBullet"/>
      </w:pPr>
      <w:r>
        <w:t>L’application admin est actuellement un shell orientant vers l’interface Web; pas de preuve d’un second système admin indépendant.</w:t>
      </w:r>
    </w:p>
    <w:p>
      <w:pPr>
        <w:pStyle w:val="ListBullet"/>
      </w:pPr>
      <w:r>
        <w:t>Les modèles agency/partner existent, avec fonctionnalités partielles.</w:t>
      </w:r>
    </w:p>
    <w:p>
      <w:pPr>
        <w:pStyle w:val="ListBullet"/>
      </w:pPr>
      <w:r>
        <w:t>Les procédures sont documentées mais aucun exercice de restauration ou incident n’est attesté ici.</w:t>
      </w:r>
    </w:p>
    <w:p>
      <w:pPr>
        <w:pStyle w:val="Heading1"/>
      </w:pPr>
      <w:r>
        <w:t>Risques et suites</w:t>
      </w:r>
    </w:p>
    <w:p>
      <w:r>
        <w:t>Confirmer contrats externes; exécuter authentification/registration/email en staging; vérifier migrations et configuration réelle; tester pannes RabbitMQ/MinIO/Mailpit/SMTP; mesurer reprise sauvegarde; obtenir approbation juridique; réaliser audit complet rôles/ownership/tenant; fixer SLO/capacité; capturer parcours navigateur réel.</w:t>
      </w:r>
    </w:p>
    <w:sectPr w:rsidR="00FC693F" w:rsidRPr="0006063C" w:rsidSect="00034616">
      <w:footerReference w:type="default" r:id="rId9"/>
      <w:pgSz w:w="12240" w:h="15840"/>
      <w:pgMar w:top="979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95B6B"/>
        <w:sz w:val="16"/>
      </w:rPr>
      <w:t xml:space="preserve">InvitaFlow · FOCUS HD  |  Documentation technique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D23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48234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5E346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8C652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