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Architecture InvitaFlow</w:t>
      </w:r>
    </w:p>
    <w:p>
      <w:r>
        <w:rPr>
          <w:b/>
          <w:color w:val="9B772C"/>
        </w:rPr>
        <w:t>INVITAFLOW  ·  FOCUS HD ENTREPRISES</w:t>
      </w:r>
    </w:p>
    <w:p>
      <w:r>
        <w:rPr>
          <w:i/>
        </w:rPr>
        <w:t>Document de référence · 2026-10-07 · Version 1.0</w:t>
      </w:r>
    </w:p>
    <w:p/>
    <w:p>
      <w:pPr>
        <w:pStyle w:val="Heading1"/>
      </w:pPr>
      <w:r>
        <w:t>Services actifs repérés</w:t>
      </w:r>
    </w:p>
    <w:p>
      <w:r>
        <w:t>Profile, Events, Guests, Seating, Designs, Media, AI Design, Billing, Payments, Wallet, Notifications, Invitations/Rendering, Audit et Analytics. services/access existe aussi mais son rôle utilisateur/opérationnel doit être considéré selon ses routes/config effectives avant exposition. apps/admin fournit le shell admin; consoles métier sont dans Web.</w:t>
      </w:r>
    </w:p>
    <w:p>
      <w:pPr>
        <w:pStyle w:val="Heading1"/>
      </w:pPr>
      <w:r>
        <w:t>Flux et frontières</w:t>
      </w:r>
    </w:p>
    <w:p>
      <w:r>
        <w:t>Le navigateur reçoit un cookie opaque HttpOnly et n’est pas le propriétaire d’un bearer token de session BFF. Gateway relaie l’accès vers les APIs. Les services valident l’identité et la propriété; les opérations interservices utilisent des jetons dédiés ou tokens internes selon les routes. Outbox en base métier vers RabbitMQ évite l’écart transaction/message lorsque cette voie est implémentée.</w:t>
      </w:r>
    </w:p>
    <w:p>
      <w:pPr>
        <w:pStyle w:val="Heading1"/>
      </w:pPr>
      <w:r>
        <w:t>Infrastructure locale</w:t>
      </w:r>
    </w:p>
    <w:p>
      <w:r>
        <w:t>compose.yaml décrit PostgreSQL, Redis, RabbitMQ, Keycloak, Mailpit, MinIO, Gateway, applications et workers. Traefik, ClamAV et le profil d’observabilité sont des composants configurés. Compose est une stack de développement local et ne vaut pas configuration de production.</w:t>
      </w:r>
    </w:p>
    <w:p>
      <w:pPr>
        <w:pStyle w:val="Heading1"/>
      </w:pPr>
      <w:r>
        <w:t>Sources</w:t>
      </w:r>
    </w:p>
    <w:p>
      <w:r>
        <w:t>README.md, compose.yaml, apps/gateway/src/main.ts, contrôleurs, modules, infrastructure/ et services/*/prisma/schema.prisma.</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5B6B"/>
        <w:sz w:val="16"/>
      </w:rPr>
      <w:t xml:space="preserve">InvitaFlow · FOCUS HD  |  Documentation technique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3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823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E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C65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