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Guide visuel utilisateur InvitaFlow</w:t>
      </w:r>
    </w:p>
    <w:p>
      <w:r>
        <w:rPr>
          <w:b/>
          <w:color w:val="9B772C"/>
        </w:rPr>
        <w:t>INVITAFLOW  ·  FOCUS HD ENTREPRISES</w:t>
      </w:r>
    </w:p>
    <w:p>
      <w:r>
        <w:rPr>
          <w:i/>
        </w:rPr>
        <w:t>Document de référence · 2026-10-07 · Version 1.0</w:t>
      </w:r>
    </w:p>
    <w:p/>
    <w:p>
      <w:pPr>
        <w:pStyle w:val="Heading1"/>
      </w:pPr>
      <w:r>
        <w:t>1. Accéder et créer un compte</w:t>
      </w:r>
    </w:p>
    <w:p>
      <w:r>
        <w:t>Ouvrez l’adresse fournie par InvitaFlow, choisissez création de compte, indiquez une adresse email que vous pouvez ouvrir, créez un mot de passe conforme, lisez puis cochez les Conditions Générales d’Utilisation et la Politique de confidentialité. La case est obligatoire.</w:t>
      </w:r>
    </w:p>
    <w:p>
      <w:pPr>
        <w:pStyle w:val="Heading1"/>
      </w:pPr>
      <w:r>
        <w:t>2. Vérifier et se connecter</w:t>
      </w:r>
    </w:p>
    <w:p>
      <w:r>
        <w:t>Ouvrez l’email de vérification et suivez son lien avant expiration. Si vous ne voyez pas le message, vérifiez Courrier indésirable ou demandez de l’aide à fucushd098@gmail.com, +243973431495. Connectez-vous ensuite avec le compte vérifié.</w:t>
      </w:r>
    </w:p>
    <w:p>
      <w:pPr>
        <w:pStyle w:val="Heading1"/>
      </w:pPr>
      <w:r>
        <w:t>3. Créer un événement</w:t>
      </w:r>
    </w:p>
    <w:p>
      <w:r>
        <w:t>Dans la section événements, choisissez créer, donnez nom/type/date et fuseau, puis ajoutez une ou plusieurs cérémonies avec lieu et horaire. Vérifiez les dates avant publication.</w:t>
      </w:r>
    </w:p>
    <w:p>
      <w:pPr>
        <w:pStyle w:val="Heading1"/>
      </w:pPr>
      <w:r>
        <w:t>4. Ajouter les invités</w:t>
      </w:r>
    </w:p>
    <w:p>
      <w:r>
        <w:t>Ajoutez un invité à la fois ou utilisez l’import disponible dans l’espace invité. Téléchargez le modèle Excel proposé par l’application, remplissez colonnes identifiées, passez par l’aperçu/mapping, corrigez erreurs puis validez le commit. Ne mettez que les renseignements nécessaires.</w:t>
      </w:r>
    </w:p>
    <w:p>
      <w:pPr>
        <w:pStyle w:val="Heading1"/>
      </w:pPr>
      <w:r>
        <w:t>5. Tables et placement</w:t>
      </w:r>
    </w:p>
    <w:p>
      <w:r>
        <w:t>Configurez le plan par cérémonie, tables/zones/capacité et placez les invités autorisés. Vérifiez invités sans place et capacité avant continuer.</w:t>
      </w:r>
    </w:p>
    <w:p>
      <w:pPr>
        <w:pStyle w:val="Heading1"/>
      </w:pPr>
      <w:r>
        <w:t>6. Choisir et préparer le design</w:t>
      </w:r>
    </w:p>
    <w:p>
      <w:r>
        <w:t>Sélectionnez ou créez un design depuis l’événement. Les fonctions d’assistance IA dépendent du fournisseur et du quota actif; relisez toute proposition avant de l’appliquer.</w:t>
      </w:r>
    </w:p>
    <w:p>
      <w:pPr>
        <w:pStyle w:val="Heading1"/>
      </w:pPr>
      <w:r>
        <w:t>7. Prévisualiser et générer</w:t>
      </w:r>
    </w:p>
    <w:p>
      <w:r>
        <w:t>Relisez noms, cérémonies, lieu, dates et RSVP; démarrez le lot uniquement après confirmation. La génération réserve des crédits; le résultat dépend du nombre d’invités et des états de rendu. Téléchargez PDF individuel ou ZIP du lot disponible.</w:t>
      </w:r>
    </w:p>
    <w:p>
      <w:pPr>
        <w:pStyle w:val="Heading1"/>
      </w:pPr>
      <w:r>
        <w:t>8. Crédits et achat</w:t>
      </w:r>
    </w:p>
    <w:p>
      <w:r>
        <w:t>Le Wallet affiche des crédits d’usage, pas de l’argent. Consultez le pack et son prix avant checkout. L’acceptation CGV/politique remboursement applicable doit être affichée par le flux. Le vrai fournisseur externe demeure à vérifier; ne suivez que la méthode indiquée par le site officiel.</w:t>
      </w:r>
    </w:p>
    <w:p>
      <w:pPr>
        <w:pStyle w:val="Heading1"/>
      </w:pPr>
      <w:r>
        <w:t>9. Réponse et accès</w:t>
      </w:r>
    </w:p>
    <w:p>
      <w:r>
        <w:t>L’invité ouvre son lien signé pour voir la partie publiée et répondre cérémonie par cérémonie. À l’accueil, l’organisateur autorisé scanne le QR si appareil/navigateur le permet, sinon saisit le token. Une deuxième entrée pour même invité/cérémonie est limitée par l’application.</w:t>
      </w:r>
    </w:p>
    <w:p>
      <w:pPr>
        <w:pStyle w:val="Heading1"/>
      </w:pPr>
      <w:r>
        <w:t>10. Profil, pages légales et aide</w:t>
      </w:r>
    </w:p>
    <w:p>
      <w:r>
        <w:t>Gérez profil et préférences depuis compte; consultez CGU, confidentialité, vente/remboursement et pages disponibles dans l’app. Contact opérateur: email/téléphone ci-dessus.</w:t>
      </w:r>
    </w:p>
    <w:sectPr w:rsidR="00FC693F" w:rsidRPr="0006063C" w:rsidSect="00034616">
      <w:footerReference w:type="default" r:id="rId9"/>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5B6B"/>
        <w:sz w:val="16"/>
      </w:rPr>
      <w:t xml:space="preserve">InvitaFlow · FOCUS HD  |  Documentation technique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3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8234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E34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8C65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