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Liste de contrôle préparation production</w:t>
      </w:r>
    </w:p>
    <w:p>
      <w:r>
        <w:rPr>
          <w:b/>
          <w:color w:val="9B772C"/>
        </w:rPr>
        <w:t>INVITAFLOW  ·  FOCUS HD ENTREPRISES</w:t>
      </w:r>
    </w:p>
    <w:p>
      <w:r>
        <w:rPr>
          <w:i/>
        </w:rPr>
        <w:t>Document de référence · 2026-10-07 · Version 1.0</w:t>
      </w:r>
    </w:p>
    <w:p/>
    <w:p>
      <w:pPr>
        <w:pStyle w:val="Heading1"/>
      </w:pPr>
      <w:r>
        <w:t>Identité et Web</w:t>
      </w:r>
    </w:p>
    <w:p>
      <w:pPr>
        <w:pStyle w:val="ListBullet"/>
      </w:pPr>
      <w:r>
        <w:t>[ ] Client/redirect URI de production exacts et scopes openid profile email; PKCE S256.</w:t>
      </w:r>
    </w:p>
    <w:p>
      <w:pPr>
        <w:pStyle w:val="ListBullet"/>
      </w:pPr>
      <w:r>
        <w:t>[ ] Claims email/email_verified inclus; test inscription → vérification → callback réel.</w:t>
      </w:r>
    </w:p>
    <w:p>
      <w:pPr>
        <w:pStyle w:val="ListBullet"/>
      </w:pPr>
      <w:r>
        <w:t>[ ] Cookies Secure/SameSite, HTTPS, CSP/CORS, retour d’URL interne uniquement.</w:t>
      </w:r>
    </w:p>
    <w:p>
      <w:pPr>
        <w:pStyle w:val="Heading1"/>
      </w:pPr>
      <w:r>
        <w:t>Mail et paiements</w:t>
      </w:r>
    </w:p>
    <w:p>
      <w:pPr>
        <w:pStyle w:val="ListBullet"/>
      </w:pPr>
      <w:r>
        <w:t>[ ] Local Docker par défaut MAIL_PROVIDER=mailpit; SMTP réel explicite et secrets hors Git.</w:t>
      </w:r>
    </w:p>
    <w:p>
      <w:pPr>
        <w:pStyle w:val="ListBullet"/>
      </w:pPr>
      <w:r>
        <w:t>[ ] SPF/DKIM/DMARC et délivrabilité de domaine vérifiés.</w:t>
      </w:r>
    </w:p>
    <w:p>
      <w:pPr>
        <w:pStyle w:val="ListBullet"/>
      </w:pPr>
      <w:r>
        <w:t>[ ] Fournisseur RDC officiel et contrat marchand approuvés; sandbox/IPN/signature/refund/reconciliation testés avant paiement live.</w:t>
      </w:r>
    </w:p>
    <w:p>
      <w:pPr>
        <w:pStyle w:val="Heading1"/>
      </w:pPr>
      <w:r>
        <w:t>Données et reprise</w:t>
      </w:r>
    </w:p>
    <w:p>
      <w:pPr>
        <w:pStyle w:val="ListBullet"/>
      </w:pPr>
      <w:r>
        <w:t>[ ] Migrations inspectées et appliquées par service avec plan de retour.</w:t>
      </w:r>
    </w:p>
    <w:p>
      <w:pPr>
        <w:pStyle w:val="ListBullet"/>
      </w:pPr>
      <w:r>
        <w:t>[ ] Sauvegarde chiffrée, séparée du host, restore exercé.</w:t>
      </w:r>
    </w:p>
    <w:p>
      <w:pPr>
        <w:pStyle w:val="ListBullet"/>
      </w:pPr>
      <w:r>
        <w:t>[ ] ACL privés MinIO, scan antivirus, rétention et suppression vérifiés.</w:t>
      </w:r>
    </w:p>
    <w:p>
      <w:pPr>
        <w:pStyle w:val="ListBullet"/>
      </w:pPr>
      <w:r>
        <w:t>[ ] RabbitMQ durable, DLQ surveillée, outbox backlog visible; Redis limite/rôle documentés.</w:t>
      </w:r>
    </w:p>
    <w:p>
      <w:pPr>
        <w:pStyle w:val="Heading1"/>
      </w:pPr>
      <w:r>
        <w:t>Opérations</w:t>
      </w:r>
    </w:p>
    <w:p>
      <w:pPr>
        <w:pStyle w:val="ListBullet"/>
      </w:pPr>
      <w:r>
        <w:t>[ ] TLS/secret manager, comptes minimaux, rotation et redaction logs.</w:t>
      </w:r>
    </w:p>
    <w:p>
      <w:pPr>
        <w:pStyle w:val="ListBullet"/>
      </w:pPr>
      <w:r>
        <w:t>[ ] Health/readiness, alerting, on-call, corrélation et playbooks testés.</w:t>
      </w:r>
    </w:p>
    <w:p>
      <w:pPr>
        <w:pStyle w:val="ListBullet"/>
      </w:pPr>
      <w:r>
        <w:t>[ ] Capacité/performance/accessibilité testées avec objectifs et appareil/navigateur consignés.</w:t>
      </w:r>
    </w:p>
    <w:p>
      <w:pPr>
        <w:pStyle w:val="ListBullet"/>
      </w:pPr>
      <w:r>
        <w:t>[ ] Incident response, support, conformité juridique approuvés.</w:t>
      </w:r>
    </w:p>
    <w:p>
      <w:r>
        <w:t>État de cette passe: NOT VERIFIED. Les cases ne sont pas cochées par simple présence documentaire.</w:t>
      </w:r>
    </w:p>
    <w:sectPr w:rsidR="00FC693F" w:rsidRPr="0006063C" w:rsidSect="00034616">
      <w:footerReference w:type="default" r:id="rId9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95B6B"/>
        <w:sz w:val="16"/>
      </w:rPr>
      <w:t xml:space="preserve">InvitaFlow · FOCUS HD  |  Documentation technique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23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8234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E346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8C65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