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Architecture de sécurité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p>
      <w:pPr>
        <w:pStyle w:val="Heading1"/>
      </w:pPr>
      <w:r>
        <w:t>Identité et sessions</w:t>
      </w:r>
    </w:p>
    <w:p>
      <w:r>
        <w:t>Keycloak est l’issuer OIDC. Le Web BFF utilise authorization code + PKCE S256, state/nonce, validation d’issuer/audience/azp et claim d’email vérifié. Redis conserve des tokens chiffrés; cookie opaque HttpOnly/SameSite et secure en production. Realm export active email verification, et l’email scope standard émet email et email_verified.</w:t>
      </w:r>
    </w:p>
    <w:p>
      <w:pPr>
        <w:pStyle w:val="Heading1"/>
      </w:pPr>
      <w:r>
        <w:t>Autorisation et frontières</w:t>
      </w:r>
    </w:p>
    <w:p>
      <w:r>
        <w:t>Gateway exige un Bearer pour la plupart des proxys; les services refont validation et contrôle de propriétaire. Routes internes wallet ont X-Service-Token et idempotency; public invitation est scindé à un jeton signé minimisé. Les rôles Keycloak séparent client et admin. Le réseau Docker isole DB/broker/stockage, mais Compose n’est pas une politique réseau de production.</w:t>
      </w:r>
    </w:p>
    <w:p>
      <w:pPr>
        <w:pStyle w:val="Heading1"/>
      </w:pPr>
      <w:r>
        <w:t>Données et sécurité des fichiers</w:t>
      </w:r>
    </w:p>
    <w:p>
      <w:r>
        <w:t>Médias écrivent d’abord en quarantaine; taille/MIME/magic bytes/dimensions/scanner ClamAV/décodage Sharp contrôlés avant publication prête. Bucket ready privé, URLs signées courte durée et scopes précis. PDF/ZIP invitations privés.</w:t>
      </w:r>
    </w:p>
    <w:p>
      <w:pPr>
        <w:pStyle w:val="Heading1"/>
      </w:pPr>
      <w:r>
        <w:t>Paiement et fraude</w:t>
      </w:r>
    </w:p>
    <w:p>
      <w:r>
        <w:t>Montant/monnaie viennent du snapshot Billing côté serveur. Callback/webhook doit vérifier la preuve serveur et ses références avant transition/ledger. Idempotence, références uniques, outbox, ledger append-only et contrainte de solde sont des contrôles présents. Un fournisseur externe n’est pas qualifié sans contrat sandbox.</w:t>
      </w:r>
    </w:p>
    <w:p>
      <w:pPr>
        <w:pStyle w:val="Heading1"/>
      </w:pPr>
      <w:r>
        <w:t>Protections à vérifier</w:t>
      </w:r>
    </w:p>
    <w:p>
      <w:r>
        <w:t>CSRF BFF, CSP, XSS dans rendu, SSRF, IDOR entre comptes, rate limiting, injection SQL/commandes, replay RSVP/QR, concurrence double check-in et paramètres proxy doivent rester dans plan de tests. Ne pas conclure « sécurisé » sur une simple revue statique. Liens : THREAT_MODEL.md, SECURITY_TEST_PLAN.md, guards, politiques MinIO, web CSP et payment providers.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