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Stratégie de test</w:t>
      </w:r>
    </w:p>
    <w:p>
      <w:r>
        <w:rPr>
          <w:b/>
          <w:color w:val="9B772C"/>
        </w:rPr>
        <w:t>INVITAFLOW  ·  FOCUS HD ENTREPRISES</w:t>
      </w:r>
    </w:p>
    <w:p>
      <w:r>
        <w:rPr>
          <w:i/>
        </w:rPr>
        <w:t>Document de référence · 2026-10-07 · Version 1.0</w:t>
      </w:r>
    </w:p>
    <w:p/>
    <w:p>
      <w:pPr>
        <w:pStyle w:val="Heading1"/>
      </w:pPr>
      <w:r>
        <w:t>Niveaux</w:t>
      </w:r>
    </w:p>
    <w:p>
      <w:pPr>
        <w:pStyle w:val="ListBullet"/>
      </w:pPr>
      <w:r>
        <w:t>Unit: services, parseurs, règles état/idempotence, composants purs et package design-document.</w:t>
      </w:r>
    </w:p>
    <w:p>
      <w:pPr>
        <w:pStyle w:val="ListBullet"/>
      </w:pPr>
      <w:r>
        <w:t>Integration: PostgreSQL/RabbitMQ/MinIO/Keycloak/proxy à exécuter contre stacks isolées et services réels simulés ou test.</w:t>
      </w:r>
    </w:p>
    <w:p>
      <w:pPr>
        <w:pStyle w:val="ListBullet"/>
      </w:pPr>
      <w:r>
        <w:t>Contract: API DTO, event envelopes, audience OIDC, signatures provider/MinIO, interop snapshot renderer.</w:t>
      </w:r>
    </w:p>
    <w:p>
      <w:pPr>
        <w:pStyle w:val="ListBullet"/>
      </w:pPr>
      <w:r>
        <w:t>E2E navigateur: création profil/event/import/seat/design/batch/RSVP/check-in; auth email; admin/agency/partner.</w:t>
      </w:r>
    </w:p>
    <w:p>
      <w:pPr>
        <w:pStyle w:val="ListBullet"/>
      </w:pPr>
      <w:r>
        <w:t>Security: plan 04-security/SECURITY_TEST_PLAN.md, A/B access, IPN, files, QR, web sessions.</w:t>
      </w:r>
    </w:p>
    <w:p>
      <w:pPr>
        <w:pStyle w:val="ListBullet"/>
      </w:pPr>
      <w:r>
        <w:t>Performance/accessibility/mobile: plans dédiés; aucune mesure PASS sans rapport récent.</w:t>
      </w:r>
    </w:p>
    <w:p>
      <w:pPr>
        <w:pStyle w:val="ListBullet"/>
      </w:pPr>
      <w:r>
        <w:t>Payment sandbox: bloqué jusqu’au contrat et credentials autorisés.</w:t>
      </w:r>
    </w:p>
    <w:p>
      <w:pPr>
        <w:pStyle w:val="Heading1"/>
      </w:pPr>
      <w:r>
        <w:t>Répertoire de preuves</w:t>
      </w:r>
    </w:p>
    <w:p>
      <w:r>
        <w:t>services/*/*.spec.*, packages/design-document/test/, apps/web/src//*.test.mjs, load-tests/k6/. pnpm test utilise Turbo plus tests racine; services avec scripts propres. Le CI Node version/matrix est décrit dans README/workflow source.</w:t>
      </w:r>
    </w:p>
    <w:p>
      <w:pPr>
        <w:pStyle w:val="Heading1"/>
      </w:pPr>
      <w:r>
        <w:t>Traceabilité indicative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EEE7F0"/>
          </w:tcPr>
          <w:p>
            <w:r>
              <w:t>Requis</w:t>
            </w:r>
          </w:p>
        </w:tc>
        <w:tc>
          <w:tcPr>
            <w:tcW w:type="dxa" w:w="4997"/>
            <w:vAlign w:val="center"/>
            <w:shd w:fill="EEE7F0"/>
          </w:tcPr>
          <w:p>
            <w:r>
              <w:t>Famille tests</w:t>
            </w:r>
          </w:p>
        </w:tc>
      </w:tr>
      <w:tr>
        <w:tc>
          <w:tcPr>
            <w:tcW w:type="dxa" w:w="4997"/>
            <w:vAlign w:val="center"/>
          </w:tcPr>
          <w:p>
            <w:r>
              <w:t>FR-AUTH</w:t>
            </w:r>
          </w:p>
        </w:tc>
        <w:tc>
          <w:tcPr>
            <w:tcW w:type="dxa" w:w="4997"/>
            <w:vAlign w:val="center"/>
          </w:tcPr>
          <w:p>
            <w:r>
              <w:t>apps/web/src/lib/email-verification.test.mjs, session refresh; Keycloak runtime manquant</w:t>
            </w:r>
          </w:p>
        </w:tc>
      </w:tr>
      <w:tr>
        <w:tc>
          <w:tcPr>
            <w:tcW w:type="dxa" w:w="4997"/>
            <w:vAlign w:val="center"/>
          </w:tcPr>
          <w:p>
            <w:r>
              <w:t>FR-EVENT</w:t>
            </w:r>
          </w:p>
        </w:tc>
        <w:tc>
          <w:tcPr>
            <w:tcW w:type="dxa" w:w="4997"/>
            <w:vAlign w:val="center"/>
          </w:tcPr>
          <w:p>
            <w:r>
              <w:t>Events date/program specs</w:t>
            </w:r>
          </w:p>
        </w:tc>
      </w:tr>
      <w:tr>
        <w:tc>
          <w:tcPr>
            <w:tcW w:type="dxa" w:w="4997"/>
            <w:vAlign w:val="center"/>
          </w:tcPr>
          <w:p>
            <w:r>
              <w:t>FR-GUEST</w:t>
            </w:r>
          </w:p>
        </w:tc>
        <w:tc>
          <w:tcPr>
            <w:tcW w:type="dxa" w:w="4997"/>
            <w:vAlign w:val="center"/>
          </w:tcPr>
          <w:p>
            <w:r>
              <w:t>import parser/list specs</w:t>
            </w:r>
          </w:p>
        </w:tc>
      </w:tr>
      <w:tr>
        <w:tc>
          <w:tcPr>
            <w:tcW w:type="dxa" w:w="4997"/>
            <w:vAlign w:val="center"/>
          </w:tcPr>
          <w:p>
            <w:r>
              <w:t>FR-SEAT</w:t>
            </w:r>
          </w:p>
        </w:tc>
        <w:tc>
          <w:tcPr>
            <w:tcW w:type="dxa" w:w="4997"/>
            <w:vAlign w:val="center"/>
          </w:tcPr>
          <w:p>
            <w:r>
              <w:t>capacity/guests specs</w:t>
            </w:r>
          </w:p>
        </w:tc>
      </w:tr>
      <w:tr>
        <w:tc>
          <w:tcPr>
            <w:tcW w:type="dxa" w:w="4997"/>
            <w:vAlign w:val="center"/>
          </w:tcPr>
          <w:p>
            <w:r>
              <w:t>FR-DESIGN / FR-AI</w:t>
            </w:r>
          </w:p>
        </w:tc>
        <w:tc>
          <w:tcPr>
            <w:tcW w:type="dxa" w:w="4997"/>
            <w:vAlign w:val="center"/>
          </w:tcPr>
          <w:p>
            <w:r>
              <w:t>DesignDocument/Designs/AI tests</w:t>
            </w:r>
          </w:p>
        </w:tc>
      </w:tr>
      <w:tr>
        <w:tc>
          <w:tcPr>
            <w:tcW w:type="dxa" w:w="4997"/>
            <w:vAlign w:val="center"/>
          </w:tcPr>
          <w:p>
            <w:r>
              <w:t>FR-INV</w:t>
            </w:r>
          </w:p>
        </w:tc>
        <w:tc>
          <w:tcPr>
            <w:tcW w:type="dxa" w:w="4997"/>
            <w:vAlign w:val="center"/>
          </w:tcPr>
          <w:p>
            <w:r>
              <w:t>Invitations token/layout/image/service specs</w:t>
            </w:r>
          </w:p>
        </w:tc>
      </w:tr>
      <w:tr>
        <w:tc>
          <w:tcPr>
            <w:tcW w:type="dxa" w:w="4997"/>
            <w:vAlign w:val="center"/>
          </w:tcPr>
          <w:p>
            <w:r>
              <w:t>FR-MEDIA</w:t>
            </w:r>
          </w:p>
        </w:tc>
        <w:tc>
          <w:tcPr>
            <w:tcW w:type="dxa" w:w="4997"/>
            <w:vAlign w:val="center"/>
          </w:tcPr>
          <w:p>
            <w:r>
              <w:t>validation, antivirus, transcode, presign specs</w:t>
            </w:r>
          </w:p>
        </w:tc>
      </w:tr>
      <w:tr>
        <w:tc>
          <w:tcPr>
            <w:tcW w:type="dxa" w:w="4997"/>
            <w:vAlign w:val="center"/>
          </w:tcPr>
          <w:p>
            <w:r>
              <w:t>FR-PAY / Wallet</w:t>
            </w:r>
          </w:p>
        </w:tc>
        <w:tc>
          <w:tcPr>
            <w:tcW w:type="dxa" w:w="4997"/>
            <w:vAlign w:val="center"/>
          </w:tcPr>
          <w:p>
            <w:r>
              <w:t>payments provider/checkout/list, wallet ledger/routing specs</w:t>
            </w:r>
          </w:p>
        </w:tc>
      </w:tr>
    </w:tbl>
    <w:p>
      <w:r>
        <w:t>Un test unitaire ne prouve pas un parcours connecté E2E.</w:t>
      </w:r>
    </w:p>
    <w:sectPr w:rsidR="00FC693F" w:rsidRPr="0006063C" w:rsidSect="00034616">
      <w:footerReference w:type="default" r:id="rId9"/>
      <w:pgSz w:w="12240" w:h="15840"/>
      <w:pgMar w:top="979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95B6B"/>
        <w:sz w:val="16"/>
      </w:rPr>
      <w:t xml:space="preserve">InvitaFlow · FOCUS HD  |  Documentation technique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D23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48234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5E346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8C652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