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65778" w14:textId="5ED5B84E" w:rsidR="00816B51" w:rsidRPr="00022DF3" w:rsidRDefault="00022DF3" w:rsidP="00022DF3">
      <w:pPr>
        <w:jc w:val="center"/>
        <w:rPr>
          <w:b/>
          <w:bCs/>
          <w:sz w:val="28"/>
          <w:szCs w:val="28"/>
        </w:rPr>
      </w:pPr>
      <w:r>
        <w:rPr>
          <w:b/>
          <w:bCs/>
          <w:sz w:val="28"/>
          <w:szCs w:val="28"/>
        </w:rPr>
        <w:t xml:space="preserve">The </w:t>
      </w:r>
      <w:r w:rsidRPr="00022DF3">
        <w:rPr>
          <w:b/>
          <w:bCs/>
          <w:sz w:val="28"/>
          <w:szCs w:val="28"/>
        </w:rPr>
        <w:t>Ebola</w:t>
      </w:r>
      <w:r>
        <w:rPr>
          <w:b/>
          <w:bCs/>
          <w:sz w:val="28"/>
          <w:szCs w:val="28"/>
        </w:rPr>
        <w:t xml:space="preserve"> </w:t>
      </w:r>
      <w:r w:rsidR="00592237">
        <w:rPr>
          <w:b/>
          <w:bCs/>
          <w:sz w:val="28"/>
          <w:szCs w:val="28"/>
        </w:rPr>
        <w:t>Epi</w:t>
      </w:r>
      <w:r>
        <w:rPr>
          <w:b/>
          <w:bCs/>
          <w:sz w:val="28"/>
          <w:szCs w:val="28"/>
        </w:rPr>
        <w:t>demic</w:t>
      </w:r>
      <w:r w:rsidRPr="00022DF3">
        <w:rPr>
          <w:b/>
          <w:bCs/>
          <w:sz w:val="28"/>
          <w:szCs w:val="28"/>
        </w:rPr>
        <w:t xml:space="preserve"> on West Africa</w:t>
      </w:r>
      <w:r>
        <w:rPr>
          <w:b/>
          <w:bCs/>
          <w:sz w:val="28"/>
          <w:szCs w:val="28"/>
        </w:rPr>
        <w:t>n</w:t>
      </w:r>
      <w:r w:rsidRPr="00022DF3">
        <w:rPr>
          <w:b/>
          <w:bCs/>
          <w:sz w:val="28"/>
          <w:szCs w:val="28"/>
        </w:rPr>
        <w:t xml:space="preserve"> Inequality</w:t>
      </w:r>
    </w:p>
    <w:p w14:paraId="00391186" w14:textId="3E5311E0" w:rsidR="00022DF3" w:rsidRPr="00022DF3" w:rsidRDefault="00022DF3" w:rsidP="00022DF3">
      <w:pPr>
        <w:jc w:val="center"/>
        <w:rPr>
          <w:b/>
          <w:bCs/>
        </w:rPr>
      </w:pPr>
    </w:p>
    <w:p w14:paraId="4F7A230D" w14:textId="5D6043EC" w:rsidR="00022DF3" w:rsidRPr="00022DF3" w:rsidRDefault="00022DF3" w:rsidP="00022DF3">
      <w:pPr>
        <w:jc w:val="center"/>
        <w:rPr>
          <w:b/>
          <w:bCs/>
        </w:rPr>
      </w:pPr>
    </w:p>
    <w:p w14:paraId="529AF091" w14:textId="4A17B86C" w:rsidR="00022DF3" w:rsidRPr="00022DF3" w:rsidRDefault="00022DF3" w:rsidP="00022DF3">
      <w:pPr>
        <w:jc w:val="center"/>
        <w:rPr>
          <w:b/>
          <w:bCs/>
        </w:rPr>
      </w:pPr>
    </w:p>
    <w:p w14:paraId="6B6160E0" w14:textId="679C3BE6" w:rsidR="00022DF3" w:rsidRPr="00022DF3" w:rsidRDefault="00022DF3" w:rsidP="00022DF3">
      <w:pPr>
        <w:jc w:val="center"/>
        <w:rPr>
          <w:b/>
          <w:bCs/>
          <w:sz w:val="20"/>
          <w:szCs w:val="20"/>
        </w:rPr>
      </w:pPr>
      <w:r w:rsidRPr="00022DF3">
        <w:rPr>
          <w:b/>
          <w:bCs/>
          <w:sz w:val="20"/>
          <w:szCs w:val="20"/>
        </w:rPr>
        <w:t>Abstract</w:t>
      </w:r>
    </w:p>
    <w:p w14:paraId="2D171401" w14:textId="480C7103" w:rsidR="00022DF3" w:rsidRPr="00022DF3" w:rsidRDefault="00DF7A09" w:rsidP="00022DF3">
      <w:pPr>
        <w:jc w:val="center"/>
        <w:rPr>
          <w:b/>
          <w:bCs/>
          <w:sz w:val="20"/>
          <w:szCs w:val="20"/>
        </w:rPr>
      </w:pPr>
      <w:r>
        <w:rPr>
          <w:b/>
          <w:bCs/>
          <w:noProof/>
          <w:sz w:val="20"/>
          <w:szCs w:val="20"/>
        </w:rPr>
        <mc:AlternateContent>
          <mc:Choice Requires="wps">
            <w:drawing>
              <wp:anchor distT="0" distB="0" distL="114300" distR="114300" simplePos="0" relativeHeight="251659264" behindDoc="0" locked="0" layoutInCell="1" allowOverlap="1" wp14:anchorId="0D907906" wp14:editId="0589011C">
                <wp:simplePos x="0" y="0"/>
                <wp:positionH relativeFrom="column">
                  <wp:posOffset>791737</wp:posOffset>
                </wp:positionH>
                <wp:positionV relativeFrom="paragraph">
                  <wp:posOffset>38100</wp:posOffset>
                </wp:positionV>
                <wp:extent cx="4368800" cy="1170878"/>
                <wp:effectExtent l="0" t="0" r="12700" b="10795"/>
                <wp:wrapNone/>
                <wp:docPr id="2" name="Text Box 2"/>
                <wp:cNvGraphicFramePr/>
                <a:graphic xmlns:a="http://schemas.openxmlformats.org/drawingml/2006/main">
                  <a:graphicData uri="http://schemas.microsoft.com/office/word/2010/wordprocessingShape">
                    <wps:wsp>
                      <wps:cNvSpPr txBox="1"/>
                      <wps:spPr>
                        <a:xfrm>
                          <a:off x="0" y="0"/>
                          <a:ext cx="4368800" cy="1170878"/>
                        </a:xfrm>
                        <a:prstGeom prst="rect">
                          <a:avLst/>
                        </a:prstGeom>
                        <a:solidFill>
                          <a:schemeClr val="lt1"/>
                        </a:solidFill>
                        <a:ln w="6350">
                          <a:solidFill>
                            <a:prstClr val="black"/>
                          </a:solidFill>
                        </a:ln>
                      </wps:spPr>
                      <wps:txbx>
                        <w:txbxContent>
                          <w:p w14:paraId="6741EE6D" w14:textId="4AD6AACC" w:rsidR="00465A30" w:rsidRPr="00DF7A09" w:rsidRDefault="00465A30" w:rsidP="00DF7A09">
                            <w:pPr>
                              <w:jc w:val="center"/>
                              <w:rPr>
                                <w:sz w:val="20"/>
                                <w:szCs w:val="20"/>
                              </w:rPr>
                            </w:pPr>
                            <w:r>
                              <w:rPr>
                                <w:sz w:val="20"/>
                                <w:szCs w:val="20"/>
                              </w:rPr>
                              <w:t xml:space="preserve">This paper examines the effect of the Ebola epidemic on Income Inequality in West Africa using </w:t>
                            </w:r>
                            <w:r w:rsidR="00CF4969">
                              <w:rPr>
                                <w:sz w:val="20"/>
                                <w:szCs w:val="20"/>
                              </w:rPr>
                              <w:t>data from mainly The World Bank and World Inequality Database</w:t>
                            </w:r>
                            <w:r>
                              <w:rPr>
                                <w:sz w:val="20"/>
                                <w:szCs w:val="20"/>
                              </w:rPr>
                              <w:t>. The Ebola epidemic in 2014 increased unemployment by disrupting production chains and decreasing foreign direct investment through scaring off investors. The model employs multiple regression and finds</w:t>
                            </w:r>
                            <w:r w:rsidR="00CF4969">
                              <w:rPr>
                                <w:sz w:val="20"/>
                                <w:szCs w:val="20"/>
                              </w:rPr>
                              <w:t xml:space="preserve"> some</w:t>
                            </w:r>
                            <w:r>
                              <w:rPr>
                                <w:sz w:val="20"/>
                                <w:szCs w:val="20"/>
                              </w:rPr>
                              <w:t xml:space="preserve"> evidence to support the claim that income inequality was not worsened as a result of the Epidemic.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07906" id="_x0000_t202" coordsize="21600,21600" o:spt="202" path="m,l,21600r21600,l21600,xe">
                <v:stroke joinstyle="miter"/>
                <v:path gradientshapeok="t" o:connecttype="rect"/>
              </v:shapetype>
              <v:shape id="Text Box 2" o:spid="_x0000_s1026" type="#_x0000_t202" style="position:absolute;left:0;text-align:left;margin-left:62.35pt;margin-top:3pt;width:344pt;height:9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" fillcolor="white [3201]" strokeweight=".5pt">
                <v:textbox>
                  <w:txbxContent>
                    <w:p w14:paraId="6741EE6D" w14:textId="4AD6AACC" w:rsidR="00465A30" w:rsidRPr="00DF7A09" w:rsidRDefault="00465A30" w:rsidP="00DF7A09">
                      <w:pPr>
                        <w:jc w:val="center"/>
                        <w:rPr>
                          <w:sz w:val="20"/>
                          <w:szCs w:val="20"/>
                        </w:rPr>
                      </w:pPr>
                      <w:r>
                        <w:rPr>
                          <w:sz w:val="20"/>
                          <w:szCs w:val="20"/>
                        </w:rPr>
                        <w:t xml:space="preserve">This paper examines the effect of the Ebola epidemic on Income Inequality in West Africa using </w:t>
                      </w:r>
                      <w:r w:rsidR="00CF4969">
                        <w:rPr>
                          <w:sz w:val="20"/>
                          <w:szCs w:val="20"/>
                        </w:rPr>
                        <w:t>data from mainly The World Bank and World Inequality Database</w:t>
                      </w:r>
                      <w:r>
                        <w:rPr>
                          <w:sz w:val="20"/>
                          <w:szCs w:val="20"/>
                        </w:rPr>
                        <w:t>. The Ebola epidemic in 2014 increased unemployment by disrupting production chains and decreasing foreign direct investment through scaring off investors. The model employs multiple regression and finds</w:t>
                      </w:r>
                      <w:r w:rsidR="00CF4969">
                        <w:rPr>
                          <w:sz w:val="20"/>
                          <w:szCs w:val="20"/>
                        </w:rPr>
                        <w:t xml:space="preserve"> some</w:t>
                      </w:r>
                      <w:r>
                        <w:rPr>
                          <w:sz w:val="20"/>
                          <w:szCs w:val="20"/>
                        </w:rPr>
                        <w:t xml:space="preserve"> evidence to support the claim that income inequality was not worsened as a result of the Epidemic.</w:t>
                      </w:r>
                    </w:p>
                  </w:txbxContent>
                </v:textbox>
              </v:shape>
            </w:pict>
          </mc:Fallback>
        </mc:AlternateContent>
      </w:r>
    </w:p>
    <w:p w14:paraId="590BB10C" w14:textId="2BB4E314" w:rsidR="00022DF3" w:rsidRDefault="00022DF3" w:rsidP="00022DF3">
      <w:pPr>
        <w:jc w:val="center"/>
        <w:rPr>
          <w:b/>
          <w:bCs/>
          <w:sz w:val="20"/>
          <w:szCs w:val="20"/>
        </w:rPr>
      </w:pPr>
    </w:p>
    <w:p w14:paraId="69635CEF" w14:textId="3F5B69EB" w:rsidR="00DF7A09" w:rsidRDefault="00DF7A09" w:rsidP="00022DF3">
      <w:pPr>
        <w:jc w:val="center"/>
        <w:rPr>
          <w:b/>
          <w:bCs/>
          <w:sz w:val="20"/>
          <w:szCs w:val="20"/>
        </w:rPr>
      </w:pPr>
    </w:p>
    <w:p w14:paraId="30FB21C2" w14:textId="2D4ACA99" w:rsidR="00DF7A09" w:rsidRDefault="00DF7A09" w:rsidP="00022DF3">
      <w:pPr>
        <w:jc w:val="center"/>
        <w:rPr>
          <w:b/>
          <w:bCs/>
          <w:sz w:val="20"/>
          <w:szCs w:val="20"/>
        </w:rPr>
      </w:pPr>
    </w:p>
    <w:p w14:paraId="294B0F1F" w14:textId="3F8FF34D" w:rsidR="00DF7A09" w:rsidRDefault="00DF7A09" w:rsidP="00022DF3">
      <w:pPr>
        <w:jc w:val="center"/>
        <w:rPr>
          <w:b/>
          <w:bCs/>
          <w:sz w:val="20"/>
          <w:szCs w:val="20"/>
        </w:rPr>
      </w:pPr>
    </w:p>
    <w:p w14:paraId="10759F0D" w14:textId="0B63738B" w:rsidR="00DF7A09" w:rsidRDefault="00DF7A09" w:rsidP="00022DF3">
      <w:pPr>
        <w:jc w:val="center"/>
        <w:rPr>
          <w:b/>
          <w:bCs/>
          <w:sz w:val="20"/>
          <w:szCs w:val="20"/>
        </w:rPr>
      </w:pPr>
    </w:p>
    <w:p w14:paraId="0154495B" w14:textId="198EE1D5" w:rsidR="00DF7A09" w:rsidRDefault="00DF7A09" w:rsidP="00022DF3">
      <w:pPr>
        <w:jc w:val="center"/>
        <w:rPr>
          <w:b/>
          <w:bCs/>
          <w:sz w:val="20"/>
          <w:szCs w:val="20"/>
        </w:rPr>
      </w:pPr>
    </w:p>
    <w:p w14:paraId="197A5D95" w14:textId="77777777" w:rsidR="00DF7A09" w:rsidRPr="00022DF3" w:rsidRDefault="00DF7A09" w:rsidP="00022DF3">
      <w:pPr>
        <w:jc w:val="center"/>
        <w:rPr>
          <w:b/>
          <w:bCs/>
          <w:sz w:val="20"/>
          <w:szCs w:val="20"/>
        </w:rPr>
      </w:pPr>
    </w:p>
    <w:p w14:paraId="16FF594C" w14:textId="69130B39" w:rsidR="00022DF3" w:rsidRDefault="00022DF3" w:rsidP="00022DF3">
      <w:pPr>
        <w:rPr>
          <w:b/>
          <w:bCs/>
          <w:sz w:val="20"/>
          <w:szCs w:val="20"/>
        </w:rPr>
      </w:pPr>
    </w:p>
    <w:p w14:paraId="1AA2814C" w14:textId="6746F030" w:rsidR="00DF7A09" w:rsidRDefault="00DF7A09" w:rsidP="00022DF3">
      <w:pPr>
        <w:rPr>
          <w:b/>
          <w:bCs/>
          <w:sz w:val="20"/>
          <w:szCs w:val="20"/>
        </w:rPr>
      </w:pPr>
    </w:p>
    <w:p w14:paraId="27794864" w14:textId="72DAEDD4" w:rsidR="00DF7A09" w:rsidRDefault="00DF7A09" w:rsidP="00022DF3">
      <w:pPr>
        <w:rPr>
          <w:b/>
          <w:bCs/>
          <w:sz w:val="20"/>
          <w:szCs w:val="20"/>
        </w:rPr>
      </w:pPr>
    </w:p>
    <w:p w14:paraId="53E2E57C" w14:textId="77777777" w:rsidR="00DF7A09" w:rsidRPr="00022DF3" w:rsidRDefault="00DF7A09" w:rsidP="00022DF3">
      <w:pPr>
        <w:rPr>
          <w:b/>
          <w:bCs/>
          <w:sz w:val="20"/>
          <w:szCs w:val="20"/>
        </w:rPr>
      </w:pPr>
    </w:p>
    <w:p w14:paraId="7F558635" w14:textId="2377E422" w:rsidR="00022DF3" w:rsidRPr="004919A3" w:rsidRDefault="00022DF3" w:rsidP="004919A3">
      <w:pPr>
        <w:pStyle w:val="ListParagraph"/>
        <w:numPr>
          <w:ilvl w:val="0"/>
          <w:numId w:val="3"/>
        </w:numPr>
        <w:rPr>
          <w:b/>
          <w:bCs/>
          <w:sz w:val="28"/>
          <w:szCs w:val="28"/>
        </w:rPr>
      </w:pPr>
      <w:r w:rsidRPr="004919A3">
        <w:rPr>
          <w:b/>
          <w:bCs/>
          <w:sz w:val="28"/>
          <w:szCs w:val="28"/>
        </w:rPr>
        <w:t>Introduction:</w:t>
      </w:r>
    </w:p>
    <w:p w14:paraId="23542852" w14:textId="77777777" w:rsidR="00E83294" w:rsidRPr="00022DF3" w:rsidRDefault="00E83294" w:rsidP="00022DF3">
      <w:pPr>
        <w:rPr>
          <w:b/>
          <w:bCs/>
          <w:sz w:val="28"/>
          <w:szCs w:val="28"/>
        </w:rPr>
      </w:pPr>
    </w:p>
    <w:p w14:paraId="7193F413" w14:textId="360F3FDA" w:rsidR="00022DF3" w:rsidRPr="008075FC" w:rsidRDefault="00022DF3" w:rsidP="00022DF3">
      <w:pPr>
        <w:rPr>
          <w:sz w:val="22"/>
          <w:szCs w:val="22"/>
        </w:rPr>
      </w:pPr>
      <w:r>
        <w:rPr>
          <w:b/>
          <w:bCs/>
        </w:rPr>
        <w:tab/>
      </w:r>
      <w:r w:rsidR="00CA0AF5" w:rsidRPr="008075FC">
        <w:rPr>
          <w:sz w:val="22"/>
          <w:szCs w:val="22"/>
        </w:rPr>
        <w:t xml:space="preserve">The </w:t>
      </w:r>
      <w:r w:rsidR="00F62790" w:rsidRPr="008075FC">
        <w:rPr>
          <w:sz w:val="22"/>
          <w:szCs w:val="22"/>
        </w:rPr>
        <w:t xml:space="preserve">economic </w:t>
      </w:r>
      <w:r w:rsidR="00CA0AF5" w:rsidRPr="008075FC">
        <w:rPr>
          <w:sz w:val="22"/>
          <w:szCs w:val="22"/>
        </w:rPr>
        <w:t xml:space="preserve">growth in West Africa over the past </w:t>
      </w:r>
      <w:r w:rsidR="00F62790" w:rsidRPr="008075FC">
        <w:rPr>
          <w:sz w:val="22"/>
          <w:szCs w:val="22"/>
        </w:rPr>
        <w:t xml:space="preserve">10 </w:t>
      </w:r>
      <w:r w:rsidR="00CA0AF5" w:rsidRPr="008075FC">
        <w:rPr>
          <w:sz w:val="22"/>
          <w:szCs w:val="22"/>
        </w:rPr>
        <w:t>years has been explosive and in 2018, West Africa housed 3 of the 10 fastest growing economi</w:t>
      </w:r>
      <w:r w:rsidR="00F62790" w:rsidRPr="008075FC">
        <w:rPr>
          <w:sz w:val="22"/>
          <w:szCs w:val="22"/>
        </w:rPr>
        <w:t>e</w:t>
      </w:r>
      <w:r w:rsidR="00CA0AF5" w:rsidRPr="008075FC">
        <w:rPr>
          <w:sz w:val="22"/>
          <w:szCs w:val="22"/>
        </w:rPr>
        <w:t>s in the world</w:t>
      </w:r>
      <w:r w:rsidR="00765A24">
        <w:rPr>
          <w:sz w:val="22"/>
          <w:szCs w:val="22"/>
        </w:rPr>
        <w:t xml:space="preserve"> </w:t>
      </w:r>
      <w:r w:rsidR="00CA0AF5" w:rsidRPr="008075FC">
        <w:rPr>
          <w:sz w:val="22"/>
          <w:szCs w:val="22"/>
        </w:rPr>
        <w:t>and 6 of the top 10 African countries.</w:t>
      </w:r>
      <w:r w:rsidR="00E20496" w:rsidRPr="008075FC">
        <w:rPr>
          <w:sz w:val="22"/>
          <w:szCs w:val="22"/>
        </w:rPr>
        <w:t xml:space="preserve"> The richest country per capita is </w:t>
      </w:r>
      <w:r w:rsidR="00F55BAB" w:rsidRPr="008075FC">
        <w:rPr>
          <w:sz w:val="22"/>
          <w:szCs w:val="22"/>
        </w:rPr>
        <w:t>Mauritius</w:t>
      </w:r>
      <w:r w:rsidR="00E20496" w:rsidRPr="008075FC">
        <w:rPr>
          <w:sz w:val="22"/>
          <w:szCs w:val="22"/>
        </w:rPr>
        <w:t>, and it has experienced 195% growth</w:t>
      </w:r>
      <w:r w:rsidR="00F55BAB" w:rsidRPr="008075FC">
        <w:rPr>
          <w:sz w:val="22"/>
          <w:szCs w:val="22"/>
        </w:rPr>
        <w:t xml:space="preserve"> in total wealth</w:t>
      </w:r>
      <w:r w:rsidR="00E20496" w:rsidRPr="008075FC">
        <w:rPr>
          <w:sz w:val="22"/>
          <w:szCs w:val="22"/>
        </w:rPr>
        <w:t xml:space="preserve"> over the past 10 yea</w:t>
      </w:r>
      <w:r w:rsidR="00890F96" w:rsidRPr="008075FC">
        <w:rPr>
          <w:sz w:val="22"/>
          <w:szCs w:val="22"/>
        </w:rPr>
        <w:t>r</w:t>
      </w:r>
      <w:r w:rsidR="00E20496" w:rsidRPr="008075FC">
        <w:rPr>
          <w:sz w:val="22"/>
          <w:szCs w:val="22"/>
        </w:rPr>
        <w:t>s</w:t>
      </w:r>
      <w:r w:rsidR="00990D88">
        <w:rPr>
          <w:sz w:val="22"/>
          <w:szCs w:val="22"/>
        </w:rPr>
        <w:t xml:space="preserve"> (Coulibaly)</w:t>
      </w:r>
      <w:r w:rsidR="00890F96" w:rsidRPr="008075FC">
        <w:rPr>
          <w:sz w:val="22"/>
          <w:szCs w:val="22"/>
        </w:rPr>
        <w:t xml:space="preserve">. Cote d’Ivoire, exhibiting the second fastest growth wealth per capita, grew by 43%. The entire region’s real GDP growth is 6% since 2014, excluding a </w:t>
      </w:r>
      <w:r w:rsidR="002D0DF3" w:rsidRPr="008075FC">
        <w:rPr>
          <w:sz w:val="22"/>
          <w:szCs w:val="22"/>
        </w:rPr>
        <w:t xml:space="preserve">shock and </w:t>
      </w:r>
      <w:r w:rsidR="005E1799">
        <w:rPr>
          <w:sz w:val="22"/>
          <w:szCs w:val="22"/>
        </w:rPr>
        <w:t xml:space="preserve">a </w:t>
      </w:r>
      <w:r w:rsidR="002D0DF3" w:rsidRPr="008075FC">
        <w:rPr>
          <w:sz w:val="22"/>
          <w:szCs w:val="22"/>
        </w:rPr>
        <w:t>conflict</w:t>
      </w:r>
      <w:r w:rsidR="00890F96" w:rsidRPr="008075FC">
        <w:rPr>
          <w:sz w:val="22"/>
          <w:szCs w:val="22"/>
        </w:rPr>
        <w:t xml:space="preserve"> prone Nigeria</w:t>
      </w:r>
      <w:r w:rsidR="005E1799">
        <w:rPr>
          <w:sz w:val="22"/>
          <w:szCs w:val="22"/>
        </w:rPr>
        <w:t xml:space="preserve"> (REO 2019, 7)</w:t>
      </w:r>
      <w:r w:rsidR="00890F96" w:rsidRPr="008075FC">
        <w:rPr>
          <w:sz w:val="22"/>
          <w:szCs w:val="22"/>
        </w:rPr>
        <w:t xml:space="preserve">. </w:t>
      </w:r>
      <w:r w:rsidR="00704E27" w:rsidRPr="008075FC">
        <w:rPr>
          <w:sz w:val="22"/>
          <w:szCs w:val="22"/>
        </w:rPr>
        <w:t xml:space="preserve">Despite these growth trends, West Africa has the largest number of countries with greater than 30% below the $1.90 international poverty line. </w:t>
      </w:r>
      <w:r w:rsidR="00890F96" w:rsidRPr="008075FC">
        <w:rPr>
          <w:sz w:val="22"/>
          <w:szCs w:val="22"/>
        </w:rPr>
        <w:t xml:space="preserve">These </w:t>
      </w:r>
      <w:r w:rsidR="002D0DF3" w:rsidRPr="008075FC">
        <w:rPr>
          <w:sz w:val="22"/>
          <w:szCs w:val="22"/>
        </w:rPr>
        <w:t>trends have</w:t>
      </w:r>
      <w:r w:rsidR="00704E27" w:rsidRPr="008075FC">
        <w:rPr>
          <w:sz w:val="22"/>
          <w:szCs w:val="22"/>
        </w:rPr>
        <w:t xml:space="preserve"> also</w:t>
      </w:r>
      <w:r w:rsidR="002D0DF3" w:rsidRPr="008075FC">
        <w:rPr>
          <w:sz w:val="22"/>
          <w:szCs w:val="22"/>
        </w:rPr>
        <w:t xml:space="preserve"> been accompanied by a steadily rising income inequality, as a large share of the growth has gone to few. </w:t>
      </w:r>
      <w:r w:rsidR="007250AB" w:rsidRPr="008075FC">
        <w:rPr>
          <w:sz w:val="22"/>
          <w:szCs w:val="22"/>
        </w:rPr>
        <w:t xml:space="preserve">The bottom 99% of the entire West African region owns less than the top 1%. </w:t>
      </w:r>
      <w:r w:rsidR="00C64F68" w:rsidRPr="008075FC">
        <w:rPr>
          <w:sz w:val="22"/>
          <w:szCs w:val="22"/>
        </w:rPr>
        <w:t>The largest economy in Africa and West Africa is Nigeria, and the richest man earns roughly 150,000 times more than the bottom 10% spends in yearly consumption</w:t>
      </w:r>
      <w:r w:rsidR="007A126D" w:rsidRPr="008075FC">
        <w:rPr>
          <w:sz w:val="22"/>
          <w:szCs w:val="22"/>
        </w:rPr>
        <w:t xml:space="preserve">. </w:t>
      </w:r>
      <w:r w:rsidR="00F62790" w:rsidRPr="008075FC">
        <w:rPr>
          <w:sz w:val="22"/>
          <w:szCs w:val="22"/>
        </w:rPr>
        <w:t>Nigeria is also the most populous country in West Africa</w:t>
      </w:r>
      <w:r w:rsidR="00CE5289" w:rsidRPr="008075FC">
        <w:rPr>
          <w:sz w:val="22"/>
          <w:szCs w:val="22"/>
        </w:rPr>
        <w:t>, while approximately 53% of the population lives below the $1.90 absolute poverty line as of 2019</w:t>
      </w:r>
      <w:r w:rsidR="005E1799">
        <w:rPr>
          <w:sz w:val="22"/>
          <w:szCs w:val="22"/>
        </w:rPr>
        <w:t xml:space="preserve"> (WAIC 2019, 4)</w:t>
      </w:r>
      <w:r w:rsidR="00CE5289" w:rsidRPr="008075FC">
        <w:rPr>
          <w:sz w:val="22"/>
          <w:szCs w:val="22"/>
        </w:rPr>
        <w:t xml:space="preserve">. </w:t>
      </w:r>
      <w:r w:rsidR="007A126D" w:rsidRPr="008075FC">
        <w:rPr>
          <w:sz w:val="22"/>
          <w:szCs w:val="22"/>
        </w:rPr>
        <w:t>The second largest economy in West Africa is Ghana and the top 10% of Ghanaians consume more than the bottom 60%</w:t>
      </w:r>
      <w:r w:rsidR="005E1799">
        <w:rPr>
          <w:sz w:val="22"/>
          <w:szCs w:val="22"/>
        </w:rPr>
        <w:t xml:space="preserve"> (World Bank data)</w:t>
      </w:r>
      <w:r w:rsidR="00D26A2B" w:rsidRPr="008075FC">
        <w:rPr>
          <w:sz w:val="22"/>
          <w:szCs w:val="22"/>
        </w:rPr>
        <w:t>. This trend in inequality is not exclusive to income</w:t>
      </w:r>
      <w:r w:rsidR="00F62790" w:rsidRPr="008075FC">
        <w:rPr>
          <w:sz w:val="22"/>
          <w:szCs w:val="22"/>
        </w:rPr>
        <w:t>. In educational</w:t>
      </w:r>
      <w:r w:rsidR="00113323" w:rsidRPr="008075FC">
        <w:rPr>
          <w:sz w:val="22"/>
          <w:szCs w:val="22"/>
        </w:rPr>
        <w:t xml:space="preserve"> and gender</w:t>
      </w:r>
      <w:r w:rsidR="00F62790" w:rsidRPr="008075FC">
        <w:rPr>
          <w:sz w:val="22"/>
          <w:szCs w:val="22"/>
        </w:rPr>
        <w:t xml:space="preserve"> inequality, a</w:t>
      </w:r>
      <w:r w:rsidR="00D26A2B" w:rsidRPr="008075FC">
        <w:rPr>
          <w:sz w:val="22"/>
          <w:szCs w:val="22"/>
        </w:rPr>
        <w:t xml:space="preserve"> poor woman in Ghana is 14 times less likely to attend school than a rich woman</w:t>
      </w:r>
      <w:r w:rsidR="00C64F68" w:rsidRPr="008075FC">
        <w:rPr>
          <w:sz w:val="22"/>
          <w:szCs w:val="22"/>
        </w:rPr>
        <w:t xml:space="preserve"> </w:t>
      </w:r>
      <w:r w:rsidR="00F62790" w:rsidRPr="008075FC">
        <w:rPr>
          <w:sz w:val="22"/>
          <w:szCs w:val="22"/>
        </w:rPr>
        <w:t>and a poor woman in Niger only has a 70% chance of attending school</w:t>
      </w:r>
      <w:r w:rsidR="00C64F68" w:rsidRPr="008075FC">
        <w:rPr>
          <w:sz w:val="22"/>
          <w:szCs w:val="22"/>
        </w:rPr>
        <w:t>.</w:t>
      </w:r>
      <w:r w:rsidR="007A126D" w:rsidRPr="008075FC">
        <w:rPr>
          <w:sz w:val="22"/>
          <w:szCs w:val="22"/>
        </w:rPr>
        <w:t xml:space="preserve"> </w:t>
      </w:r>
      <w:r w:rsidR="00F62790" w:rsidRPr="008075FC">
        <w:rPr>
          <w:sz w:val="22"/>
          <w:szCs w:val="22"/>
        </w:rPr>
        <w:t>Only 50% of Niger women attend primary school</w:t>
      </w:r>
      <w:r w:rsidR="005E1799">
        <w:rPr>
          <w:sz w:val="22"/>
          <w:szCs w:val="22"/>
        </w:rPr>
        <w:t xml:space="preserve"> (GDHS, 33)</w:t>
      </w:r>
      <w:r w:rsidR="0066754C" w:rsidRPr="008075FC">
        <w:rPr>
          <w:sz w:val="22"/>
          <w:szCs w:val="22"/>
        </w:rPr>
        <w:t>.</w:t>
      </w:r>
      <w:r w:rsidR="00113323" w:rsidRPr="008075FC">
        <w:rPr>
          <w:sz w:val="22"/>
          <w:szCs w:val="22"/>
        </w:rPr>
        <w:t xml:space="preserve"> According to the Gender Inequality Index, West African countries are all ranked the in the bottom 30 countries worldwide</w:t>
      </w:r>
      <w:r w:rsidR="005C3105">
        <w:rPr>
          <w:sz w:val="22"/>
          <w:szCs w:val="22"/>
        </w:rPr>
        <w:t xml:space="preserve"> (UNDP, GII)</w:t>
      </w:r>
      <w:r w:rsidR="00113323" w:rsidRPr="008075FC">
        <w:rPr>
          <w:sz w:val="22"/>
          <w:szCs w:val="22"/>
        </w:rPr>
        <w:t xml:space="preserve">. This </w:t>
      </w:r>
      <w:r w:rsidR="00DF7BA8">
        <w:rPr>
          <w:sz w:val="22"/>
          <w:szCs w:val="22"/>
        </w:rPr>
        <w:t xml:space="preserve">inequality is </w:t>
      </w:r>
      <w:r w:rsidR="00113323" w:rsidRPr="008075FC">
        <w:rPr>
          <w:sz w:val="22"/>
          <w:szCs w:val="22"/>
        </w:rPr>
        <w:t>also reflected in the United Nations Human Development Index, where each country falls into the lowest category of gender equality, focusing on healthcare, education and living standard</w:t>
      </w:r>
      <w:r w:rsidR="00EE7EFF" w:rsidRPr="008075FC">
        <w:rPr>
          <w:sz w:val="22"/>
          <w:szCs w:val="22"/>
        </w:rPr>
        <w:t xml:space="preserve"> inequalities</w:t>
      </w:r>
      <w:r w:rsidR="005C3105">
        <w:rPr>
          <w:sz w:val="22"/>
          <w:szCs w:val="22"/>
        </w:rPr>
        <w:t xml:space="preserve"> (UNDP, HDI)</w:t>
      </w:r>
      <w:r w:rsidR="00113323" w:rsidRPr="008075FC">
        <w:rPr>
          <w:sz w:val="22"/>
          <w:szCs w:val="22"/>
        </w:rPr>
        <w:t xml:space="preserve">.  </w:t>
      </w:r>
    </w:p>
    <w:p w14:paraId="3E42EC14" w14:textId="495E2DFE" w:rsidR="008075FC" w:rsidRPr="008075FC" w:rsidRDefault="00592237" w:rsidP="00592237">
      <w:pPr>
        <w:rPr>
          <w:sz w:val="22"/>
          <w:szCs w:val="22"/>
        </w:rPr>
      </w:pPr>
      <w:r w:rsidRPr="008075FC">
        <w:rPr>
          <w:sz w:val="22"/>
          <w:szCs w:val="22"/>
        </w:rPr>
        <w:tab/>
        <w:t>Amidst th</w:t>
      </w:r>
      <w:r w:rsidR="00FD2BF7" w:rsidRPr="008075FC">
        <w:rPr>
          <w:sz w:val="22"/>
          <w:szCs w:val="22"/>
        </w:rPr>
        <w:t xml:space="preserve">e trend of </w:t>
      </w:r>
      <w:r w:rsidRPr="008075FC">
        <w:rPr>
          <w:sz w:val="22"/>
          <w:szCs w:val="22"/>
        </w:rPr>
        <w:t>rapidly increasing inequality, the largest Ebola epidemic began on December 6</w:t>
      </w:r>
      <w:r w:rsidRPr="008075FC">
        <w:rPr>
          <w:sz w:val="22"/>
          <w:szCs w:val="22"/>
          <w:vertAlign w:val="superscript"/>
        </w:rPr>
        <w:t>th</w:t>
      </w:r>
      <w:r w:rsidRPr="008075FC">
        <w:rPr>
          <w:sz w:val="22"/>
          <w:szCs w:val="22"/>
        </w:rPr>
        <w:t xml:space="preserve">, 2013 in a small town within </w:t>
      </w:r>
      <w:proofErr w:type="spellStart"/>
      <w:r w:rsidRPr="008075FC">
        <w:rPr>
          <w:sz w:val="22"/>
          <w:szCs w:val="22"/>
        </w:rPr>
        <w:t>Guéckédou</w:t>
      </w:r>
      <w:proofErr w:type="spellEnd"/>
      <w:r w:rsidRPr="008075FC">
        <w:rPr>
          <w:sz w:val="22"/>
          <w:szCs w:val="22"/>
        </w:rPr>
        <w:t xml:space="preserve"> prefecture, Guinea. By August 2014, the World Health Organization had declared this outbreak as a Public Health Emergency of International Concern. </w:t>
      </w:r>
      <w:r w:rsidR="0000214D" w:rsidRPr="008075FC">
        <w:rPr>
          <w:sz w:val="22"/>
          <w:szCs w:val="22"/>
        </w:rPr>
        <w:t xml:space="preserve">This delay in international assistance was due to the lack of leadership in these West African Countries. </w:t>
      </w:r>
      <w:r w:rsidR="00F34F81" w:rsidRPr="008075FC">
        <w:rPr>
          <w:sz w:val="22"/>
          <w:szCs w:val="22"/>
        </w:rPr>
        <w:t xml:space="preserve">Figure 1. illustrates </w:t>
      </w:r>
      <w:r w:rsidR="00FD2BF7" w:rsidRPr="008075FC">
        <w:rPr>
          <w:sz w:val="22"/>
          <w:szCs w:val="22"/>
        </w:rPr>
        <w:t>the spread of</w:t>
      </w:r>
      <w:r w:rsidR="00F34F81" w:rsidRPr="008075FC">
        <w:rPr>
          <w:sz w:val="22"/>
          <w:szCs w:val="22"/>
        </w:rPr>
        <w:t xml:space="preserve"> Ebola </w:t>
      </w:r>
      <w:r w:rsidR="00FD2BF7" w:rsidRPr="008075FC">
        <w:rPr>
          <w:sz w:val="22"/>
          <w:szCs w:val="22"/>
        </w:rPr>
        <w:t xml:space="preserve">after </w:t>
      </w:r>
      <w:r w:rsidR="00F34F81" w:rsidRPr="008075FC">
        <w:rPr>
          <w:sz w:val="22"/>
          <w:szCs w:val="22"/>
        </w:rPr>
        <w:t xml:space="preserve">reaching Liberia and Sierra Leone using Centers for Disease Controls data. The only other West African country to see Ebola cases was Nigeria with 20 cases. The Nigerian national response was immediate. The Nigerian CDC was </w:t>
      </w:r>
      <w:r w:rsidR="00FD2BF7" w:rsidRPr="008075FC">
        <w:rPr>
          <w:sz w:val="22"/>
          <w:szCs w:val="22"/>
        </w:rPr>
        <w:t>mobilized,</w:t>
      </w:r>
      <w:r w:rsidR="00F34F81" w:rsidRPr="008075FC">
        <w:rPr>
          <w:sz w:val="22"/>
          <w:szCs w:val="22"/>
        </w:rPr>
        <w:t xml:space="preserve"> and all national entry points were monitored using infra-red temperature checks</w:t>
      </w:r>
      <w:r w:rsidR="005C3105">
        <w:rPr>
          <w:sz w:val="22"/>
          <w:szCs w:val="22"/>
        </w:rPr>
        <w:t xml:space="preserve"> (Alexander, PMC)</w:t>
      </w:r>
      <w:r w:rsidR="00F34F81" w:rsidRPr="008075FC">
        <w:rPr>
          <w:sz w:val="22"/>
          <w:szCs w:val="22"/>
        </w:rPr>
        <w:t>.</w:t>
      </w:r>
      <w:r w:rsidR="00000D17" w:rsidRPr="008075FC">
        <w:rPr>
          <w:sz w:val="22"/>
          <w:szCs w:val="22"/>
        </w:rPr>
        <w:t xml:space="preserve"> In Ghana, organizations like the World Health Organization, UNICEF, the World Food </w:t>
      </w:r>
      <w:proofErr w:type="spellStart"/>
      <w:r w:rsidR="00000D17" w:rsidRPr="008075FC">
        <w:rPr>
          <w:sz w:val="22"/>
          <w:szCs w:val="22"/>
        </w:rPr>
        <w:t>Programme</w:t>
      </w:r>
      <w:proofErr w:type="spellEnd"/>
      <w:r w:rsidR="00000D17" w:rsidRPr="008075FC">
        <w:rPr>
          <w:sz w:val="22"/>
          <w:szCs w:val="22"/>
        </w:rPr>
        <w:t xml:space="preserve"> and International Federation of Red Cross worked in concert with the Ministry of Health of Guinea to combat Ebola Virus Disease</w:t>
      </w:r>
      <w:r w:rsidR="00AB2583" w:rsidRPr="008075FC">
        <w:rPr>
          <w:sz w:val="22"/>
          <w:szCs w:val="22"/>
        </w:rPr>
        <w:t xml:space="preserve"> </w:t>
      </w:r>
      <w:r w:rsidR="00000D17" w:rsidRPr="008075FC">
        <w:rPr>
          <w:sz w:val="22"/>
          <w:szCs w:val="22"/>
        </w:rPr>
        <w:t xml:space="preserve">(EVD). The Red Cross, for instance, handled the burials, ensuring the burials safety and cultural dignity because traditional burial practices involve the physical handling of the deceased. Unsanitary burial </w:t>
      </w:r>
      <w:r w:rsidR="00000D17" w:rsidRPr="008075FC">
        <w:rPr>
          <w:sz w:val="22"/>
          <w:szCs w:val="22"/>
        </w:rPr>
        <w:lastRenderedPageBreak/>
        <w:t>practices in Guinea has been linked with 60% of the transmissions, as the women in Guinean communities wash the deceased and then return to their families</w:t>
      </w:r>
      <w:r w:rsidR="005C3105">
        <w:rPr>
          <w:sz w:val="22"/>
          <w:szCs w:val="22"/>
        </w:rPr>
        <w:t xml:space="preserve"> (Chan)</w:t>
      </w:r>
      <w:r w:rsidR="00000D17" w:rsidRPr="008075FC">
        <w:rPr>
          <w:sz w:val="22"/>
          <w:szCs w:val="22"/>
        </w:rPr>
        <w:t xml:space="preserve">. UNICEF was the lead in sanitation infrastructure, such as clean water and better hygiene, and the World Food </w:t>
      </w:r>
      <w:proofErr w:type="spellStart"/>
      <w:r w:rsidR="00000D17" w:rsidRPr="008075FC">
        <w:rPr>
          <w:sz w:val="22"/>
          <w:szCs w:val="22"/>
        </w:rPr>
        <w:t>Programme</w:t>
      </w:r>
      <w:proofErr w:type="spellEnd"/>
      <w:r w:rsidR="00000D17" w:rsidRPr="008075FC">
        <w:rPr>
          <w:sz w:val="22"/>
          <w:szCs w:val="22"/>
        </w:rPr>
        <w:t xml:space="preserve"> supplied food to </w:t>
      </w:r>
      <w:r w:rsidR="00F64241" w:rsidRPr="008075FC">
        <w:rPr>
          <w:sz w:val="22"/>
          <w:szCs w:val="22"/>
        </w:rPr>
        <w:t xml:space="preserve">disrupted food supply chains. </w:t>
      </w:r>
      <w:r w:rsidR="008075FC" w:rsidRPr="008075FC">
        <w:rPr>
          <w:sz w:val="22"/>
          <w:szCs w:val="22"/>
        </w:rPr>
        <w:t>The second country to confirm EVD was Sierra Leone. The operation to fight EVD was named Operation Northern Push. The strategy was to “identify, contain and eradicate” Ebola using contact tracing with which the operation traced the social contacts of infected persons</w:t>
      </w:r>
      <w:r w:rsidR="005C3105">
        <w:rPr>
          <w:sz w:val="22"/>
          <w:szCs w:val="22"/>
        </w:rPr>
        <w:t xml:space="preserve"> (GEP, Guinea)</w:t>
      </w:r>
      <w:r w:rsidR="008075FC" w:rsidRPr="008075FC">
        <w:rPr>
          <w:sz w:val="22"/>
          <w:szCs w:val="22"/>
        </w:rPr>
        <w:t>. Again, external countries provided aid to the Sierra Leone Government.</w:t>
      </w:r>
      <w:r w:rsidR="008075FC">
        <w:rPr>
          <w:sz w:val="22"/>
          <w:szCs w:val="22"/>
        </w:rPr>
        <w:t xml:space="preserve"> For example, the U.S. CDC sent teams to train healthcare</w:t>
      </w:r>
    </w:p>
    <w:p w14:paraId="7926F23E" w14:textId="77777777" w:rsidR="00161530" w:rsidRDefault="00F34F81" w:rsidP="00161530">
      <w:pPr>
        <w:keepNext/>
      </w:pPr>
      <w:r>
        <w:rPr>
          <w:noProof/>
        </w:rPr>
        <w:drawing>
          <wp:inline distT="0" distB="0" distL="0" distR="0" wp14:anchorId="7BB7D499" wp14:editId="1084B3F3">
            <wp:extent cx="5943600" cy="41141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olaCas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666C5FED" w14:textId="1593E813" w:rsidR="00F34F81" w:rsidRPr="00592237" w:rsidRDefault="00161530" w:rsidP="00161530">
      <w:pPr>
        <w:pStyle w:val="Caption"/>
      </w:pPr>
      <w:r>
        <w:t xml:space="preserve">Figure </w:t>
      </w:r>
      <w:fldSimple w:instr=" SEQ Figure \* ARABIC ">
        <w:r w:rsidR="00F32BB5">
          <w:rPr>
            <w:noProof/>
          </w:rPr>
          <w:t>1</w:t>
        </w:r>
      </w:fldSimple>
      <w:r>
        <w:t>:</w:t>
      </w:r>
      <w:r w:rsidRPr="00945543">
        <w:t xml:space="preserve"> Ebola cases in Guinea, Liberia and Sierra Leone time series</w:t>
      </w:r>
    </w:p>
    <w:p w14:paraId="55F73DCE" w14:textId="752A7C74" w:rsidR="00022DF3" w:rsidRDefault="00022DF3" w:rsidP="00022DF3">
      <w:pPr>
        <w:rPr>
          <w:b/>
          <w:bCs/>
          <w:sz w:val="28"/>
          <w:szCs w:val="28"/>
        </w:rPr>
      </w:pPr>
    </w:p>
    <w:p w14:paraId="0D2B358C" w14:textId="5FE531FA" w:rsidR="004E3AEF" w:rsidRDefault="006C68B1" w:rsidP="00022DF3">
      <w:pPr>
        <w:rPr>
          <w:sz w:val="22"/>
          <w:szCs w:val="22"/>
        </w:rPr>
      </w:pPr>
      <w:r w:rsidRPr="008075FC">
        <w:rPr>
          <w:sz w:val="22"/>
          <w:szCs w:val="22"/>
        </w:rPr>
        <w:t xml:space="preserve">workers and oversee policies to combat EVD. Sierra Leone was the hardest hit country, as hospitals </w:t>
      </w:r>
      <w:r w:rsidR="00765A24">
        <w:rPr>
          <w:sz w:val="22"/>
          <w:szCs w:val="22"/>
        </w:rPr>
        <w:t>reached capacity</w:t>
      </w:r>
      <w:r w:rsidRPr="008075FC">
        <w:rPr>
          <w:sz w:val="22"/>
          <w:szCs w:val="22"/>
        </w:rPr>
        <w:t xml:space="preserve"> and bodies were thrown into rivers or slums.</w:t>
      </w:r>
      <w:r w:rsidR="002476FE">
        <w:rPr>
          <w:sz w:val="22"/>
          <w:szCs w:val="22"/>
        </w:rPr>
        <w:t xml:space="preserve"> In 2014, Sierra Leone implemented a </w:t>
      </w:r>
      <w:r w:rsidR="00D56039">
        <w:rPr>
          <w:sz w:val="22"/>
          <w:szCs w:val="22"/>
        </w:rPr>
        <w:t>three-day</w:t>
      </w:r>
      <w:r w:rsidR="002476FE">
        <w:rPr>
          <w:sz w:val="22"/>
          <w:szCs w:val="22"/>
        </w:rPr>
        <w:t xml:space="preserve"> lockdown, intended to alleviate pressure from healthcare workers and provide them with more time to monitor for and trace infections</w:t>
      </w:r>
      <w:r w:rsidR="001812F5">
        <w:rPr>
          <w:sz w:val="22"/>
          <w:szCs w:val="22"/>
        </w:rPr>
        <w:t xml:space="preserve"> (CDC)</w:t>
      </w:r>
      <w:r w:rsidR="003A79A4">
        <w:rPr>
          <w:sz w:val="22"/>
          <w:szCs w:val="22"/>
        </w:rPr>
        <w:t>.</w:t>
      </w:r>
      <w:r w:rsidRPr="008075FC">
        <w:rPr>
          <w:sz w:val="22"/>
          <w:szCs w:val="22"/>
        </w:rPr>
        <w:t xml:space="preserve"> Liberia was the third country to have cases of EVD, </w:t>
      </w:r>
      <w:r w:rsidR="00765A24">
        <w:rPr>
          <w:sz w:val="22"/>
          <w:szCs w:val="22"/>
        </w:rPr>
        <w:t>and</w:t>
      </w:r>
      <w:r w:rsidR="0000214D" w:rsidRPr="008075FC">
        <w:rPr>
          <w:sz w:val="22"/>
          <w:szCs w:val="22"/>
        </w:rPr>
        <w:t xml:space="preserve"> its medical infrastructure had been damaged by two civil wars and general political instability. Stunningly, there were only 30 physicians left to combat EVD</w:t>
      </w:r>
      <w:r w:rsidR="001A47A2">
        <w:rPr>
          <w:sz w:val="22"/>
          <w:szCs w:val="22"/>
        </w:rPr>
        <w:t xml:space="preserve"> and, 7 months into the onset of the disease, Liberia experienced a 40% decrease in </w:t>
      </w:r>
      <w:r w:rsidR="0005485F">
        <w:rPr>
          <w:sz w:val="22"/>
          <w:szCs w:val="22"/>
        </w:rPr>
        <w:t>persons</w:t>
      </w:r>
      <w:r w:rsidR="001A47A2">
        <w:rPr>
          <w:sz w:val="22"/>
          <w:szCs w:val="22"/>
        </w:rPr>
        <w:t xml:space="preserve"> working</w:t>
      </w:r>
      <w:r w:rsidR="001812F5">
        <w:rPr>
          <w:sz w:val="22"/>
          <w:szCs w:val="22"/>
        </w:rPr>
        <w:t xml:space="preserve"> (WAEC)</w:t>
      </w:r>
      <w:r w:rsidR="004E3AEF">
        <w:rPr>
          <w:sz w:val="22"/>
          <w:szCs w:val="22"/>
        </w:rPr>
        <w:t xml:space="preserve">. </w:t>
      </w:r>
      <w:r w:rsidR="008075FC" w:rsidRPr="008075FC">
        <w:rPr>
          <w:sz w:val="22"/>
          <w:szCs w:val="22"/>
        </w:rPr>
        <w:t>In all three countries, EVD response be</w:t>
      </w:r>
      <w:r w:rsidR="006A10E5">
        <w:rPr>
          <w:sz w:val="22"/>
          <w:szCs w:val="22"/>
        </w:rPr>
        <w:t>gins</w:t>
      </w:r>
      <w:r w:rsidR="008075FC" w:rsidRPr="008075FC">
        <w:rPr>
          <w:sz w:val="22"/>
          <w:szCs w:val="22"/>
        </w:rPr>
        <w:t xml:space="preserve"> at the local level and is </w:t>
      </w:r>
      <w:r w:rsidR="001A47A2">
        <w:rPr>
          <w:sz w:val="22"/>
          <w:szCs w:val="22"/>
        </w:rPr>
        <w:t xml:space="preserve">meant to be </w:t>
      </w:r>
      <w:r w:rsidR="008075FC" w:rsidRPr="008075FC">
        <w:rPr>
          <w:sz w:val="22"/>
          <w:szCs w:val="22"/>
        </w:rPr>
        <w:t>supported by international aid only after state, regional and federal resources are at capacity</w:t>
      </w:r>
      <w:r w:rsidR="004E3AEF">
        <w:rPr>
          <w:sz w:val="22"/>
          <w:szCs w:val="22"/>
        </w:rPr>
        <w:t>.</w:t>
      </w:r>
      <w:r w:rsidR="006A10E5">
        <w:rPr>
          <w:sz w:val="22"/>
          <w:szCs w:val="22"/>
        </w:rPr>
        <w:t xml:space="preserve"> </w:t>
      </w:r>
    </w:p>
    <w:p w14:paraId="78E70E56" w14:textId="2A485C3D" w:rsidR="00AB2583" w:rsidRDefault="00216A0F" w:rsidP="00022DF3">
      <w:pPr>
        <w:rPr>
          <w:sz w:val="22"/>
          <w:szCs w:val="22"/>
        </w:rPr>
      </w:pPr>
      <w:r>
        <w:rPr>
          <w:sz w:val="22"/>
          <w:szCs w:val="22"/>
        </w:rPr>
        <w:tab/>
        <w:t xml:space="preserve">An epidemic which is as infectious and fatal as this strain of EVD was, will disrupt a developing nation’s economy deeply. </w:t>
      </w:r>
      <w:r w:rsidR="00E009B0">
        <w:rPr>
          <w:sz w:val="22"/>
          <w:szCs w:val="22"/>
        </w:rPr>
        <w:t>As borders become restricted, such as the Senegal-Guinea border in 2014, trade and transportation across borders will be affected</w:t>
      </w:r>
      <w:r w:rsidR="009625A0">
        <w:rPr>
          <w:sz w:val="22"/>
          <w:szCs w:val="22"/>
        </w:rPr>
        <w:t>. The 2012 Africa Economic Brief found that cross-border activity is a source of income for 43% of Africa’s population</w:t>
      </w:r>
      <w:r w:rsidR="00780AE9">
        <w:rPr>
          <w:sz w:val="22"/>
          <w:szCs w:val="22"/>
        </w:rPr>
        <w:t xml:space="preserve"> </w:t>
      </w:r>
      <w:r w:rsidR="001812F5">
        <w:rPr>
          <w:sz w:val="22"/>
          <w:szCs w:val="22"/>
        </w:rPr>
        <w:t>(AEB, 1)</w:t>
      </w:r>
      <w:r w:rsidR="009625A0">
        <w:rPr>
          <w:sz w:val="22"/>
          <w:szCs w:val="22"/>
        </w:rPr>
        <w:t>. Additionally, high risk areas in Sierra Leone had quarantine restrictions and curfews imposed</w:t>
      </w:r>
      <w:r w:rsidR="00B21ED5">
        <w:rPr>
          <w:sz w:val="22"/>
          <w:szCs w:val="22"/>
        </w:rPr>
        <w:t xml:space="preserve">. A large share of economic activity </w:t>
      </w:r>
      <w:r w:rsidR="00B21ED5">
        <w:rPr>
          <w:sz w:val="22"/>
          <w:szCs w:val="22"/>
        </w:rPr>
        <w:lastRenderedPageBreak/>
        <w:t xml:space="preserve">in the region is from agricultural production because of marketing, processing, transport, importation, etc. </w:t>
      </w:r>
      <w:r w:rsidR="00764992">
        <w:rPr>
          <w:sz w:val="22"/>
          <w:szCs w:val="22"/>
        </w:rPr>
        <w:t xml:space="preserve">Agricultural production as a percentage of GDP ranges from 20 to 50% in this </w:t>
      </w:r>
      <w:r w:rsidR="00764992" w:rsidRPr="00764992">
        <w:rPr>
          <w:sz w:val="22"/>
          <w:szCs w:val="22"/>
        </w:rPr>
        <w:t>region</w:t>
      </w:r>
      <w:r w:rsidR="00764992">
        <w:rPr>
          <w:sz w:val="22"/>
          <w:szCs w:val="22"/>
          <w:vertAlign w:val="superscript"/>
        </w:rPr>
        <w:t>16</w:t>
      </w:r>
      <w:r w:rsidR="00764992">
        <w:rPr>
          <w:sz w:val="22"/>
          <w:szCs w:val="22"/>
        </w:rPr>
        <w:t xml:space="preserve">. </w:t>
      </w:r>
      <w:r w:rsidR="00B21ED5" w:rsidRPr="00764992">
        <w:rPr>
          <w:sz w:val="22"/>
          <w:szCs w:val="22"/>
        </w:rPr>
        <w:t>Farmers</w:t>
      </w:r>
      <w:r w:rsidR="00B21ED5">
        <w:rPr>
          <w:sz w:val="22"/>
          <w:szCs w:val="22"/>
        </w:rPr>
        <w:t xml:space="preserve"> faced difficulty in transporting their goods to areas of consumption</w:t>
      </w:r>
      <w:r w:rsidR="00DF7BA8">
        <w:rPr>
          <w:sz w:val="22"/>
          <w:szCs w:val="22"/>
        </w:rPr>
        <w:t>.</w:t>
      </w:r>
      <w:r w:rsidR="00B21ED5">
        <w:rPr>
          <w:sz w:val="22"/>
          <w:szCs w:val="22"/>
        </w:rPr>
        <w:t xml:space="preserve"> Rice producing areas in Guinea and Sierra Leone were also areas of high EVD incidence, so consumers</w:t>
      </w:r>
      <w:r w:rsidR="00676665">
        <w:rPr>
          <w:sz w:val="22"/>
          <w:szCs w:val="22"/>
        </w:rPr>
        <w:t xml:space="preserve"> </w:t>
      </w:r>
      <w:r w:rsidR="00B21ED5">
        <w:rPr>
          <w:sz w:val="22"/>
          <w:szCs w:val="22"/>
        </w:rPr>
        <w:t>believe</w:t>
      </w:r>
      <w:r w:rsidR="00676665">
        <w:rPr>
          <w:sz w:val="22"/>
          <w:szCs w:val="22"/>
        </w:rPr>
        <w:t>d</w:t>
      </w:r>
      <w:r w:rsidR="00B21ED5">
        <w:rPr>
          <w:sz w:val="22"/>
          <w:szCs w:val="22"/>
        </w:rPr>
        <w:t xml:space="preserve"> that these sources of rice were </w:t>
      </w:r>
      <w:r w:rsidR="00676665">
        <w:rPr>
          <w:sz w:val="22"/>
          <w:szCs w:val="22"/>
        </w:rPr>
        <w:t xml:space="preserve">potentially </w:t>
      </w:r>
      <w:r w:rsidR="00B21ED5">
        <w:rPr>
          <w:sz w:val="22"/>
          <w:szCs w:val="22"/>
        </w:rPr>
        <w:t xml:space="preserve">unsafe. Consumer behavior changed, as did labor. The region experienced a labor shortage, as fear of contamination </w:t>
      </w:r>
      <w:r w:rsidR="00676665">
        <w:rPr>
          <w:sz w:val="22"/>
          <w:szCs w:val="22"/>
        </w:rPr>
        <w:t xml:space="preserve">from working in collective farming affected the labor supply. </w:t>
      </w:r>
      <w:r w:rsidR="00764992">
        <w:rPr>
          <w:sz w:val="22"/>
          <w:szCs w:val="22"/>
        </w:rPr>
        <w:t>Traders of rice, the link in the production chain that is responsible for transporting the rice to consumers, were afraid to collect rice from these areas</w:t>
      </w:r>
      <w:r w:rsidR="00C8293E">
        <w:rPr>
          <w:sz w:val="22"/>
          <w:szCs w:val="22"/>
        </w:rPr>
        <w:t xml:space="preserve"> (</w:t>
      </w:r>
      <w:r w:rsidR="00C8293E" w:rsidRPr="000770C5">
        <w:rPr>
          <w:sz w:val="22"/>
          <w:szCs w:val="22"/>
        </w:rPr>
        <w:t>FAOUN)</w:t>
      </w:r>
      <w:r w:rsidR="00764992" w:rsidRPr="000770C5">
        <w:rPr>
          <w:sz w:val="22"/>
          <w:szCs w:val="22"/>
        </w:rPr>
        <w:t xml:space="preserve">. </w:t>
      </w:r>
      <w:r w:rsidR="00573E04" w:rsidRPr="000770C5">
        <w:rPr>
          <w:sz w:val="22"/>
          <w:szCs w:val="22"/>
        </w:rPr>
        <w:t xml:space="preserve">Another affected industry was the mining industry due to labor shortages from </w:t>
      </w:r>
      <w:r w:rsidR="00765A24" w:rsidRPr="000770C5">
        <w:rPr>
          <w:sz w:val="22"/>
          <w:szCs w:val="22"/>
        </w:rPr>
        <w:t xml:space="preserve">travel </w:t>
      </w:r>
      <w:r w:rsidR="00573E04" w:rsidRPr="000770C5">
        <w:rPr>
          <w:sz w:val="22"/>
          <w:szCs w:val="22"/>
        </w:rPr>
        <w:t>restrictions and fear</w:t>
      </w:r>
      <w:r w:rsidR="00765A24" w:rsidRPr="000770C5">
        <w:rPr>
          <w:sz w:val="22"/>
          <w:szCs w:val="22"/>
        </w:rPr>
        <w:t xml:space="preserve"> of infection</w:t>
      </w:r>
      <w:r w:rsidR="00573E04" w:rsidRPr="000770C5">
        <w:rPr>
          <w:sz w:val="22"/>
          <w:szCs w:val="22"/>
        </w:rPr>
        <w:t xml:space="preserve">. A </w:t>
      </w:r>
      <w:r w:rsidR="004258DF" w:rsidRPr="000770C5">
        <w:rPr>
          <w:sz w:val="22"/>
          <w:szCs w:val="22"/>
        </w:rPr>
        <w:t>World Bank</w:t>
      </w:r>
      <w:r w:rsidR="00573E04" w:rsidRPr="000770C5">
        <w:rPr>
          <w:sz w:val="22"/>
          <w:szCs w:val="22"/>
        </w:rPr>
        <w:t xml:space="preserve"> report shows that the prices of gold and iron declined by 30-60% during 2015</w:t>
      </w:r>
      <w:r w:rsidR="00701771" w:rsidRPr="000770C5">
        <w:rPr>
          <w:sz w:val="22"/>
          <w:szCs w:val="22"/>
        </w:rPr>
        <w:t xml:space="preserve"> (WAECIU)</w:t>
      </w:r>
      <w:r w:rsidR="00573E04" w:rsidRPr="000770C5">
        <w:rPr>
          <w:sz w:val="22"/>
          <w:szCs w:val="22"/>
        </w:rPr>
        <w:t>.</w:t>
      </w:r>
      <w:r w:rsidR="00573E04">
        <w:rPr>
          <w:sz w:val="22"/>
          <w:szCs w:val="22"/>
        </w:rPr>
        <w:t xml:space="preserve"> Rio Tinto, a mining company, halted work on a $20 billion-dollar iron mine due to the labor shortage</w:t>
      </w:r>
      <w:r w:rsidR="000770C5">
        <w:rPr>
          <w:sz w:val="22"/>
          <w:szCs w:val="22"/>
        </w:rPr>
        <w:t xml:space="preserve"> (</w:t>
      </w:r>
      <w:r w:rsidR="000770C5" w:rsidRPr="000770C5">
        <w:rPr>
          <w:sz w:val="22"/>
          <w:szCs w:val="22"/>
        </w:rPr>
        <w:t>McGroarty</w:t>
      </w:r>
      <w:r w:rsidR="000770C5" w:rsidRPr="000770C5">
        <w:rPr>
          <w:sz w:val="22"/>
          <w:szCs w:val="22"/>
        </w:rPr>
        <w:t>, WSJ)</w:t>
      </w:r>
      <w:r w:rsidR="00573E04" w:rsidRPr="000770C5">
        <w:rPr>
          <w:sz w:val="22"/>
          <w:szCs w:val="22"/>
        </w:rPr>
        <w:t>.</w:t>
      </w:r>
      <w:r w:rsidR="004B01EE">
        <w:rPr>
          <w:sz w:val="22"/>
          <w:szCs w:val="22"/>
        </w:rPr>
        <w:t xml:space="preserve"> This is an example of </w:t>
      </w:r>
      <w:r w:rsidR="00765A24">
        <w:rPr>
          <w:sz w:val="22"/>
          <w:szCs w:val="22"/>
        </w:rPr>
        <w:t xml:space="preserve">the </w:t>
      </w:r>
      <w:r w:rsidR="004B01EE">
        <w:rPr>
          <w:sz w:val="22"/>
          <w:szCs w:val="22"/>
        </w:rPr>
        <w:t>Ebola</w:t>
      </w:r>
      <w:r w:rsidR="00765A24">
        <w:rPr>
          <w:sz w:val="22"/>
          <w:szCs w:val="22"/>
        </w:rPr>
        <w:t xml:space="preserve"> epidemics’</w:t>
      </w:r>
      <w:r w:rsidR="004B01EE">
        <w:rPr>
          <w:sz w:val="22"/>
          <w:szCs w:val="22"/>
        </w:rPr>
        <w:t xml:space="preserve"> scare effect. Investors lost confidence in the region, halting funding to operations</w:t>
      </w:r>
      <w:r w:rsidR="00765A24">
        <w:rPr>
          <w:sz w:val="22"/>
          <w:szCs w:val="22"/>
        </w:rPr>
        <w:t xml:space="preserve"> across the region</w:t>
      </w:r>
      <w:r w:rsidR="004B01EE">
        <w:rPr>
          <w:sz w:val="22"/>
          <w:szCs w:val="22"/>
        </w:rPr>
        <w:t>. As economic activity declined, so did revenues from tariffs and taxes. In 2015, the World Bank estimated that the deficit as a percent of GDP was 7.6% averaging over the three affected countries</w:t>
      </w:r>
      <w:r w:rsidR="000C048D">
        <w:rPr>
          <w:sz w:val="22"/>
          <w:szCs w:val="22"/>
        </w:rPr>
        <w:t xml:space="preserve"> (World Bank data)</w:t>
      </w:r>
      <w:r w:rsidR="004B01EE">
        <w:rPr>
          <w:sz w:val="22"/>
          <w:szCs w:val="22"/>
        </w:rPr>
        <w:t xml:space="preserve">. </w:t>
      </w:r>
    </w:p>
    <w:p w14:paraId="766D7570" w14:textId="750628FF" w:rsidR="00D56039" w:rsidRPr="00573E04" w:rsidRDefault="00D56039" w:rsidP="00022DF3">
      <w:pPr>
        <w:rPr>
          <w:sz w:val="22"/>
          <w:szCs w:val="22"/>
        </w:rPr>
      </w:pPr>
      <w:r>
        <w:rPr>
          <w:sz w:val="22"/>
          <w:szCs w:val="22"/>
        </w:rPr>
        <w:tab/>
      </w:r>
      <w:r w:rsidR="00542E39">
        <w:rPr>
          <w:sz w:val="22"/>
          <w:szCs w:val="22"/>
        </w:rPr>
        <w:t xml:space="preserve">The effect of the EVD outbreak is complicated, and the following economic decline has unclear consequences on the region’s </w:t>
      </w:r>
      <w:r w:rsidR="00463B03">
        <w:rPr>
          <w:sz w:val="22"/>
          <w:szCs w:val="22"/>
        </w:rPr>
        <w:t>i</w:t>
      </w:r>
      <w:r w:rsidR="00542E39">
        <w:rPr>
          <w:sz w:val="22"/>
          <w:szCs w:val="22"/>
        </w:rPr>
        <w:t xml:space="preserve">ncome inequality. </w:t>
      </w:r>
      <w:r>
        <w:rPr>
          <w:sz w:val="22"/>
          <w:szCs w:val="22"/>
        </w:rPr>
        <w:t xml:space="preserve">In this paper </w:t>
      </w:r>
      <w:r w:rsidR="00732990">
        <w:rPr>
          <w:sz w:val="22"/>
          <w:szCs w:val="22"/>
        </w:rPr>
        <w:t>I</w:t>
      </w:r>
      <w:r>
        <w:rPr>
          <w:sz w:val="22"/>
          <w:szCs w:val="22"/>
        </w:rPr>
        <w:t xml:space="preserve"> will </w:t>
      </w:r>
      <w:r w:rsidR="00E06A4E">
        <w:rPr>
          <w:sz w:val="22"/>
          <w:szCs w:val="22"/>
        </w:rPr>
        <w:t xml:space="preserve">use a </w:t>
      </w:r>
      <w:r w:rsidR="00336C99">
        <w:rPr>
          <w:sz w:val="22"/>
          <w:szCs w:val="22"/>
        </w:rPr>
        <w:t>multiple regression</w:t>
      </w:r>
      <w:r w:rsidR="00E06A4E">
        <w:rPr>
          <w:sz w:val="22"/>
          <w:szCs w:val="22"/>
        </w:rPr>
        <w:t xml:space="preserve"> model</w:t>
      </w:r>
      <w:r>
        <w:rPr>
          <w:sz w:val="22"/>
          <w:szCs w:val="22"/>
        </w:rPr>
        <w:t xml:space="preserve"> </w:t>
      </w:r>
      <w:r w:rsidR="00542E39">
        <w:rPr>
          <w:sz w:val="22"/>
          <w:szCs w:val="22"/>
        </w:rPr>
        <w:t>in an attempt to</w:t>
      </w:r>
      <w:r>
        <w:rPr>
          <w:sz w:val="22"/>
          <w:szCs w:val="22"/>
        </w:rPr>
        <w:t xml:space="preserve"> </w:t>
      </w:r>
      <w:r w:rsidR="00FC047C">
        <w:rPr>
          <w:sz w:val="22"/>
          <w:szCs w:val="22"/>
        </w:rPr>
        <w:t>determine</w:t>
      </w:r>
      <w:r>
        <w:rPr>
          <w:sz w:val="22"/>
          <w:szCs w:val="22"/>
        </w:rPr>
        <w:t xml:space="preserve"> the Ebola epidemic’s effect on </w:t>
      </w:r>
      <w:r w:rsidR="00644C8E">
        <w:rPr>
          <w:sz w:val="22"/>
          <w:szCs w:val="22"/>
        </w:rPr>
        <w:t>overall income inequality as a function of higher unemployment</w:t>
      </w:r>
      <w:r w:rsidR="0063550B">
        <w:rPr>
          <w:sz w:val="22"/>
          <w:szCs w:val="22"/>
        </w:rPr>
        <w:t xml:space="preserve"> from the disruption of production markets and</w:t>
      </w:r>
      <w:r w:rsidR="00644C8E">
        <w:rPr>
          <w:sz w:val="22"/>
          <w:szCs w:val="22"/>
        </w:rPr>
        <w:t xml:space="preserve"> lower foreign direct investment (FDI) </w:t>
      </w:r>
      <w:r w:rsidR="0063550B">
        <w:rPr>
          <w:sz w:val="22"/>
          <w:szCs w:val="22"/>
        </w:rPr>
        <w:t>due to investors losing confidence in the region.</w:t>
      </w:r>
      <w:r w:rsidR="00644C8E">
        <w:rPr>
          <w:sz w:val="22"/>
          <w:szCs w:val="22"/>
        </w:rPr>
        <w:t xml:space="preserve"> </w:t>
      </w:r>
    </w:p>
    <w:p w14:paraId="14EA830B" w14:textId="77777777" w:rsidR="00F64241" w:rsidRPr="00022DF3" w:rsidRDefault="00F64241" w:rsidP="00022DF3">
      <w:pPr>
        <w:rPr>
          <w:b/>
          <w:bCs/>
          <w:sz w:val="28"/>
          <w:szCs w:val="28"/>
        </w:rPr>
      </w:pPr>
    </w:p>
    <w:p w14:paraId="078B6CE7" w14:textId="67ABAA10" w:rsidR="007250AB" w:rsidRPr="004919A3" w:rsidRDefault="007250AB" w:rsidP="004919A3">
      <w:pPr>
        <w:pStyle w:val="ListParagraph"/>
        <w:numPr>
          <w:ilvl w:val="0"/>
          <w:numId w:val="3"/>
        </w:numPr>
        <w:rPr>
          <w:b/>
          <w:bCs/>
          <w:sz w:val="28"/>
          <w:szCs w:val="28"/>
        </w:rPr>
      </w:pPr>
      <w:r w:rsidRPr="004919A3">
        <w:rPr>
          <w:b/>
          <w:bCs/>
          <w:sz w:val="28"/>
          <w:szCs w:val="28"/>
        </w:rPr>
        <w:t>Literature Review:</w:t>
      </w:r>
    </w:p>
    <w:p w14:paraId="6421E49D" w14:textId="44904D4F" w:rsidR="00216A0F" w:rsidRDefault="00216A0F" w:rsidP="007250AB">
      <w:pPr>
        <w:rPr>
          <w:b/>
          <w:bCs/>
          <w:sz w:val="28"/>
          <w:szCs w:val="28"/>
        </w:rPr>
      </w:pPr>
    </w:p>
    <w:p w14:paraId="42218E12" w14:textId="7155A486" w:rsidR="00216A0F" w:rsidRDefault="00FC047C" w:rsidP="007250AB">
      <w:pPr>
        <w:rPr>
          <w:sz w:val="22"/>
          <w:szCs w:val="22"/>
        </w:rPr>
      </w:pPr>
      <w:r>
        <w:rPr>
          <w:b/>
          <w:bCs/>
          <w:sz w:val="28"/>
          <w:szCs w:val="28"/>
        </w:rPr>
        <w:tab/>
      </w:r>
      <w:r>
        <w:rPr>
          <w:sz w:val="22"/>
          <w:szCs w:val="22"/>
        </w:rPr>
        <w:t>Much of the literature devoted to the economic impact of disease focuses on labor outcomes following early life shocks such as Malaria, or hookworm (</w:t>
      </w:r>
      <w:proofErr w:type="spellStart"/>
      <w:r>
        <w:rPr>
          <w:sz w:val="22"/>
          <w:szCs w:val="22"/>
        </w:rPr>
        <w:t>Bleakley</w:t>
      </w:r>
      <w:proofErr w:type="spellEnd"/>
      <w:r>
        <w:rPr>
          <w:sz w:val="22"/>
          <w:szCs w:val="22"/>
        </w:rPr>
        <w:t xml:space="preserve"> 2007, Almond 2006).</w:t>
      </w:r>
      <w:r w:rsidR="002268C7">
        <w:rPr>
          <w:sz w:val="22"/>
          <w:szCs w:val="22"/>
        </w:rPr>
        <w:t xml:space="preserve"> </w:t>
      </w:r>
      <w:proofErr w:type="spellStart"/>
      <w:r w:rsidR="002268C7">
        <w:rPr>
          <w:sz w:val="22"/>
          <w:szCs w:val="22"/>
        </w:rPr>
        <w:t>Bleakley</w:t>
      </w:r>
      <w:proofErr w:type="spellEnd"/>
      <w:r w:rsidR="002268C7">
        <w:rPr>
          <w:sz w:val="22"/>
          <w:szCs w:val="22"/>
        </w:rPr>
        <w:t xml:space="preserve"> used a Hookworm eradication campaign to study </w:t>
      </w:r>
      <w:r w:rsidR="00C03B19">
        <w:rPr>
          <w:sz w:val="22"/>
          <w:szCs w:val="22"/>
        </w:rPr>
        <w:t>5-year</w:t>
      </w:r>
      <w:r w:rsidR="002268C7">
        <w:rPr>
          <w:sz w:val="22"/>
          <w:szCs w:val="22"/>
        </w:rPr>
        <w:t xml:space="preserve"> outcomes.</w:t>
      </w:r>
      <w:r w:rsidR="005B714D">
        <w:rPr>
          <w:sz w:val="22"/>
          <w:szCs w:val="22"/>
        </w:rPr>
        <w:t xml:space="preserve"> </w:t>
      </w:r>
      <w:r w:rsidR="002268C7">
        <w:rPr>
          <w:sz w:val="22"/>
          <w:szCs w:val="22"/>
        </w:rPr>
        <w:t xml:space="preserve">Almond uses cohorts born during the civil rights era to study long run and intergenerational impact of the 1918 influenza pandemic. </w:t>
      </w:r>
      <w:r w:rsidR="005B714D">
        <w:rPr>
          <w:sz w:val="22"/>
          <w:szCs w:val="22"/>
        </w:rPr>
        <w:t>Both find that early shocks reduce income, education attainment, and physical ability, among other</w:t>
      </w:r>
      <w:r w:rsidR="00DF7BA8">
        <w:rPr>
          <w:sz w:val="22"/>
          <w:szCs w:val="22"/>
        </w:rPr>
        <w:t xml:space="preserve"> outcomes</w:t>
      </w:r>
      <w:r w:rsidR="005B714D">
        <w:rPr>
          <w:sz w:val="22"/>
          <w:szCs w:val="22"/>
        </w:rPr>
        <w:t>.</w:t>
      </w:r>
      <w:r>
        <w:rPr>
          <w:sz w:val="22"/>
          <w:szCs w:val="22"/>
        </w:rPr>
        <w:t xml:space="preserve"> </w:t>
      </w:r>
      <w:r w:rsidR="002561F3">
        <w:rPr>
          <w:sz w:val="22"/>
          <w:szCs w:val="22"/>
        </w:rPr>
        <w:t xml:space="preserve">Examining the effect of an Ebola outbreak on income inequality </w:t>
      </w:r>
      <w:r w:rsidR="005B714D">
        <w:rPr>
          <w:sz w:val="22"/>
          <w:szCs w:val="22"/>
        </w:rPr>
        <w:t xml:space="preserve">seems to be </w:t>
      </w:r>
      <w:r w:rsidR="002561F3">
        <w:rPr>
          <w:sz w:val="22"/>
          <w:szCs w:val="22"/>
        </w:rPr>
        <w:t xml:space="preserve">a novel study. Walter </w:t>
      </w:r>
      <w:proofErr w:type="spellStart"/>
      <w:r w:rsidR="002561F3">
        <w:rPr>
          <w:sz w:val="22"/>
          <w:szCs w:val="22"/>
        </w:rPr>
        <w:t>Scheidel</w:t>
      </w:r>
      <w:proofErr w:type="spellEnd"/>
      <w:r w:rsidR="002561F3">
        <w:rPr>
          <w:sz w:val="22"/>
          <w:szCs w:val="22"/>
        </w:rPr>
        <w:t xml:space="preserve">, In </w:t>
      </w:r>
      <w:proofErr w:type="gramStart"/>
      <w:r w:rsidR="002561F3">
        <w:rPr>
          <w:sz w:val="22"/>
          <w:szCs w:val="22"/>
        </w:rPr>
        <w:t>The</w:t>
      </w:r>
      <w:proofErr w:type="gramEnd"/>
      <w:r w:rsidR="002561F3">
        <w:rPr>
          <w:sz w:val="22"/>
          <w:szCs w:val="22"/>
        </w:rPr>
        <w:t xml:space="preserve"> Great Leveler, asserts that plagues change the ratio of land labor. Workers are better off because their labor is more valuable. One of the plagues th</w:t>
      </w:r>
      <w:r w:rsidR="000B4CB7">
        <w:rPr>
          <w:sz w:val="22"/>
          <w:szCs w:val="22"/>
        </w:rPr>
        <w:t>at</w:t>
      </w:r>
      <w:r w:rsidR="002561F3">
        <w:rPr>
          <w:sz w:val="22"/>
          <w:szCs w:val="22"/>
        </w:rPr>
        <w:t xml:space="preserve"> he examines is the Black Death. He uses tax records to conclude that </w:t>
      </w:r>
      <w:r w:rsidR="005B714D">
        <w:rPr>
          <w:sz w:val="22"/>
          <w:szCs w:val="22"/>
        </w:rPr>
        <w:t>wage inequality was compressed for close to a century before it started to rise again</w:t>
      </w:r>
      <w:r w:rsidR="009151AF">
        <w:rPr>
          <w:sz w:val="22"/>
          <w:szCs w:val="22"/>
        </w:rPr>
        <w:t xml:space="preserve"> and came to a similar conclusion regarding the </w:t>
      </w:r>
      <w:r w:rsidR="00397C92">
        <w:rPr>
          <w:sz w:val="22"/>
          <w:szCs w:val="22"/>
        </w:rPr>
        <w:t>Antonine</w:t>
      </w:r>
      <w:r w:rsidR="009151AF">
        <w:rPr>
          <w:sz w:val="22"/>
          <w:szCs w:val="22"/>
        </w:rPr>
        <w:t xml:space="preserve"> and </w:t>
      </w:r>
      <w:r w:rsidR="00397C92">
        <w:rPr>
          <w:sz w:val="22"/>
          <w:szCs w:val="22"/>
        </w:rPr>
        <w:t>Justinian</w:t>
      </w:r>
      <w:r w:rsidR="009151AF">
        <w:rPr>
          <w:sz w:val="22"/>
          <w:szCs w:val="22"/>
        </w:rPr>
        <w:t xml:space="preserve"> plagues</w:t>
      </w:r>
      <w:r w:rsidR="005B714D">
        <w:rPr>
          <w:sz w:val="22"/>
          <w:szCs w:val="22"/>
        </w:rPr>
        <w:t>.</w:t>
      </w:r>
      <w:r w:rsidR="009151AF">
        <w:rPr>
          <w:sz w:val="22"/>
          <w:szCs w:val="22"/>
        </w:rPr>
        <w:t xml:space="preserve"> However, t</w:t>
      </w:r>
      <w:r w:rsidR="005B714D">
        <w:rPr>
          <w:sz w:val="22"/>
          <w:szCs w:val="22"/>
        </w:rPr>
        <w:t>h</w:t>
      </w:r>
      <w:r w:rsidR="009151AF">
        <w:rPr>
          <w:sz w:val="22"/>
          <w:szCs w:val="22"/>
        </w:rPr>
        <w:t>ese analyses are not</w:t>
      </w:r>
      <w:r w:rsidR="005B714D">
        <w:rPr>
          <w:sz w:val="22"/>
          <w:szCs w:val="22"/>
        </w:rPr>
        <w:t xml:space="preserve"> supportive of a claim that Ebola similarly suppressed wage inequality in West Africa because comparing disease effects in an agrarian pre-modern society to a modern society is untenable. </w:t>
      </w:r>
      <w:r w:rsidR="00EC6307">
        <w:rPr>
          <w:sz w:val="22"/>
          <w:szCs w:val="22"/>
        </w:rPr>
        <w:t>Bowles et al. use a difference in difference approach with data from firm surveys to determine Ebola’s effect on economic activity in Liberia. They find that 12% of Liberian firms closed due to EVD, and that 24% more Liberians are unemployed</w:t>
      </w:r>
      <w:r w:rsidR="00CA3D6E">
        <w:rPr>
          <w:sz w:val="22"/>
          <w:szCs w:val="22"/>
        </w:rPr>
        <w:t xml:space="preserve"> </w:t>
      </w:r>
      <w:r w:rsidR="00EC6307">
        <w:rPr>
          <w:sz w:val="22"/>
          <w:szCs w:val="22"/>
        </w:rPr>
        <w:t>(</w:t>
      </w:r>
      <w:r w:rsidR="00221A26">
        <w:rPr>
          <w:sz w:val="22"/>
          <w:szCs w:val="22"/>
        </w:rPr>
        <w:t>Bowels et al.</w:t>
      </w:r>
      <w:r w:rsidR="00EC6307">
        <w:rPr>
          <w:sz w:val="22"/>
          <w:szCs w:val="22"/>
        </w:rPr>
        <w:t>).</w:t>
      </w:r>
      <w:r w:rsidR="006D0E33">
        <w:rPr>
          <w:sz w:val="22"/>
          <w:szCs w:val="22"/>
        </w:rPr>
        <w:t xml:space="preserve"> </w:t>
      </w:r>
    </w:p>
    <w:p w14:paraId="466EB720" w14:textId="67EEB4EF" w:rsidR="00E57C09" w:rsidRDefault="00E57C09" w:rsidP="007250AB">
      <w:pPr>
        <w:rPr>
          <w:sz w:val="22"/>
          <w:szCs w:val="22"/>
        </w:rPr>
      </w:pPr>
      <w:r>
        <w:rPr>
          <w:sz w:val="22"/>
          <w:szCs w:val="22"/>
        </w:rPr>
        <w:tab/>
        <w:t xml:space="preserve">There is one interesting paper on the “fear” effect of </w:t>
      </w:r>
      <w:r w:rsidR="00AD3DEE">
        <w:rPr>
          <w:sz w:val="22"/>
          <w:szCs w:val="22"/>
        </w:rPr>
        <w:t xml:space="preserve">the </w:t>
      </w:r>
      <w:r>
        <w:rPr>
          <w:sz w:val="22"/>
          <w:szCs w:val="22"/>
        </w:rPr>
        <w:t>E</w:t>
      </w:r>
      <w:r w:rsidR="00414556">
        <w:rPr>
          <w:sz w:val="22"/>
          <w:szCs w:val="22"/>
        </w:rPr>
        <w:t>VD</w:t>
      </w:r>
      <w:r w:rsidR="00AD3DEE">
        <w:rPr>
          <w:sz w:val="22"/>
          <w:szCs w:val="22"/>
        </w:rPr>
        <w:t xml:space="preserve"> outbreak</w:t>
      </w:r>
      <w:r>
        <w:rPr>
          <w:sz w:val="22"/>
          <w:szCs w:val="22"/>
        </w:rPr>
        <w:t xml:space="preserve">. Fuente, Jacoby and </w:t>
      </w:r>
      <w:proofErr w:type="spellStart"/>
      <w:r>
        <w:rPr>
          <w:sz w:val="22"/>
          <w:szCs w:val="22"/>
        </w:rPr>
        <w:t>Lawin</w:t>
      </w:r>
      <w:proofErr w:type="spellEnd"/>
      <w:r w:rsidR="00025020">
        <w:rPr>
          <w:sz w:val="22"/>
          <w:szCs w:val="22"/>
        </w:rPr>
        <w:t xml:space="preserve"> 2019</w:t>
      </w:r>
      <w:r>
        <w:rPr>
          <w:sz w:val="22"/>
          <w:szCs w:val="22"/>
        </w:rPr>
        <w:t xml:space="preserve"> used household survey data to estimate the effect of fear on the income of families in the affected regions. The fear effect as a mechanism describes a family losing sources of income as workers choose avoid jobs that bring them in close proximity of others. They used a fixed effect regression to find that rural poverty in Liberia increased from 70% to 82%</w:t>
      </w:r>
      <w:r w:rsidR="00025020">
        <w:rPr>
          <w:sz w:val="22"/>
          <w:szCs w:val="22"/>
        </w:rPr>
        <w:t xml:space="preserve"> </w:t>
      </w:r>
      <w:r>
        <w:rPr>
          <w:sz w:val="22"/>
          <w:szCs w:val="22"/>
        </w:rPr>
        <w:t>(</w:t>
      </w:r>
      <w:r w:rsidR="00025020">
        <w:rPr>
          <w:sz w:val="22"/>
          <w:szCs w:val="22"/>
        </w:rPr>
        <w:t>De la Fuente, et al., 19</w:t>
      </w:r>
      <w:r>
        <w:rPr>
          <w:sz w:val="22"/>
          <w:szCs w:val="22"/>
        </w:rPr>
        <w:t>).</w:t>
      </w:r>
    </w:p>
    <w:p w14:paraId="5147C3A8" w14:textId="4929DFE5" w:rsidR="00DE286C" w:rsidRDefault="00DE286C" w:rsidP="007250AB">
      <w:pPr>
        <w:rPr>
          <w:sz w:val="22"/>
          <w:szCs w:val="22"/>
        </w:rPr>
      </w:pPr>
    </w:p>
    <w:p w14:paraId="667F2231" w14:textId="0ADACFD8" w:rsidR="00DE286C" w:rsidRPr="00DE286C" w:rsidRDefault="00DE286C" w:rsidP="00DE286C">
      <w:pPr>
        <w:pStyle w:val="ListParagraph"/>
        <w:numPr>
          <w:ilvl w:val="1"/>
          <w:numId w:val="3"/>
        </w:numPr>
        <w:rPr>
          <w:sz w:val="22"/>
          <w:szCs w:val="22"/>
        </w:rPr>
      </w:pPr>
      <w:r w:rsidRPr="00DE286C">
        <w:rPr>
          <w:b/>
          <w:bCs/>
          <w:sz w:val="22"/>
          <w:szCs w:val="22"/>
        </w:rPr>
        <w:t>Mechanisms</w:t>
      </w:r>
    </w:p>
    <w:p w14:paraId="11948C66" w14:textId="77777777" w:rsidR="00DE286C" w:rsidRPr="00DE286C" w:rsidRDefault="00DE286C" w:rsidP="00DE286C">
      <w:pPr>
        <w:pStyle w:val="ListParagraph"/>
        <w:rPr>
          <w:sz w:val="22"/>
          <w:szCs w:val="22"/>
        </w:rPr>
      </w:pPr>
    </w:p>
    <w:p w14:paraId="7EEB8055" w14:textId="2FD9FEC3" w:rsidR="00B4490C" w:rsidRPr="00B4490C" w:rsidRDefault="00DE286C" w:rsidP="00DE286C">
      <w:pPr>
        <w:ind w:firstLine="720"/>
        <w:rPr>
          <w:sz w:val="22"/>
          <w:szCs w:val="22"/>
        </w:rPr>
      </w:pPr>
      <w:r>
        <w:rPr>
          <w:sz w:val="22"/>
          <w:szCs w:val="22"/>
        </w:rPr>
        <w:t xml:space="preserve">The first mechanism to study is foreign direct investment, as it is known to be a substantial indicator of income inequality. </w:t>
      </w:r>
      <w:r w:rsidR="00871CF7" w:rsidRPr="00B4490C">
        <w:rPr>
          <w:i/>
          <w:iCs/>
          <w:sz w:val="22"/>
          <w:szCs w:val="22"/>
        </w:rPr>
        <w:t xml:space="preserve">In </w:t>
      </w:r>
      <w:r w:rsidR="00B4490C" w:rsidRPr="00B4490C">
        <w:rPr>
          <w:i/>
          <w:iCs/>
          <w:sz w:val="22"/>
          <w:szCs w:val="22"/>
        </w:rPr>
        <w:t>Does Foreign Direct Investment Lower Income Inequality? New Evidence and Discussion on the Role of Service Offshoring</w:t>
      </w:r>
      <w:r w:rsidR="003F6118">
        <w:rPr>
          <w:sz w:val="22"/>
          <w:szCs w:val="22"/>
        </w:rPr>
        <w:t>,</w:t>
      </w:r>
      <w:r w:rsidR="00B4490C">
        <w:rPr>
          <w:sz w:val="22"/>
          <w:szCs w:val="22"/>
        </w:rPr>
        <w:t xml:space="preserve"> </w:t>
      </w:r>
      <w:r w:rsidR="003A699D">
        <w:rPr>
          <w:sz w:val="22"/>
          <w:szCs w:val="22"/>
        </w:rPr>
        <w:t>C</w:t>
      </w:r>
      <w:r w:rsidR="00871CF7">
        <w:rPr>
          <w:sz w:val="22"/>
          <w:szCs w:val="22"/>
        </w:rPr>
        <w:t xml:space="preserve">outo gathers data on 94 countries from 1990 to 2013 </w:t>
      </w:r>
      <w:r w:rsidR="00B4490C">
        <w:rPr>
          <w:sz w:val="22"/>
          <w:szCs w:val="22"/>
        </w:rPr>
        <w:t xml:space="preserve">and uses an OLS regression. </w:t>
      </w:r>
      <w:r w:rsidR="001776A9">
        <w:rPr>
          <w:sz w:val="22"/>
          <w:szCs w:val="22"/>
        </w:rPr>
        <w:t>Th</w:t>
      </w:r>
      <w:r w:rsidR="00B4490C">
        <w:rPr>
          <w:sz w:val="22"/>
          <w:szCs w:val="22"/>
        </w:rPr>
        <w:t>e</w:t>
      </w:r>
      <w:r w:rsidR="001776A9">
        <w:rPr>
          <w:sz w:val="22"/>
          <w:szCs w:val="22"/>
        </w:rPr>
        <w:t>y</w:t>
      </w:r>
      <w:r w:rsidR="00B4490C">
        <w:rPr>
          <w:sz w:val="22"/>
          <w:szCs w:val="22"/>
        </w:rPr>
        <w:t xml:space="preserve"> </w:t>
      </w:r>
      <w:proofErr w:type="gramStart"/>
      <w:r w:rsidR="00655E42">
        <w:rPr>
          <w:sz w:val="22"/>
          <w:szCs w:val="22"/>
        </w:rPr>
        <w:t>finds</w:t>
      </w:r>
      <w:proofErr w:type="gramEnd"/>
      <w:r w:rsidR="00B4490C">
        <w:rPr>
          <w:sz w:val="22"/>
          <w:szCs w:val="22"/>
        </w:rPr>
        <w:t xml:space="preserve"> that on average, FDI increases income inequality. The </w:t>
      </w:r>
      <w:r w:rsidR="00B4490C">
        <w:rPr>
          <w:sz w:val="22"/>
          <w:szCs w:val="22"/>
        </w:rPr>
        <w:lastRenderedPageBreak/>
        <w:t xml:space="preserve">intuition behind </w:t>
      </w:r>
      <w:r w:rsidR="00A742E1">
        <w:rPr>
          <w:sz w:val="22"/>
          <w:szCs w:val="22"/>
        </w:rPr>
        <w:t>their</w:t>
      </w:r>
      <w:r w:rsidR="00B4490C">
        <w:rPr>
          <w:sz w:val="22"/>
          <w:szCs w:val="22"/>
        </w:rPr>
        <w:t xml:space="preserve"> insights is “</w:t>
      </w:r>
      <w:r w:rsidR="00B4490C" w:rsidRPr="00B4490C">
        <w:rPr>
          <w:sz w:val="22"/>
          <w:szCs w:val="22"/>
        </w:rPr>
        <w:t>FDI raises the relative demand for higher-skilled labor, which in turn leads to an increase in both the wages and employment levels of high-skilled workers relative to those of low-skilled workers</w:t>
      </w:r>
      <w:r w:rsidR="00CE20D7">
        <w:rPr>
          <w:sz w:val="22"/>
          <w:szCs w:val="22"/>
        </w:rPr>
        <w:t xml:space="preserve"> </w:t>
      </w:r>
      <w:r w:rsidR="00CE20D7">
        <w:rPr>
          <w:sz w:val="22"/>
          <w:szCs w:val="22"/>
        </w:rPr>
        <w:t>(Couto, 23)</w:t>
      </w:r>
      <w:r w:rsidR="00CE20D7">
        <w:rPr>
          <w:sz w:val="22"/>
          <w:szCs w:val="22"/>
        </w:rPr>
        <w:t>.</w:t>
      </w:r>
      <w:r w:rsidR="00B4490C">
        <w:rPr>
          <w:sz w:val="22"/>
          <w:szCs w:val="22"/>
        </w:rPr>
        <w:t>”</w:t>
      </w:r>
      <w:r w:rsidR="00536531">
        <w:rPr>
          <w:sz w:val="22"/>
          <w:szCs w:val="22"/>
        </w:rPr>
        <w:t xml:space="preserve"> </w:t>
      </w:r>
      <w:r w:rsidR="007039D2">
        <w:rPr>
          <w:sz w:val="22"/>
          <w:szCs w:val="22"/>
        </w:rPr>
        <w:t xml:space="preserve"> </w:t>
      </w:r>
      <w:proofErr w:type="spellStart"/>
      <w:r w:rsidR="007039D2">
        <w:rPr>
          <w:sz w:val="22"/>
          <w:szCs w:val="22"/>
        </w:rPr>
        <w:t>Gorg</w:t>
      </w:r>
      <w:proofErr w:type="spellEnd"/>
      <w:r w:rsidR="007039D2">
        <w:rPr>
          <w:sz w:val="22"/>
          <w:szCs w:val="22"/>
        </w:rPr>
        <w:t xml:space="preserve"> </w:t>
      </w:r>
      <w:r w:rsidR="00E01E9F">
        <w:rPr>
          <w:sz w:val="22"/>
          <w:szCs w:val="22"/>
        </w:rPr>
        <w:t xml:space="preserve">2006 </w:t>
      </w:r>
      <w:r w:rsidR="007039D2">
        <w:rPr>
          <w:sz w:val="22"/>
          <w:szCs w:val="22"/>
        </w:rPr>
        <w:t xml:space="preserve">uses a similar method to investigate the relationship between wage inequality and FDI, but for developed and developing countries. The main difference is that </w:t>
      </w:r>
      <w:proofErr w:type="spellStart"/>
      <w:r w:rsidR="007039D2">
        <w:rPr>
          <w:sz w:val="22"/>
          <w:szCs w:val="22"/>
        </w:rPr>
        <w:t>Gorg</w:t>
      </w:r>
      <w:proofErr w:type="spellEnd"/>
      <w:r w:rsidR="007039D2">
        <w:rPr>
          <w:sz w:val="22"/>
          <w:szCs w:val="22"/>
        </w:rPr>
        <w:t xml:space="preserve"> </w:t>
      </w:r>
      <w:r w:rsidR="00AF1430">
        <w:rPr>
          <w:sz w:val="22"/>
          <w:szCs w:val="22"/>
        </w:rPr>
        <w:t xml:space="preserve">focuses only on the manufacturing sectors of countries and </w:t>
      </w:r>
      <w:r w:rsidR="007039D2">
        <w:rPr>
          <w:sz w:val="22"/>
          <w:szCs w:val="22"/>
        </w:rPr>
        <w:t xml:space="preserve">includes more countries </w:t>
      </w:r>
      <w:r w:rsidR="003F6118">
        <w:rPr>
          <w:sz w:val="22"/>
          <w:szCs w:val="22"/>
        </w:rPr>
        <w:t xml:space="preserve">than </w:t>
      </w:r>
      <w:r w:rsidR="00536531">
        <w:rPr>
          <w:sz w:val="22"/>
          <w:szCs w:val="22"/>
        </w:rPr>
        <w:t>C</w:t>
      </w:r>
      <w:r w:rsidR="003F6118">
        <w:rPr>
          <w:sz w:val="22"/>
          <w:szCs w:val="22"/>
        </w:rPr>
        <w:t xml:space="preserve">outo </w:t>
      </w:r>
      <w:r w:rsidR="007039D2">
        <w:rPr>
          <w:sz w:val="22"/>
          <w:szCs w:val="22"/>
        </w:rPr>
        <w:t xml:space="preserve">in his analysis. </w:t>
      </w:r>
      <w:proofErr w:type="spellStart"/>
      <w:r w:rsidR="007039D2">
        <w:rPr>
          <w:sz w:val="22"/>
          <w:szCs w:val="22"/>
        </w:rPr>
        <w:t>Gorg’s</w:t>
      </w:r>
      <w:proofErr w:type="spellEnd"/>
      <w:r w:rsidR="007039D2">
        <w:rPr>
          <w:sz w:val="22"/>
          <w:szCs w:val="22"/>
        </w:rPr>
        <w:t xml:space="preserve"> results support </w:t>
      </w:r>
      <w:r w:rsidR="00536531">
        <w:rPr>
          <w:sz w:val="22"/>
          <w:szCs w:val="22"/>
        </w:rPr>
        <w:t>Couto’s</w:t>
      </w:r>
      <w:r w:rsidR="007039D2">
        <w:rPr>
          <w:sz w:val="22"/>
          <w:szCs w:val="22"/>
        </w:rPr>
        <w:t xml:space="preserve">, but only for developing countries. </w:t>
      </w:r>
      <w:proofErr w:type="spellStart"/>
      <w:r w:rsidR="005064DA">
        <w:rPr>
          <w:sz w:val="22"/>
          <w:szCs w:val="22"/>
        </w:rPr>
        <w:t>Gorg</w:t>
      </w:r>
      <w:proofErr w:type="spellEnd"/>
      <w:r w:rsidR="005064DA">
        <w:rPr>
          <w:sz w:val="22"/>
          <w:szCs w:val="22"/>
        </w:rPr>
        <w:t xml:space="preserve"> finds that FDI increases wage inequality for only developing countries, while FDI decreases wage inequality for developed countries</w:t>
      </w:r>
      <w:r w:rsidR="00C03B19">
        <w:rPr>
          <w:sz w:val="22"/>
          <w:szCs w:val="22"/>
        </w:rPr>
        <w:t xml:space="preserve"> </w:t>
      </w:r>
      <w:r w:rsidR="00857FF4">
        <w:rPr>
          <w:sz w:val="22"/>
          <w:szCs w:val="22"/>
        </w:rPr>
        <w:t>(</w:t>
      </w:r>
      <w:proofErr w:type="spellStart"/>
      <w:r w:rsidR="00C03B19">
        <w:rPr>
          <w:sz w:val="22"/>
          <w:szCs w:val="22"/>
        </w:rPr>
        <w:t>Gorg</w:t>
      </w:r>
      <w:proofErr w:type="spellEnd"/>
      <w:r w:rsidR="00C03B19">
        <w:rPr>
          <w:sz w:val="22"/>
          <w:szCs w:val="22"/>
        </w:rPr>
        <w:t>, 16</w:t>
      </w:r>
      <w:r w:rsidR="00857FF4">
        <w:rPr>
          <w:sz w:val="22"/>
          <w:szCs w:val="22"/>
        </w:rPr>
        <w:t>)</w:t>
      </w:r>
      <w:r w:rsidR="005064DA">
        <w:rPr>
          <w:sz w:val="22"/>
          <w:szCs w:val="22"/>
        </w:rPr>
        <w:t xml:space="preserve">. </w:t>
      </w:r>
      <w:r w:rsidR="00AF1430">
        <w:rPr>
          <w:sz w:val="22"/>
          <w:szCs w:val="22"/>
        </w:rPr>
        <w:t xml:space="preserve">A third study on FDI focuses on Eastern European and Asian countries in the period from 1990 to 2002. Bhandari employs a </w:t>
      </w:r>
      <w:r w:rsidR="00F30A68">
        <w:rPr>
          <w:sz w:val="22"/>
          <w:szCs w:val="22"/>
        </w:rPr>
        <w:t xml:space="preserve">fixed effects </w:t>
      </w:r>
      <w:r w:rsidR="00AF1430">
        <w:rPr>
          <w:sz w:val="22"/>
          <w:szCs w:val="22"/>
        </w:rPr>
        <w:t>OLS regression model and finds that FDI reduced capital income inequality and exacerbated wage income inequality</w:t>
      </w:r>
      <w:r w:rsidR="00F30A68">
        <w:rPr>
          <w:sz w:val="22"/>
          <w:szCs w:val="22"/>
        </w:rPr>
        <w:t xml:space="preserve"> </w:t>
      </w:r>
      <w:r w:rsidR="00857FF4">
        <w:rPr>
          <w:sz w:val="22"/>
          <w:szCs w:val="22"/>
        </w:rPr>
        <w:t>(</w:t>
      </w:r>
      <w:r w:rsidR="00F30A68">
        <w:rPr>
          <w:sz w:val="22"/>
          <w:szCs w:val="22"/>
        </w:rPr>
        <w:t>Bhandari, 17</w:t>
      </w:r>
      <w:r w:rsidR="00857FF4">
        <w:rPr>
          <w:sz w:val="22"/>
          <w:szCs w:val="22"/>
        </w:rPr>
        <w:t>)</w:t>
      </w:r>
      <w:r w:rsidR="00AF1430">
        <w:rPr>
          <w:sz w:val="22"/>
          <w:szCs w:val="22"/>
        </w:rPr>
        <w:t xml:space="preserve">. </w:t>
      </w:r>
    </w:p>
    <w:p w14:paraId="65D90529" w14:textId="2F2D5BA3" w:rsidR="00871CF7" w:rsidRDefault="00FB40C6" w:rsidP="00871CF7">
      <w:pPr>
        <w:rPr>
          <w:sz w:val="22"/>
          <w:szCs w:val="22"/>
        </w:rPr>
      </w:pPr>
      <w:r>
        <w:rPr>
          <w:sz w:val="22"/>
          <w:szCs w:val="22"/>
        </w:rPr>
        <w:tab/>
        <w:t>The second mechanism is the effect of unemployment on income equality.</w:t>
      </w:r>
      <w:r w:rsidR="00585144">
        <w:rPr>
          <w:sz w:val="22"/>
          <w:szCs w:val="22"/>
        </w:rPr>
        <w:t xml:space="preserve"> </w:t>
      </w:r>
      <w:proofErr w:type="spellStart"/>
      <w:r w:rsidR="00585144">
        <w:rPr>
          <w:sz w:val="22"/>
          <w:szCs w:val="22"/>
        </w:rPr>
        <w:t>Jantti</w:t>
      </w:r>
      <w:proofErr w:type="spellEnd"/>
      <w:r w:rsidR="001A4D1D">
        <w:rPr>
          <w:sz w:val="22"/>
          <w:szCs w:val="22"/>
        </w:rPr>
        <w:t xml:space="preserve"> 1994</w:t>
      </w:r>
      <w:r w:rsidR="00585144">
        <w:rPr>
          <w:sz w:val="22"/>
          <w:szCs w:val="22"/>
        </w:rPr>
        <w:t xml:space="preserve"> uses a generalized least squares model to find that structural unemployment causes income inequality using household decile data similar to the world inequality database</w:t>
      </w:r>
      <w:r w:rsidR="001A4D1D">
        <w:rPr>
          <w:sz w:val="22"/>
          <w:szCs w:val="22"/>
        </w:rPr>
        <w:t xml:space="preserve"> (</w:t>
      </w:r>
      <w:proofErr w:type="spellStart"/>
      <w:r w:rsidR="001A4D1D">
        <w:rPr>
          <w:sz w:val="22"/>
          <w:szCs w:val="22"/>
        </w:rPr>
        <w:t>Jantti</w:t>
      </w:r>
      <w:proofErr w:type="spellEnd"/>
      <w:r w:rsidR="001A4D1D">
        <w:rPr>
          <w:sz w:val="22"/>
          <w:szCs w:val="22"/>
        </w:rPr>
        <w:t>, 375)</w:t>
      </w:r>
      <w:r w:rsidR="00585144">
        <w:rPr>
          <w:sz w:val="22"/>
          <w:szCs w:val="22"/>
        </w:rPr>
        <w:t xml:space="preserve">. </w:t>
      </w:r>
      <w:r w:rsidR="007A5A2C">
        <w:rPr>
          <w:sz w:val="22"/>
          <w:szCs w:val="22"/>
        </w:rPr>
        <w:t xml:space="preserve">This view is supported by </w:t>
      </w:r>
      <w:proofErr w:type="spellStart"/>
      <w:r w:rsidR="007A5A2C">
        <w:rPr>
          <w:sz w:val="22"/>
          <w:szCs w:val="22"/>
        </w:rPr>
        <w:t>Mocan</w:t>
      </w:r>
      <w:proofErr w:type="spellEnd"/>
      <w:r w:rsidR="001A4D1D">
        <w:rPr>
          <w:sz w:val="22"/>
          <w:szCs w:val="22"/>
        </w:rPr>
        <w:t xml:space="preserve"> 1999</w:t>
      </w:r>
      <w:r w:rsidR="007A5A2C">
        <w:rPr>
          <w:sz w:val="22"/>
          <w:szCs w:val="22"/>
        </w:rPr>
        <w:t xml:space="preserve"> and he concludes that </w:t>
      </w:r>
      <w:r w:rsidR="007A5A2C" w:rsidRPr="007A5A2C">
        <w:rPr>
          <w:sz w:val="22"/>
          <w:szCs w:val="22"/>
        </w:rPr>
        <w:t>"increases in structural unemployment have a substantial aggravating impact on income inequality</w:t>
      </w:r>
      <w:r w:rsidR="00FD020A">
        <w:rPr>
          <w:sz w:val="22"/>
          <w:szCs w:val="22"/>
        </w:rPr>
        <w:t xml:space="preserve"> (</w:t>
      </w:r>
      <w:proofErr w:type="spellStart"/>
      <w:r w:rsidR="00FD020A">
        <w:rPr>
          <w:sz w:val="22"/>
          <w:szCs w:val="22"/>
        </w:rPr>
        <w:t>Mocan</w:t>
      </w:r>
      <w:proofErr w:type="spellEnd"/>
      <w:r w:rsidR="00FD020A">
        <w:rPr>
          <w:sz w:val="22"/>
          <w:szCs w:val="22"/>
        </w:rPr>
        <w:t>, 134)</w:t>
      </w:r>
      <w:r w:rsidR="007A5A2C" w:rsidRPr="007A5A2C">
        <w:rPr>
          <w:sz w:val="22"/>
          <w:szCs w:val="22"/>
        </w:rPr>
        <w:t>." </w:t>
      </w:r>
      <w:r w:rsidR="00465A30">
        <w:rPr>
          <w:sz w:val="22"/>
          <w:szCs w:val="22"/>
        </w:rPr>
        <w:t xml:space="preserve">Ronald </w:t>
      </w:r>
      <w:proofErr w:type="spellStart"/>
      <w:r w:rsidR="001A4D1D">
        <w:rPr>
          <w:sz w:val="22"/>
          <w:szCs w:val="22"/>
        </w:rPr>
        <w:t>Schettkat</w:t>
      </w:r>
      <w:proofErr w:type="spellEnd"/>
      <w:r w:rsidR="00465A30">
        <w:rPr>
          <w:sz w:val="22"/>
          <w:szCs w:val="22"/>
        </w:rPr>
        <w:t xml:space="preserve"> discusses the relationship of inequality and unemployment in the context of the Natural Rate Theory. </w:t>
      </w:r>
      <w:proofErr w:type="spellStart"/>
      <w:r w:rsidR="001A4D1D">
        <w:rPr>
          <w:sz w:val="22"/>
          <w:szCs w:val="22"/>
        </w:rPr>
        <w:t>Schettkat</w:t>
      </w:r>
      <w:proofErr w:type="spellEnd"/>
      <w:r w:rsidR="00465A30">
        <w:rPr>
          <w:sz w:val="22"/>
          <w:szCs w:val="22"/>
        </w:rPr>
        <w:t xml:space="preserve"> </w:t>
      </w:r>
      <w:r w:rsidR="00225788">
        <w:rPr>
          <w:sz w:val="22"/>
          <w:szCs w:val="22"/>
        </w:rPr>
        <w:t>uses value decomposition to show that countries with high inequality have higher intergenerational income elasticity which he interprets as how opportunistic a market is</w:t>
      </w:r>
      <w:r w:rsidR="00D85213">
        <w:rPr>
          <w:sz w:val="22"/>
          <w:szCs w:val="22"/>
        </w:rPr>
        <w:t xml:space="preserve"> (</w:t>
      </w:r>
      <w:proofErr w:type="spellStart"/>
      <w:r w:rsidR="00D85213">
        <w:rPr>
          <w:sz w:val="22"/>
          <w:szCs w:val="22"/>
        </w:rPr>
        <w:t>Schettkat</w:t>
      </w:r>
      <w:proofErr w:type="spellEnd"/>
      <w:r w:rsidR="00D85213">
        <w:rPr>
          <w:sz w:val="22"/>
          <w:szCs w:val="22"/>
        </w:rPr>
        <w:t xml:space="preserve">, </w:t>
      </w:r>
      <w:r w:rsidR="00AF1354">
        <w:rPr>
          <w:sz w:val="22"/>
          <w:szCs w:val="22"/>
        </w:rPr>
        <w:t>20</w:t>
      </w:r>
      <w:r w:rsidR="00D85213">
        <w:rPr>
          <w:sz w:val="22"/>
          <w:szCs w:val="22"/>
        </w:rPr>
        <w:t>)</w:t>
      </w:r>
      <w:r w:rsidR="00225788">
        <w:rPr>
          <w:sz w:val="22"/>
          <w:szCs w:val="22"/>
        </w:rPr>
        <w:t xml:space="preserve">. </w:t>
      </w:r>
      <w:r w:rsidR="00F53084">
        <w:rPr>
          <w:sz w:val="22"/>
          <w:szCs w:val="22"/>
        </w:rPr>
        <w:t>Menendez and Gonzalez 2000 use a micro-stimulation approach to create a probability distribution for the unemployed</w:t>
      </w:r>
      <w:r w:rsidR="00EC16B3">
        <w:rPr>
          <w:sz w:val="22"/>
          <w:szCs w:val="22"/>
        </w:rPr>
        <w:t>. This method decomposes changes in the distribution of individual earn</w:t>
      </w:r>
      <w:r w:rsidR="00CF1EFD">
        <w:rPr>
          <w:sz w:val="22"/>
          <w:szCs w:val="22"/>
        </w:rPr>
        <w:t>ings</w:t>
      </w:r>
      <w:r w:rsidR="00406EB7">
        <w:rPr>
          <w:sz w:val="22"/>
          <w:szCs w:val="22"/>
        </w:rPr>
        <w:t xml:space="preserve"> in an attempt to find the source of changes in observed inequality</w:t>
      </w:r>
      <w:r w:rsidR="00F53084">
        <w:rPr>
          <w:sz w:val="22"/>
          <w:szCs w:val="22"/>
        </w:rPr>
        <w:t xml:space="preserve">. </w:t>
      </w:r>
      <w:r w:rsidR="00F17AD2">
        <w:rPr>
          <w:sz w:val="22"/>
          <w:szCs w:val="22"/>
        </w:rPr>
        <w:t xml:space="preserve">The data they use is micro-data from Buenos Aires and the period is 1991 to 1998. </w:t>
      </w:r>
      <w:r w:rsidR="00F53084">
        <w:rPr>
          <w:sz w:val="22"/>
          <w:szCs w:val="22"/>
        </w:rPr>
        <w:t xml:space="preserve">They then can create inequality measures from the actual and simulated populations to show changes in unemployment on earnings inequality. They find that higher unemployment </w:t>
      </w:r>
      <w:r w:rsidR="00F17AD2">
        <w:rPr>
          <w:sz w:val="22"/>
          <w:szCs w:val="22"/>
        </w:rPr>
        <w:t>has a strong positive relationship with</w:t>
      </w:r>
      <w:r w:rsidR="00F53084">
        <w:rPr>
          <w:sz w:val="22"/>
          <w:szCs w:val="22"/>
        </w:rPr>
        <w:t xml:space="preserve"> the Gini coefficient (Menendez and Gonzalez, 14). </w:t>
      </w:r>
    </w:p>
    <w:p w14:paraId="42C9DD7C" w14:textId="77777777" w:rsidR="003B37D8" w:rsidRPr="003B37D8" w:rsidRDefault="003B37D8" w:rsidP="007250AB">
      <w:pPr>
        <w:rPr>
          <w:b/>
          <w:bCs/>
          <w:sz w:val="28"/>
          <w:szCs w:val="28"/>
        </w:rPr>
      </w:pPr>
    </w:p>
    <w:p w14:paraId="5E99947B" w14:textId="77F8DD7E" w:rsidR="00813804" w:rsidRPr="004919A3" w:rsidRDefault="007250AB" w:rsidP="004919A3">
      <w:pPr>
        <w:pStyle w:val="ListParagraph"/>
        <w:numPr>
          <w:ilvl w:val="0"/>
          <w:numId w:val="3"/>
        </w:numPr>
        <w:rPr>
          <w:b/>
          <w:bCs/>
          <w:sz w:val="28"/>
          <w:szCs w:val="28"/>
        </w:rPr>
      </w:pPr>
      <w:r w:rsidRPr="004919A3">
        <w:rPr>
          <w:b/>
          <w:bCs/>
          <w:sz w:val="28"/>
          <w:szCs w:val="28"/>
        </w:rPr>
        <w:t>Methods:</w:t>
      </w:r>
    </w:p>
    <w:p w14:paraId="18628DA7" w14:textId="77777777" w:rsidR="00813804" w:rsidRDefault="00813804" w:rsidP="007250AB">
      <w:pPr>
        <w:rPr>
          <w:sz w:val="22"/>
          <w:szCs w:val="22"/>
        </w:rPr>
      </w:pPr>
    </w:p>
    <w:p w14:paraId="05341BFF" w14:textId="2DD88160" w:rsidR="004919A3" w:rsidRPr="004919A3" w:rsidRDefault="004919A3" w:rsidP="004919A3">
      <w:pPr>
        <w:pStyle w:val="ListParagraph"/>
        <w:numPr>
          <w:ilvl w:val="1"/>
          <w:numId w:val="3"/>
        </w:numPr>
        <w:rPr>
          <w:b/>
          <w:bCs/>
          <w:sz w:val="22"/>
          <w:szCs w:val="22"/>
        </w:rPr>
      </w:pPr>
      <w:r w:rsidRPr="004919A3">
        <w:rPr>
          <w:b/>
          <w:bCs/>
          <w:sz w:val="22"/>
          <w:szCs w:val="22"/>
        </w:rPr>
        <w:t>Data</w:t>
      </w:r>
    </w:p>
    <w:p w14:paraId="5AD4B960" w14:textId="77777777" w:rsidR="004919A3" w:rsidRPr="004919A3" w:rsidRDefault="004919A3" w:rsidP="004919A3">
      <w:pPr>
        <w:pStyle w:val="ListParagraph"/>
        <w:rPr>
          <w:b/>
          <w:bCs/>
          <w:sz w:val="22"/>
          <w:szCs w:val="22"/>
        </w:rPr>
      </w:pPr>
    </w:p>
    <w:p w14:paraId="3D8AEF1B" w14:textId="02CBC3D4" w:rsidR="00D22526" w:rsidRDefault="00732990" w:rsidP="004919A3">
      <w:pPr>
        <w:ind w:firstLine="360"/>
        <w:rPr>
          <w:sz w:val="22"/>
          <w:szCs w:val="22"/>
        </w:rPr>
      </w:pPr>
      <w:r>
        <w:rPr>
          <w:sz w:val="22"/>
          <w:szCs w:val="22"/>
        </w:rPr>
        <w:t>The compiled time series dataset includes the year</w:t>
      </w:r>
      <w:r w:rsidR="00836787">
        <w:rPr>
          <w:sz w:val="22"/>
          <w:szCs w:val="22"/>
        </w:rPr>
        <w:t>s</w:t>
      </w:r>
      <w:r>
        <w:rPr>
          <w:sz w:val="22"/>
          <w:szCs w:val="22"/>
        </w:rPr>
        <w:t xml:space="preserve"> 20</w:t>
      </w:r>
      <w:r w:rsidR="00062C05">
        <w:rPr>
          <w:sz w:val="22"/>
          <w:szCs w:val="22"/>
        </w:rPr>
        <w:t>10</w:t>
      </w:r>
      <w:r>
        <w:rPr>
          <w:sz w:val="22"/>
          <w:szCs w:val="22"/>
        </w:rPr>
        <w:t xml:space="preserve"> to 2017 on all West African countries excluding Cote d’Ivoire due to data sparsity</w:t>
      </w:r>
      <w:r w:rsidR="00D22526">
        <w:rPr>
          <w:sz w:val="22"/>
          <w:szCs w:val="22"/>
        </w:rPr>
        <w:t xml:space="preserve"> in World Bank data</w:t>
      </w:r>
      <w:r>
        <w:rPr>
          <w:sz w:val="22"/>
          <w:szCs w:val="22"/>
        </w:rPr>
        <w:t xml:space="preserve">. </w:t>
      </w:r>
      <w:r w:rsidR="00062C05">
        <w:rPr>
          <w:sz w:val="22"/>
          <w:szCs w:val="22"/>
        </w:rPr>
        <w:t>Much of the data is comprised of World Bank data, but data involving shares of income is gathered from the World Inequality Database</w:t>
      </w:r>
      <w:r w:rsidR="00D22526">
        <w:rPr>
          <w:sz w:val="22"/>
          <w:szCs w:val="22"/>
        </w:rPr>
        <w:t xml:space="preserve"> (WID)</w:t>
      </w:r>
      <w:r w:rsidR="00062C05">
        <w:rPr>
          <w:sz w:val="22"/>
          <w:szCs w:val="22"/>
        </w:rPr>
        <w:t xml:space="preserve">. </w:t>
      </w:r>
      <w:r w:rsidR="00D22526">
        <w:rPr>
          <w:sz w:val="22"/>
          <w:szCs w:val="22"/>
        </w:rPr>
        <w:t xml:space="preserve">The WID is a database that attempts to estimate the income share of each decile of the population. As useful as this data is, I collected as little as possible because the estimation strategy for missing data is to use the previous year’s estimate, which results in many constant estimates for entire deciles. For Foreign Direct Investment and GDP estimates, I used Index Mundi. The World Health Organization had </w:t>
      </w:r>
      <w:r w:rsidR="00CE34A0">
        <w:rPr>
          <w:sz w:val="22"/>
          <w:szCs w:val="22"/>
        </w:rPr>
        <w:t xml:space="preserve">monthly </w:t>
      </w:r>
      <w:r w:rsidR="00D22526">
        <w:rPr>
          <w:sz w:val="22"/>
          <w:szCs w:val="22"/>
        </w:rPr>
        <w:t xml:space="preserve">data on </w:t>
      </w:r>
      <w:r w:rsidR="00CE34A0">
        <w:rPr>
          <w:sz w:val="22"/>
          <w:szCs w:val="22"/>
        </w:rPr>
        <w:t>Ebola cases by affected country.</w:t>
      </w:r>
    </w:p>
    <w:p w14:paraId="19E74E76" w14:textId="15204496" w:rsidR="00046533" w:rsidRDefault="00046533" w:rsidP="00046533">
      <w:pPr>
        <w:ind w:firstLine="360"/>
        <w:rPr>
          <w:sz w:val="22"/>
          <w:szCs w:val="22"/>
        </w:rPr>
      </w:pPr>
      <w:r>
        <w:rPr>
          <w:sz w:val="22"/>
          <w:szCs w:val="22"/>
        </w:rPr>
        <w:t xml:space="preserve">The independent variable </w:t>
      </w:r>
      <w:r w:rsidR="001D17FA">
        <w:rPr>
          <w:sz w:val="22"/>
          <w:szCs w:val="22"/>
        </w:rPr>
        <w:t xml:space="preserve">for my first model </w:t>
      </w:r>
      <w:r>
        <w:rPr>
          <w:sz w:val="22"/>
          <w:szCs w:val="22"/>
        </w:rPr>
        <w:t xml:space="preserve">is the </w:t>
      </w:r>
      <w:r w:rsidR="006B1F60">
        <w:rPr>
          <w:sz w:val="22"/>
          <w:szCs w:val="22"/>
        </w:rPr>
        <w:t xml:space="preserve">number of reported cases of </w:t>
      </w:r>
      <w:r>
        <w:rPr>
          <w:sz w:val="22"/>
          <w:szCs w:val="22"/>
        </w:rPr>
        <w:t xml:space="preserve">EVD in </w:t>
      </w:r>
      <w:r w:rsidR="00836787">
        <w:rPr>
          <w:sz w:val="22"/>
          <w:szCs w:val="22"/>
        </w:rPr>
        <w:t xml:space="preserve">each </w:t>
      </w:r>
      <w:r>
        <w:rPr>
          <w:sz w:val="22"/>
          <w:szCs w:val="22"/>
        </w:rPr>
        <w:t>affected countr</w:t>
      </w:r>
      <w:r w:rsidR="00836787">
        <w:rPr>
          <w:sz w:val="22"/>
          <w:szCs w:val="22"/>
        </w:rPr>
        <w:t>y</w:t>
      </w:r>
      <w:r>
        <w:rPr>
          <w:sz w:val="22"/>
          <w:szCs w:val="22"/>
        </w:rPr>
        <w:t xml:space="preserve">. The </w:t>
      </w:r>
      <w:r w:rsidR="006B1F60">
        <w:rPr>
          <w:sz w:val="22"/>
          <w:szCs w:val="22"/>
        </w:rPr>
        <w:t>number of cases</w:t>
      </w:r>
      <w:r>
        <w:rPr>
          <w:sz w:val="22"/>
          <w:szCs w:val="22"/>
        </w:rPr>
        <w:t xml:space="preserve"> is likely more representative of </w:t>
      </w:r>
      <w:r w:rsidR="0050129A">
        <w:rPr>
          <w:sz w:val="22"/>
          <w:szCs w:val="22"/>
        </w:rPr>
        <w:t>the EVD’s</w:t>
      </w:r>
      <w:r>
        <w:rPr>
          <w:sz w:val="22"/>
          <w:szCs w:val="22"/>
        </w:rPr>
        <w:t xml:space="preserve"> </w:t>
      </w:r>
      <w:r w:rsidR="0050129A">
        <w:rPr>
          <w:sz w:val="22"/>
          <w:szCs w:val="22"/>
        </w:rPr>
        <w:t>scale</w:t>
      </w:r>
      <w:r>
        <w:rPr>
          <w:sz w:val="22"/>
          <w:szCs w:val="22"/>
        </w:rPr>
        <w:t xml:space="preserve"> than the number of deaths </w:t>
      </w:r>
      <w:r w:rsidR="0050129A">
        <w:rPr>
          <w:sz w:val="22"/>
          <w:szCs w:val="22"/>
        </w:rPr>
        <w:t xml:space="preserve">especially </w:t>
      </w:r>
      <w:r>
        <w:rPr>
          <w:sz w:val="22"/>
          <w:szCs w:val="22"/>
        </w:rPr>
        <w:t>because the ‘scare’ effect from an EVD outbreak is tangible, seen in the disruption of agricultural markets. GDP is a typical control when comparing countries of differing sizes. West Africa is a politically unstable region, so</w:t>
      </w:r>
      <w:r w:rsidR="0050129A">
        <w:rPr>
          <w:sz w:val="22"/>
          <w:szCs w:val="22"/>
        </w:rPr>
        <w:t xml:space="preserve"> the presence of</w:t>
      </w:r>
      <w:r>
        <w:rPr>
          <w:sz w:val="22"/>
          <w:szCs w:val="22"/>
        </w:rPr>
        <w:t xml:space="preserve"> conflicts </w:t>
      </w:r>
      <w:proofErr w:type="gramStart"/>
      <w:r w:rsidR="0050129A">
        <w:rPr>
          <w:sz w:val="22"/>
          <w:szCs w:val="22"/>
        </w:rPr>
        <w:t>are</w:t>
      </w:r>
      <w:proofErr w:type="gramEnd"/>
      <w:r>
        <w:rPr>
          <w:sz w:val="22"/>
          <w:szCs w:val="22"/>
        </w:rPr>
        <w:t xml:space="preserve"> controlled for. Demographic controls such as the urban population and population density are necessary to include. More densely populated and urban areas will have higher physical proximity which will increase EVD transmission rate</w:t>
      </w:r>
      <w:r w:rsidR="0050129A">
        <w:rPr>
          <w:sz w:val="22"/>
          <w:szCs w:val="22"/>
        </w:rPr>
        <w:t>, and the urban population is an indicator of urban economic activity</w:t>
      </w:r>
      <w:r>
        <w:rPr>
          <w:sz w:val="22"/>
          <w:szCs w:val="22"/>
        </w:rPr>
        <w:t xml:space="preserve">. </w:t>
      </w:r>
      <w:r w:rsidR="00FF5E0F">
        <w:rPr>
          <w:sz w:val="22"/>
          <w:szCs w:val="22"/>
        </w:rPr>
        <w:t xml:space="preserve">Ideally, I would have estimates for the percentage of GDP spent on healthcare, but many countries in the World Bank data didn’t have these estimates for the timeframe. Instead I included total government spending as it includes the amount of resources spent on healthcare but also on </w:t>
      </w:r>
      <w:r w:rsidR="001204A2">
        <w:rPr>
          <w:sz w:val="22"/>
          <w:szCs w:val="22"/>
        </w:rPr>
        <w:t xml:space="preserve">expenditures such as </w:t>
      </w:r>
      <w:r w:rsidR="00FF5E0F">
        <w:rPr>
          <w:sz w:val="22"/>
          <w:szCs w:val="22"/>
        </w:rPr>
        <w:t xml:space="preserve">redistributive policies which </w:t>
      </w:r>
      <w:r w:rsidR="00B5316F">
        <w:rPr>
          <w:sz w:val="22"/>
          <w:szCs w:val="22"/>
        </w:rPr>
        <w:t>a</w:t>
      </w:r>
      <w:r w:rsidR="00FF5E0F">
        <w:rPr>
          <w:sz w:val="22"/>
          <w:szCs w:val="22"/>
        </w:rPr>
        <w:t xml:space="preserve">ffect inequality. </w:t>
      </w:r>
    </w:p>
    <w:p w14:paraId="33AD5777" w14:textId="36AF5171" w:rsidR="00CE34A0" w:rsidRDefault="00CE34A0" w:rsidP="001D17FA">
      <w:pPr>
        <w:ind w:firstLine="360"/>
        <w:rPr>
          <w:sz w:val="22"/>
          <w:szCs w:val="22"/>
        </w:rPr>
      </w:pPr>
    </w:p>
    <w:tbl>
      <w:tblPr>
        <w:tblStyle w:val="TableGrid"/>
        <w:tblW w:w="0" w:type="auto"/>
        <w:tblLook w:val="04A0" w:firstRow="1" w:lastRow="0" w:firstColumn="1" w:lastColumn="0" w:noHBand="0" w:noVBand="1"/>
      </w:tblPr>
      <w:tblGrid>
        <w:gridCol w:w="1165"/>
        <w:gridCol w:w="5068"/>
        <w:gridCol w:w="3117"/>
      </w:tblGrid>
      <w:tr w:rsidR="00D22526" w14:paraId="7B57AC3C" w14:textId="77777777" w:rsidTr="00D22526">
        <w:tc>
          <w:tcPr>
            <w:tcW w:w="1165" w:type="dxa"/>
          </w:tcPr>
          <w:p w14:paraId="76EF3B0D" w14:textId="3656FF78" w:rsidR="00D22526" w:rsidRDefault="00D22526" w:rsidP="00813804">
            <w:pPr>
              <w:rPr>
                <w:sz w:val="22"/>
                <w:szCs w:val="22"/>
              </w:rPr>
            </w:pPr>
            <w:r>
              <w:rPr>
                <w:sz w:val="22"/>
                <w:szCs w:val="22"/>
              </w:rPr>
              <w:t>Label</w:t>
            </w:r>
          </w:p>
        </w:tc>
        <w:tc>
          <w:tcPr>
            <w:tcW w:w="5068" w:type="dxa"/>
          </w:tcPr>
          <w:p w14:paraId="52B9532A" w14:textId="3C4A481F" w:rsidR="00D22526" w:rsidRDefault="00D22526" w:rsidP="00813804">
            <w:pPr>
              <w:rPr>
                <w:sz w:val="22"/>
                <w:szCs w:val="22"/>
              </w:rPr>
            </w:pPr>
            <w:r>
              <w:rPr>
                <w:sz w:val="22"/>
                <w:szCs w:val="22"/>
              </w:rPr>
              <w:t>Variable</w:t>
            </w:r>
          </w:p>
        </w:tc>
        <w:tc>
          <w:tcPr>
            <w:tcW w:w="3117" w:type="dxa"/>
          </w:tcPr>
          <w:p w14:paraId="2AB84C66" w14:textId="5C4F159A" w:rsidR="00D22526" w:rsidRDefault="00D22526" w:rsidP="00813804">
            <w:pPr>
              <w:rPr>
                <w:sz w:val="22"/>
                <w:szCs w:val="22"/>
              </w:rPr>
            </w:pPr>
            <w:r>
              <w:rPr>
                <w:sz w:val="22"/>
                <w:szCs w:val="22"/>
              </w:rPr>
              <w:t>Measure</w:t>
            </w:r>
          </w:p>
        </w:tc>
      </w:tr>
      <w:tr w:rsidR="00D22526" w14:paraId="63BD1989" w14:textId="77777777" w:rsidTr="00D22526">
        <w:tc>
          <w:tcPr>
            <w:tcW w:w="1165" w:type="dxa"/>
          </w:tcPr>
          <w:p w14:paraId="6D776910" w14:textId="29053BDE" w:rsidR="00D22526" w:rsidRDefault="00D22526" w:rsidP="00813804">
            <w:pPr>
              <w:rPr>
                <w:sz w:val="22"/>
                <w:szCs w:val="22"/>
              </w:rPr>
            </w:pPr>
            <w:r>
              <w:rPr>
                <w:sz w:val="22"/>
                <w:szCs w:val="22"/>
              </w:rPr>
              <w:lastRenderedPageBreak/>
              <w:t>conflict</w:t>
            </w:r>
          </w:p>
        </w:tc>
        <w:tc>
          <w:tcPr>
            <w:tcW w:w="5068" w:type="dxa"/>
          </w:tcPr>
          <w:p w14:paraId="190680FA" w14:textId="725EA0C6" w:rsidR="00D22526" w:rsidRDefault="00D22526" w:rsidP="00813804">
            <w:pPr>
              <w:rPr>
                <w:sz w:val="22"/>
                <w:szCs w:val="22"/>
              </w:rPr>
            </w:pPr>
            <w:r>
              <w:rPr>
                <w:sz w:val="22"/>
                <w:szCs w:val="22"/>
              </w:rPr>
              <w:t>Indicator for presence of war, revolution, or coup</w:t>
            </w:r>
          </w:p>
        </w:tc>
        <w:tc>
          <w:tcPr>
            <w:tcW w:w="3117" w:type="dxa"/>
          </w:tcPr>
          <w:p w14:paraId="298EBB88" w14:textId="29C4D1E0" w:rsidR="00D22526" w:rsidRDefault="00D22526" w:rsidP="00813804">
            <w:pPr>
              <w:rPr>
                <w:sz w:val="22"/>
                <w:szCs w:val="22"/>
              </w:rPr>
            </w:pPr>
            <w:r>
              <w:rPr>
                <w:sz w:val="22"/>
                <w:szCs w:val="22"/>
              </w:rPr>
              <w:t>Binary</w:t>
            </w:r>
          </w:p>
        </w:tc>
      </w:tr>
      <w:tr w:rsidR="00D22526" w14:paraId="330789EC" w14:textId="77777777" w:rsidTr="00D22526">
        <w:tc>
          <w:tcPr>
            <w:tcW w:w="1165" w:type="dxa"/>
          </w:tcPr>
          <w:p w14:paraId="68898165" w14:textId="27FFAD81" w:rsidR="00D22526" w:rsidRDefault="00D22526" w:rsidP="00813804">
            <w:pPr>
              <w:rPr>
                <w:sz w:val="22"/>
                <w:szCs w:val="22"/>
              </w:rPr>
            </w:pPr>
            <w:r>
              <w:rPr>
                <w:sz w:val="22"/>
                <w:szCs w:val="22"/>
              </w:rPr>
              <w:t>epi</w:t>
            </w:r>
          </w:p>
        </w:tc>
        <w:tc>
          <w:tcPr>
            <w:tcW w:w="5068" w:type="dxa"/>
          </w:tcPr>
          <w:p w14:paraId="7E35FDB8" w14:textId="0BBA70F7" w:rsidR="00D22526" w:rsidRDefault="00991C19" w:rsidP="00813804">
            <w:pPr>
              <w:rPr>
                <w:sz w:val="22"/>
                <w:szCs w:val="22"/>
              </w:rPr>
            </w:pPr>
            <w:r>
              <w:rPr>
                <w:sz w:val="22"/>
                <w:szCs w:val="22"/>
              </w:rPr>
              <w:t>Cases of Ebola divided by the population</w:t>
            </w:r>
            <w:r w:rsidR="00CE34A0">
              <w:rPr>
                <w:sz w:val="22"/>
                <w:szCs w:val="22"/>
              </w:rPr>
              <w:t xml:space="preserve"> </w:t>
            </w:r>
          </w:p>
        </w:tc>
        <w:tc>
          <w:tcPr>
            <w:tcW w:w="3117" w:type="dxa"/>
          </w:tcPr>
          <w:p w14:paraId="7853699C" w14:textId="5B8E3625" w:rsidR="00D22526" w:rsidRDefault="00991C19" w:rsidP="00813804">
            <w:pPr>
              <w:rPr>
                <w:sz w:val="22"/>
                <w:szCs w:val="22"/>
              </w:rPr>
            </w:pPr>
            <w:r>
              <w:rPr>
                <w:sz w:val="22"/>
                <w:szCs w:val="22"/>
              </w:rPr>
              <w:t>Percentage Value</w:t>
            </w:r>
          </w:p>
        </w:tc>
      </w:tr>
      <w:tr w:rsidR="00D22526" w14:paraId="658F78C6" w14:textId="77777777" w:rsidTr="00D22526">
        <w:tc>
          <w:tcPr>
            <w:tcW w:w="1165" w:type="dxa"/>
          </w:tcPr>
          <w:p w14:paraId="4342ED23" w14:textId="47A71723" w:rsidR="00D22526" w:rsidRDefault="00CE34A0" w:rsidP="00813804">
            <w:pPr>
              <w:rPr>
                <w:sz w:val="22"/>
                <w:szCs w:val="22"/>
              </w:rPr>
            </w:pPr>
            <w:proofErr w:type="spellStart"/>
            <w:r>
              <w:rPr>
                <w:sz w:val="22"/>
                <w:szCs w:val="22"/>
              </w:rPr>
              <w:t>fdi</w:t>
            </w:r>
            <w:proofErr w:type="spellEnd"/>
          </w:p>
        </w:tc>
        <w:tc>
          <w:tcPr>
            <w:tcW w:w="5068" w:type="dxa"/>
          </w:tcPr>
          <w:p w14:paraId="79903FB6" w14:textId="089026C5" w:rsidR="00D22526" w:rsidRDefault="00CE34A0" w:rsidP="00813804">
            <w:pPr>
              <w:rPr>
                <w:sz w:val="22"/>
                <w:szCs w:val="22"/>
              </w:rPr>
            </w:pPr>
            <w:r>
              <w:rPr>
                <w:sz w:val="22"/>
                <w:szCs w:val="22"/>
              </w:rPr>
              <w:t>The net inflows of foreign investments</w:t>
            </w:r>
          </w:p>
        </w:tc>
        <w:tc>
          <w:tcPr>
            <w:tcW w:w="3117" w:type="dxa"/>
          </w:tcPr>
          <w:p w14:paraId="2DE92DD1" w14:textId="0C6AA5EC" w:rsidR="00D22526" w:rsidRDefault="00CE34A0" w:rsidP="00813804">
            <w:pPr>
              <w:rPr>
                <w:sz w:val="22"/>
                <w:szCs w:val="22"/>
              </w:rPr>
            </w:pPr>
            <w:r>
              <w:rPr>
                <w:sz w:val="22"/>
                <w:szCs w:val="22"/>
              </w:rPr>
              <w:t>Dollars</w:t>
            </w:r>
          </w:p>
        </w:tc>
      </w:tr>
      <w:tr w:rsidR="00D22526" w14:paraId="7EE3F3AC" w14:textId="77777777" w:rsidTr="00D22526">
        <w:tc>
          <w:tcPr>
            <w:tcW w:w="1165" w:type="dxa"/>
          </w:tcPr>
          <w:p w14:paraId="4C193991" w14:textId="36E11E8F" w:rsidR="00D22526" w:rsidRDefault="00CE34A0" w:rsidP="00813804">
            <w:pPr>
              <w:rPr>
                <w:sz w:val="22"/>
                <w:szCs w:val="22"/>
              </w:rPr>
            </w:pPr>
            <w:proofErr w:type="spellStart"/>
            <w:r>
              <w:rPr>
                <w:sz w:val="22"/>
                <w:szCs w:val="22"/>
              </w:rPr>
              <w:t>gdp</w:t>
            </w:r>
            <w:proofErr w:type="spellEnd"/>
          </w:p>
        </w:tc>
        <w:tc>
          <w:tcPr>
            <w:tcW w:w="5068" w:type="dxa"/>
          </w:tcPr>
          <w:p w14:paraId="7EC25041" w14:textId="7208855A" w:rsidR="00D22526" w:rsidRDefault="00CE34A0" w:rsidP="00813804">
            <w:pPr>
              <w:rPr>
                <w:sz w:val="22"/>
                <w:szCs w:val="22"/>
              </w:rPr>
            </w:pPr>
            <w:r>
              <w:rPr>
                <w:sz w:val="22"/>
                <w:szCs w:val="22"/>
              </w:rPr>
              <w:t>Macroeconomic variable for economic activity</w:t>
            </w:r>
          </w:p>
        </w:tc>
        <w:tc>
          <w:tcPr>
            <w:tcW w:w="3117" w:type="dxa"/>
          </w:tcPr>
          <w:p w14:paraId="7F8DD2FB" w14:textId="5C345243" w:rsidR="00D22526" w:rsidRDefault="00CE34A0" w:rsidP="00813804">
            <w:pPr>
              <w:rPr>
                <w:sz w:val="22"/>
                <w:szCs w:val="22"/>
              </w:rPr>
            </w:pPr>
            <w:r>
              <w:rPr>
                <w:sz w:val="22"/>
                <w:szCs w:val="22"/>
              </w:rPr>
              <w:t>Dollars</w:t>
            </w:r>
          </w:p>
        </w:tc>
      </w:tr>
      <w:tr w:rsidR="00D22526" w14:paraId="00F9BE49" w14:textId="77777777" w:rsidTr="00D22526">
        <w:tc>
          <w:tcPr>
            <w:tcW w:w="1165" w:type="dxa"/>
          </w:tcPr>
          <w:p w14:paraId="0A07FD81" w14:textId="3A3DC5DB" w:rsidR="00D22526" w:rsidRDefault="00CE34A0" w:rsidP="00813804">
            <w:pPr>
              <w:rPr>
                <w:sz w:val="22"/>
                <w:szCs w:val="22"/>
              </w:rPr>
            </w:pPr>
            <w:proofErr w:type="spellStart"/>
            <w:r>
              <w:rPr>
                <w:sz w:val="22"/>
                <w:szCs w:val="22"/>
              </w:rPr>
              <w:t>gini</w:t>
            </w:r>
            <w:proofErr w:type="spellEnd"/>
          </w:p>
        </w:tc>
        <w:tc>
          <w:tcPr>
            <w:tcW w:w="5068" w:type="dxa"/>
          </w:tcPr>
          <w:p w14:paraId="6F95069E" w14:textId="563CDB84" w:rsidR="00D22526" w:rsidRDefault="00CE34A0" w:rsidP="00813804">
            <w:pPr>
              <w:rPr>
                <w:sz w:val="22"/>
                <w:szCs w:val="22"/>
              </w:rPr>
            </w:pPr>
            <w:r>
              <w:rPr>
                <w:sz w:val="22"/>
                <w:szCs w:val="22"/>
              </w:rPr>
              <w:t xml:space="preserve">Macroeconomic variable for inequality </w:t>
            </w:r>
          </w:p>
        </w:tc>
        <w:tc>
          <w:tcPr>
            <w:tcW w:w="3117" w:type="dxa"/>
          </w:tcPr>
          <w:p w14:paraId="432BC38D" w14:textId="59A06C6B" w:rsidR="00D22526" w:rsidRDefault="00CE34A0" w:rsidP="00813804">
            <w:pPr>
              <w:rPr>
                <w:sz w:val="22"/>
                <w:szCs w:val="22"/>
              </w:rPr>
            </w:pPr>
            <w:r>
              <w:rPr>
                <w:sz w:val="22"/>
                <w:szCs w:val="22"/>
              </w:rPr>
              <w:t xml:space="preserve">Percentage </w:t>
            </w:r>
            <w:r w:rsidR="00991C19">
              <w:rPr>
                <w:sz w:val="22"/>
                <w:szCs w:val="22"/>
              </w:rPr>
              <w:t>V</w:t>
            </w:r>
            <w:r>
              <w:rPr>
                <w:sz w:val="22"/>
                <w:szCs w:val="22"/>
              </w:rPr>
              <w:t>alue</w:t>
            </w:r>
          </w:p>
        </w:tc>
      </w:tr>
      <w:tr w:rsidR="00734635" w14:paraId="22E68426" w14:textId="77777777" w:rsidTr="00D22526">
        <w:tc>
          <w:tcPr>
            <w:tcW w:w="1165" w:type="dxa"/>
          </w:tcPr>
          <w:p w14:paraId="7B2FCC33" w14:textId="2BA03E76" w:rsidR="00734635" w:rsidRDefault="00734635" w:rsidP="00813804">
            <w:pPr>
              <w:rPr>
                <w:sz w:val="22"/>
                <w:szCs w:val="22"/>
              </w:rPr>
            </w:pPr>
            <w:proofErr w:type="spellStart"/>
            <w:r>
              <w:rPr>
                <w:sz w:val="22"/>
                <w:szCs w:val="22"/>
              </w:rPr>
              <w:t>govSpend</w:t>
            </w:r>
            <w:proofErr w:type="spellEnd"/>
          </w:p>
        </w:tc>
        <w:tc>
          <w:tcPr>
            <w:tcW w:w="5068" w:type="dxa"/>
          </w:tcPr>
          <w:p w14:paraId="73B9C7EC" w14:textId="7EF449C6" w:rsidR="00734635" w:rsidRDefault="00734635" w:rsidP="00813804">
            <w:pPr>
              <w:rPr>
                <w:sz w:val="22"/>
                <w:szCs w:val="22"/>
              </w:rPr>
            </w:pPr>
            <w:r>
              <w:rPr>
                <w:sz w:val="22"/>
                <w:szCs w:val="22"/>
              </w:rPr>
              <w:t>Total government Expenditure</w:t>
            </w:r>
          </w:p>
        </w:tc>
        <w:tc>
          <w:tcPr>
            <w:tcW w:w="3117" w:type="dxa"/>
          </w:tcPr>
          <w:p w14:paraId="39378B44" w14:textId="10785E88" w:rsidR="00734635" w:rsidRDefault="00734635" w:rsidP="00813804">
            <w:pPr>
              <w:rPr>
                <w:sz w:val="22"/>
                <w:szCs w:val="22"/>
              </w:rPr>
            </w:pPr>
            <w:r>
              <w:rPr>
                <w:sz w:val="22"/>
                <w:szCs w:val="22"/>
              </w:rPr>
              <w:t>Dollars</w:t>
            </w:r>
          </w:p>
        </w:tc>
      </w:tr>
      <w:tr w:rsidR="00CA496B" w14:paraId="496FF98C" w14:textId="77777777" w:rsidTr="00D22526">
        <w:tc>
          <w:tcPr>
            <w:tcW w:w="1165" w:type="dxa"/>
          </w:tcPr>
          <w:p w14:paraId="556D6CC0" w14:textId="67EB6C77" w:rsidR="00CA496B" w:rsidRDefault="00CA496B" w:rsidP="00813804">
            <w:pPr>
              <w:rPr>
                <w:sz w:val="22"/>
                <w:szCs w:val="22"/>
              </w:rPr>
            </w:pPr>
            <w:proofErr w:type="spellStart"/>
            <w:r>
              <w:rPr>
                <w:sz w:val="22"/>
                <w:szCs w:val="22"/>
              </w:rPr>
              <w:t>palma</w:t>
            </w:r>
            <w:proofErr w:type="spellEnd"/>
          </w:p>
        </w:tc>
        <w:tc>
          <w:tcPr>
            <w:tcW w:w="5068" w:type="dxa"/>
          </w:tcPr>
          <w:p w14:paraId="61F1E51A" w14:textId="35D7DB09" w:rsidR="00CA496B" w:rsidRDefault="00EB1119" w:rsidP="00813804">
            <w:pPr>
              <w:rPr>
                <w:sz w:val="22"/>
                <w:szCs w:val="22"/>
              </w:rPr>
            </w:pPr>
            <w:r>
              <w:rPr>
                <w:sz w:val="22"/>
                <w:szCs w:val="22"/>
              </w:rPr>
              <w:t>Ratio of 10% incomes shares to 40% income shares</w:t>
            </w:r>
          </w:p>
        </w:tc>
        <w:tc>
          <w:tcPr>
            <w:tcW w:w="3117" w:type="dxa"/>
          </w:tcPr>
          <w:p w14:paraId="17EF111B" w14:textId="61C638FF" w:rsidR="00CA496B" w:rsidRDefault="00EB1119" w:rsidP="00813804">
            <w:pPr>
              <w:rPr>
                <w:sz w:val="22"/>
                <w:szCs w:val="22"/>
              </w:rPr>
            </w:pPr>
            <w:r>
              <w:rPr>
                <w:sz w:val="22"/>
                <w:szCs w:val="22"/>
              </w:rPr>
              <w:t>Ratio</w:t>
            </w:r>
          </w:p>
        </w:tc>
      </w:tr>
      <w:tr w:rsidR="00D22526" w14:paraId="65A86074" w14:textId="77777777" w:rsidTr="00D22526">
        <w:tc>
          <w:tcPr>
            <w:tcW w:w="1165" w:type="dxa"/>
          </w:tcPr>
          <w:p w14:paraId="0805A3A1" w14:textId="335A5186" w:rsidR="00D22526" w:rsidRDefault="00CE34A0" w:rsidP="00813804">
            <w:pPr>
              <w:rPr>
                <w:sz w:val="22"/>
                <w:szCs w:val="22"/>
              </w:rPr>
            </w:pPr>
            <w:proofErr w:type="spellStart"/>
            <w:r>
              <w:rPr>
                <w:sz w:val="22"/>
                <w:szCs w:val="22"/>
              </w:rPr>
              <w:t>popDens</w:t>
            </w:r>
            <w:proofErr w:type="spellEnd"/>
          </w:p>
        </w:tc>
        <w:tc>
          <w:tcPr>
            <w:tcW w:w="5068" w:type="dxa"/>
          </w:tcPr>
          <w:p w14:paraId="5B63184D" w14:textId="3C91759F" w:rsidR="00D22526" w:rsidRDefault="00CE34A0" w:rsidP="00813804">
            <w:pPr>
              <w:rPr>
                <w:sz w:val="22"/>
                <w:szCs w:val="22"/>
              </w:rPr>
            </w:pPr>
            <w:r>
              <w:rPr>
                <w:sz w:val="22"/>
                <w:szCs w:val="22"/>
              </w:rPr>
              <w:t>The population divided by land area</w:t>
            </w:r>
          </w:p>
        </w:tc>
        <w:tc>
          <w:tcPr>
            <w:tcW w:w="3117" w:type="dxa"/>
          </w:tcPr>
          <w:p w14:paraId="03A82BE3" w14:textId="6B4726CB" w:rsidR="00D22526" w:rsidRDefault="00CE34A0" w:rsidP="00813804">
            <w:pPr>
              <w:rPr>
                <w:sz w:val="22"/>
                <w:szCs w:val="22"/>
              </w:rPr>
            </w:pPr>
            <w:r>
              <w:rPr>
                <w:sz w:val="22"/>
                <w:szCs w:val="22"/>
              </w:rPr>
              <w:t>Density</w:t>
            </w:r>
          </w:p>
        </w:tc>
      </w:tr>
      <w:tr w:rsidR="00D22526" w14:paraId="12291851" w14:textId="77777777" w:rsidTr="00D22526">
        <w:tc>
          <w:tcPr>
            <w:tcW w:w="1165" w:type="dxa"/>
          </w:tcPr>
          <w:p w14:paraId="07893CCD" w14:textId="74962A7C" w:rsidR="00D22526" w:rsidRDefault="00CE34A0" w:rsidP="00813804">
            <w:pPr>
              <w:rPr>
                <w:sz w:val="22"/>
                <w:szCs w:val="22"/>
              </w:rPr>
            </w:pPr>
            <w:proofErr w:type="spellStart"/>
            <w:r>
              <w:rPr>
                <w:sz w:val="22"/>
                <w:szCs w:val="22"/>
              </w:rPr>
              <w:t>unemploy</w:t>
            </w:r>
            <w:proofErr w:type="spellEnd"/>
          </w:p>
        </w:tc>
        <w:tc>
          <w:tcPr>
            <w:tcW w:w="5068" w:type="dxa"/>
          </w:tcPr>
          <w:p w14:paraId="36EE4536" w14:textId="511E9F44" w:rsidR="00D22526" w:rsidRDefault="00CE34A0" w:rsidP="00813804">
            <w:pPr>
              <w:rPr>
                <w:sz w:val="22"/>
                <w:szCs w:val="22"/>
              </w:rPr>
            </w:pPr>
            <w:r>
              <w:rPr>
                <w:sz w:val="22"/>
                <w:szCs w:val="22"/>
              </w:rPr>
              <w:t>Unemployment rate, percentage of labor</w:t>
            </w:r>
          </w:p>
        </w:tc>
        <w:tc>
          <w:tcPr>
            <w:tcW w:w="3117" w:type="dxa"/>
          </w:tcPr>
          <w:p w14:paraId="6DE2000E" w14:textId="60342A9C" w:rsidR="00D22526" w:rsidRDefault="00CE34A0" w:rsidP="00813804">
            <w:pPr>
              <w:rPr>
                <w:sz w:val="22"/>
                <w:szCs w:val="22"/>
              </w:rPr>
            </w:pPr>
            <w:r>
              <w:rPr>
                <w:sz w:val="22"/>
                <w:szCs w:val="22"/>
              </w:rPr>
              <w:t>Percentage Value</w:t>
            </w:r>
          </w:p>
        </w:tc>
      </w:tr>
      <w:tr w:rsidR="00CE34A0" w14:paraId="22750BF2" w14:textId="77777777" w:rsidTr="00D22526">
        <w:tc>
          <w:tcPr>
            <w:tcW w:w="1165" w:type="dxa"/>
          </w:tcPr>
          <w:p w14:paraId="6BEBC912" w14:textId="6D158321" w:rsidR="00CE34A0" w:rsidRDefault="00CE34A0" w:rsidP="00813804">
            <w:pPr>
              <w:rPr>
                <w:sz w:val="22"/>
                <w:szCs w:val="22"/>
              </w:rPr>
            </w:pPr>
            <w:proofErr w:type="spellStart"/>
            <w:r>
              <w:rPr>
                <w:sz w:val="22"/>
                <w:szCs w:val="22"/>
              </w:rPr>
              <w:t>urbanPop</w:t>
            </w:r>
            <w:proofErr w:type="spellEnd"/>
          </w:p>
        </w:tc>
        <w:tc>
          <w:tcPr>
            <w:tcW w:w="5068" w:type="dxa"/>
          </w:tcPr>
          <w:p w14:paraId="4F8DA11D" w14:textId="2600DF2F" w:rsidR="00CE34A0" w:rsidRDefault="00CE34A0" w:rsidP="00813804">
            <w:pPr>
              <w:rPr>
                <w:sz w:val="22"/>
                <w:szCs w:val="22"/>
              </w:rPr>
            </w:pPr>
            <w:r>
              <w:rPr>
                <w:sz w:val="22"/>
                <w:szCs w:val="22"/>
              </w:rPr>
              <w:t xml:space="preserve">Urban population </w:t>
            </w:r>
          </w:p>
        </w:tc>
        <w:tc>
          <w:tcPr>
            <w:tcW w:w="3117" w:type="dxa"/>
          </w:tcPr>
          <w:p w14:paraId="076AACD5" w14:textId="1690429A" w:rsidR="00CE34A0" w:rsidRDefault="00CE34A0" w:rsidP="00813804">
            <w:pPr>
              <w:rPr>
                <w:sz w:val="22"/>
                <w:szCs w:val="22"/>
              </w:rPr>
            </w:pPr>
            <w:r>
              <w:rPr>
                <w:sz w:val="22"/>
                <w:szCs w:val="22"/>
              </w:rPr>
              <w:t>Percentage Value</w:t>
            </w:r>
          </w:p>
        </w:tc>
      </w:tr>
    </w:tbl>
    <w:p w14:paraId="227AF484" w14:textId="76F2E16B" w:rsidR="00D22526" w:rsidRDefault="00CE34A0" w:rsidP="00813804">
      <w:pPr>
        <w:ind w:firstLine="720"/>
        <w:rPr>
          <w:i/>
          <w:iCs/>
          <w:sz w:val="22"/>
          <w:szCs w:val="22"/>
        </w:rPr>
      </w:pPr>
      <w:r>
        <w:rPr>
          <w:i/>
          <w:iCs/>
          <w:sz w:val="22"/>
          <w:szCs w:val="22"/>
        </w:rPr>
        <w:t>Table 1: Defined Variables</w:t>
      </w:r>
    </w:p>
    <w:p w14:paraId="5EBEB3F0" w14:textId="06E56BD6" w:rsidR="00A93BDB" w:rsidRDefault="00A93BDB" w:rsidP="00A93BDB">
      <w:pPr>
        <w:rPr>
          <w:sz w:val="22"/>
          <w:szCs w:val="22"/>
        </w:rPr>
      </w:pPr>
      <w:r>
        <w:rPr>
          <w:sz w:val="22"/>
          <w:szCs w:val="22"/>
        </w:rPr>
        <w:tab/>
      </w:r>
      <w:r w:rsidR="00B5785F">
        <w:rPr>
          <w:sz w:val="22"/>
          <w:szCs w:val="22"/>
        </w:rPr>
        <w:t xml:space="preserve"> </w:t>
      </w:r>
    </w:p>
    <w:p w14:paraId="2A669D8D" w14:textId="1A5599F0" w:rsidR="001D17FA" w:rsidRDefault="00FF5E0F" w:rsidP="00BA182F">
      <w:pPr>
        <w:ind w:firstLine="720"/>
        <w:rPr>
          <w:sz w:val="22"/>
          <w:szCs w:val="22"/>
        </w:rPr>
      </w:pPr>
      <w:r>
        <w:rPr>
          <w:sz w:val="22"/>
          <w:szCs w:val="22"/>
        </w:rPr>
        <w:t xml:space="preserve">The independent variable for my second model is the </w:t>
      </w:r>
      <w:r w:rsidR="004C23FE">
        <w:rPr>
          <w:sz w:val="22"/>
          <w:szCs w:val="22"/>
        </w:rPr>
        <w:t>P</w:t>
      </w:r>
      <w:r>
        <w:rPr>
          <w:sz w:val="22"/>
          <w:szCs w:val="22"/>
        </w:rPr>
        <w:t xml:space="preserve">alma ratio, an alternative to the </w:t>
      </w:r>
      <w:r w:rsidR="004C23FE">
        <w:rPr>
          <w:sz w:val="22"/>
          <w:szCs w:val="22"/>
        </w:rPr>
        <w:t>G</w:t>
      </w:r>
      <w:r>
        <w:rPr>
          <w:sz w:val="22"/>
          <w:szCs w:val="22"/>
        </w:rPr>
        <w:t xml:space="preserve">ini. It is comprised of the top 10% income share over the bottom 40%. If the </w:t>
      </w:r>
      <w:r w:rsidR="004C23FE">
        <w:rPr>
          <w:sz w:val="22"/>
          <w:szCs w:val="22"/>
        </w:rPr>
        <w:t>P</w:t>
      </w:r>
      <w:r>
        <w:rPr>
          <w:sz w:val="22"/>
          <w:szCs w:val="22"/>
        </w:rPr>
        <w:t xml:space="preserve">alma ratio is 1, both groups have equal </w:t>
      </w:r>
      <w:r w:rsidR="00B8637E">
        <w:rPr>
          <w:sz w:val="22"/>
          <w:szCs w:val="22"/>
        </w:rPr>
        <w:t xml:space="preserve">income </w:t>
      </w:r>
      <w:r>
        <w:rPr>
          <w:sz w:val="22"/>
          <w:szCs w:val="22"/>
        </w:rPr>
        <w:t xml:space="preserve">shares. If the </w:t>
      </w:r>
      <w:r w:rsidR="004C23FE">
        <w:rPr>
          <w:sz w:val="22"/>
          <w:szCs w:val="22"/>
        </w:rPr>
        <w:t>P</w:t>
      </w:r>
      <w:r>
        <w:rPr>
          <w:sz w:val="22"/>
          <w:szCs w:val="22"/>
        </w:rPr>
        <w:t xml:space="preserve">alma ratio is 2, the top 10% has double the income share of the poorest 40%. I </w:t>
      </w:r>
      <w:r w:rsidR="001D17FA">
        <w:rPr>
          <w:sz w:val="22"/>
          <w:szCs w:val="22"/>
        </w:rPr>
        <w:t xml:space="preserve">included this alternative inequality measure over concerns about the estimation of the </w:t>
      </w:r>
      <w:r w:rsidR="004C23FE">
        <w:rPr>
          <w:sz w:val="22"/>
          <w:szCs w:val="22"/>
        </w:rPr>
        <w:t>G</w:t>
      </w:r>
      <w:r w:rsidR="001D17FA">
        <w:rPr>
          <w:sz w:val="22"/>
          <w:szCs w:val="22"/>
        </w:rPr>
        <w:t xml:space="preserve">ini, especially with data in this region because the survey infrastructure is weaker than in developed countries. </w:t>
      </w:r>
    </w:p>
    <w:p w14:paraId="1A78ED80" w14:textId="2F8186AA" w:rsidR="00BA182F" w:rsidRDefault="00BA182F" w:rsidP="00BA182F">
      <w:pPr>
        <w:ind w:firstLine="720"/>
        <w:rPr>
          <w:sz w:val="22"/>
          <w:szCs w:val="22"/>
        </w:rPr>
      </w:pPr>
      <w:r>
        <w:rPr>
          <w:sz w:val="22"/>
          <w:szCs w:val="22"/>
        </w:rPr>
        <w:t>The independent variable for the third model was</w:t>
      </w:r>
      <w:r w:rsidRPr="00A15D37">
        <w:rPr>
          <w:i/>
          <w:iCs/>
          <w:sz w:val="22"/>
          <w:szCs w:val="22"/>
        </w:rPr>
        <w:t xml:space="preserve"> </w:t>
      </w:r>
      <w:proofErr w:type="spellStart"/>
      <w:r w:rsidRPr="00A15D37">
        <w:rPr>
          <w:i/>
          <w:iCs/>
          <w:sz w:val="22"/>
          <w:szCs w:val="22"/>
        </w:rPr>
        <w:t>fdi</w:t>
      </w:r>
      <w:proofErr w:type="spellEnd"/>
      <w:r>
        <w:rPr>
          <w:sz w:val="22"/>
          <w:szCs w:val="22"/>
        </w:rPr>
        <w:t xml:space="preserve">. Foreign direct investment is a strong indicator of income inequality, so the third model </w:t>
      </w:r>
      <w:r w:rsidR="00A15D37">
        <w:rPr>
          <w:sz w:val="22"/>
          <w:szCs w:val="22"/>
        </w:rPr>
        <w:t>i</w:t>
      </w:r>
      <w:r>
        <w:rPr>
          <w:sz w:val="22"/>
          <w:szCs w:val="22"/>
        </w:rPr>
        <w:t>s intended to support</w:t>
      </w:r>
      <w:r w:rsidRPr="00A15D37">
        <w:rPr>
          <w:i/>
          <w:iCs/>
          <w:sz w:val="22"/>
          <w:szCs w:val="22"/>
        </w:rPr>
        <w:t xml:space="preserve"> </w:t>
      </w:r>
      <w:proofErr w:type="spellStart"/>
      <w:r w:rsidRPr="00A15D37">
        <w:rPr>
          <w:i/>
          <w:iCs/>
          <w:sz w:val="22"/>
          <w:szCs w:val="22"/>
        </w:rPr>
        <w:t>fdi</w:t>
      </w:r>
      <w:proofErr w:type="spellEnd"/>
      <w:r>
        <w:rPr>
          <w:sz w:val="22"/>
          <w:szCs w:val="22"/>
        </w:rPr>
        <w:t xml:space="preserve"> as a mechanism for EVD to influence income inequality through. </w:t>
      </w:r>
    </w:p>
    <w:p w14:paraId="375C8E7E" w14:textId="1477BA61" w:rsidR="00734635" w:rsidRPr="004919A3" w:rsidRDefault="00734635" w:rsidP="00A93BDB">
      <w:pPr>
        <w:rPr>
          <w:sz w:val="22"/>
          <w:szCs w:val="22"/>
        </w:rPr>
      </w:pPr>
    </w:p>
    <w:tbl>
      <w:tblPr>
        <w:tblStyle w:val="PlainTable5"/>
        <w:tblW w:w="0" w:type="auto"/>
        <w:tblLook w:val="04A0" w:firstRow="1" w:lastRow="0" w:firstColumn="1" w:lastColumn="0" w:noHBand="0" w:noVBand="1"/>
      </w:tblPr>
      <w:tblGrid>
        <w:gridCol w:w="1870"/>
        <w:gridCol w:w="1870"/>
        <w:gridCol w:w="1870"/>
        <w:gridCol w:w="1870"/>
        <w:gridCol w:w="1870"/>
      </w:tblGrid>
      <w:tr w:rsidR="004919A3" w:rsidRPr="004919A3" w14:paraId="0C6C3D9A" w14:textId="77777777" w:rsidTr="004919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38613433" w14:textId="12235D9D" w:rsidR="004919A3" w:rsidRPr="004919A3" w:rsidRDefault="004919A3" w:rsidP="00A93BDB">
            <w:pPr>
              <w:rPr>
                <w:sz w:val="22"/>
                <w:szCs w:val="22"/>
              </w:rPr>
            </w:pPr>
            <w:r w:rsidRPr="004919A3">
              <w:rPr>
                <w:sz w:val="22"/>
                <w:szCs w:val="22"/>
              </w:rPr>
              <w:t>Variable</w:t>
            </w:r>
          </w:p>
        </w:tc>
        <w:tc>
          <w:tcPr>
            <w:tcW w:w="1870" w:type="dxa"/>
          </w:tcPr>
          <w:p w14:paraId="041C4DB1" w14:textId="1EB8F26F" w:rsidR="004919A3" w:rsidRPr="004919A3" w:rsidRDefault="004919A3" w:rsidP="00A93BDB">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Min</w:t>
            </w:r>
          </w:p>
        </w:tc>
        <w:tc>
          <w:tcPr>
            <w:tcW w:w="1870" w:type="dxa"/>
          </w:tcPr>
          <w:p w14:paraId="4CDD2584" w14:textId="03356C23" w:rsidR="004919A3" w:rsidRPr="004919A3" w:rsidRDefault="004919A3" w:rsidP="00A93BDB">
            <w:pPr>
              <w:cnfStyle w:val="100000000000" w:firstRow="1" w:lastRow="0" w:firstColumn="0" w:lastColumn="0" w:oddVBand="0" w:evenVBand="0" w:oddHBand="0" w:evenHBand="0" w:firstRowFirstColumn="0" w:firstRowLastColumn="0" w:lastRowFirstColumn="0" w:lastRowLastColumn="0"/>
              <w:rPr>
                <w:sz w:val="22"/>
                <w:szCs w:val="22"/>
              </w:rPr>
            </w:pPr>
            <w:r w:rsidRPr="004919A3">
              <w:rPr>
                <w:sz w:val="22"/>
                <w:szCs w:val="22"/>
              </w:rPr>
              <w:t>Mean</w:t>
            </w:r>
          </w:p>
        </w:tc>
        <w:tc>
          <w:tcPr>
            <w:tcW w:w="1870" w:type="dxa"/>
          </w:tcPr>
          <w:p w14:paraId="5AF504DB" w14:textId="62537AEA" w:rsidR="004919A3" w:rsidRPr="004919A3" w:rsidRDefault="004919A3" w:rsidP="00A93BDB">
            <w:pPr>
              <w:cnfStyle w:val="100000000000" w:firstRow="1" w:lastRow="0" w:firstColumn="0" w:lastColumn="0" w:oddVBand="0" w:evenVBand="0" w:oddHBand="0" w:evenHBand="0" w:firstRowFirstColumn="0" w:firstRowLastColumn="0" w:lastRowFirstColumn="0" w:lastRowLastColumn="0"/>
              <w:rPr>
                <w:sz w:val="22"/>
                <w:szCs w:val="22"/>
              </w:rPr>
            </w:pPr>
            <w:r w:rsidRPr="004919A3">
              <w:rPr>
                <w:sz w:val="22"/>
                <w:szCs w:val="22"/>
              </w:rPr>
              <w:t>M</w:t>
            </w:r>
            <w:r>
              <w:rPr>
                <w:sz w:val="22"/>
                <w:szCs w:val="22"/>
              </w:rPr>
              <w:t>ax</w:t>
            </w:r>
          </w:p>
        </w:tc>
        <w:tc>
          <w:tcPr>
            <w:tcW w:w="1870" w:type="dxa"/>
          </w:tcPr>
          <w:p w14:paraId="04C81F7A" w14:textId="6D17C856" w:rsidR="004919A3" w:rsidRPr="004919A3" w:rsidRDefault="004919A3" w:rsidP="00A93BDB">
            <w:pPr>
              <w:cnfStyle w:val="100000000000" w:firstRow="1" w:lastRow="0" w:firstColumn="0" w:lastColumn="0" w:oddVBand="0" w:evenVBand="0" w:oddHBand="0" w:evenHBand="0" w:firstRowFirstColumn="0" w:firstRowLastColumn="0" w:lastRowFirstColumn="0" w:lastRowLastColumn="0"/>
              <w:rPr>
                <w:sz w:val="22"/>
                <w:szCs w:val="22"/>
              </w:rPr>
            </w:pPr>
            <w:r w:rsidRPr="004919A3">
              <w:rPr>
                <w:sz w:val="22"/>
                <w:szCs w:val="22"/>
              </w:rPr>
              <w:t>sd</w:t>
            </w:r>
          </w:p>
        </w:tc>
      </w:tr>
      <w:tr w:rsidR="004919A3" w14:paraId="541AE7B2" w14:textId="77777777" w:rsidTr="00491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83EBDA" w14:textId="09398583" w:rsidR="004919A3" w:rsidRPr="00CC1D53" w:rsidRDefault="00CC1D53" w:rsidP="00A93BDB">
            <w:pPr>
              <w:rPr>
                <w:sz w:val="22"/>
                <w:szCs w:val="22"/>
              </w:rPr>
            </w:pPr>
            <w:r>
              <w:rPr>
                <w:sz w:val="22"/>
                <w:szCs w:val="22"/>
              </w:rPr>
              <w:t>c</w:t>
            </w:r>
            <w:r w:rsidR="004919A3" w:rsidRPr="00CC1D53">
              <w:rPr>
                <w:sz w:val="22"/>
                <w:szCs w:val="22"/>
              </w:rPr>
              <w:t>onflict</w:t>
            </w:r>
          </w:p>
        </w:tc>
        <w:tc>
          <w:tcPr>
            <w:tcW w:w="1870" w:type="dxa"/>
          </w:tcPr>
          <w:p w14:paraId="72FBD8CB" w14:textId="379F5E31" w:rsidR="004919A3" w:rsidRDefault="004919A3" w:rsidP="00A93BD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870" w:type="dxa"/>
          </w:tcPr>
          <w:p w14:paraId="42B8D257" w14:textId="46EF80FE" w:rsidR="004919A3" w:rsidRDefault="004919A3" w:rsidP="00A93BD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0.1727</w:t>
            </w:r>
          </w:p>
        </w:tc>
        <w:tc>
          <w:tcPr>
            <w:tcW w:w="1870" w:type="dxa"/>
          </w:tcPr>
          <w:p w14:paraId="476A3157" w14:textId="6D34605F" w:rsidR="004919A3" w:rsidRDefault="004919A3" w:rsidP="00A93BD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1870" w:type="dxa"/>
          </w:tcPr>
          <w:p w14:paraId="4FF3B95C" w14:textId="2289E4E4" w:rsidR="004919A3" w:rsidRDefault="003A16CC" w:rsidP="00A93BD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NA</w:t>
            </w:r>
          </w:p>
        </w:tc>
      </w:tr>
      <w:tr w:rsidR="003A16CC" w14:paraId="7BAD1679" w14:textId="77777777" w:rsidTr="004919A3">
        <w:tc>
          <w:tcPr>
            <w:cnfStyle w:val="001000000000" w:firstRow="0" w:lastRow="0" w:firstColumn="1" w:lastColumn="0" w:oddVBand="0" w:evenVBand="0" w:oddHBand="0" w:evenHBand="0" w:firstRowFirstColumn="0" w:firstRowLastColumn="0" w:lastRowFirstColumn="0" w:lastRowLastColumn="0"/>
            <w:tcW w:w="1870" w:type="dxa"/>
          </w:tcPr>
          <w:p w14:paraId="2737795F" w14:textId="27FE7CD7" w:rsidR="003A16CC" w:rsidRPr="004919A3" w:rsidRDefault="003A16CC" w:rsidP="003A16CC">
            <w:pPr>
              <w:rPr>
                <w:sz w:val="22"/>
                <w:szCs w:val="22"/>
              </w:rPr>
            </w:pPr>
            <w:r>
              <w:rPr>
                <w:sz w:val="22"/>
                <w:szCs w:val="22"/>
              </w:rPr>
              <w:t>epi</w:t>
            </w:r>
          </w:p>
        </w:tc>
        <w:tc>
          <w:tcPr>
            <w:tcW w:w="1870" w:type="dxa"/>
          </w:tcPr>
          <w:p w14:paraId="163805F5" w14:textId="3470C9CA" w:rsidR="003A16CC" w:rsidRDefault="003A16CC"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tc>
        <w:tc>
          <w:tcPr>
            <w:tcW w:w="1870" w:type="dxa"/>
          </w:tcPr>
          <w:p w14:paraId="7E4956AD" w14:textId="7610BBBD" w:rsidR="003A16CC" w:rsidRDefault="001C4551"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215.5</w:t>
            </w:r>
          </w:p>
        </w:tc>
        <w:tc>
          <w:tcPr>
            <w:tcW w:w="1870" w:type="dxa"/>
          </w:tcPr>
          <w:p w14:paraId="5E8F2069" w14:textId="4FF8E379" w:rsidR="003A16CC" w:rsidRDefault="001C4551" w:rsidP="003A16CC">
            <w:pPr>
              <w:cnfStyle w:val="000000000000" w:firstRow="0" w:lastRow="0" w:firstColumn="0" w:lastColumn="0" w:oddVBand="0" w:evenVBand="0" w:oddHBand="0" w:evenHBand="0" w:firstRowFirstColumn="0" w:firstRowLastColumn="0" w:lastRowFirstColumn="0" w:lastRowLastColumn="0"/>
              <w:rPr>
                <w:sz w:val="22"/>
                <w:szCs w:val="22"/>
              </w:rPr>
            </w:pPr>
            <w:r w:rsidRPr="001C4551">
              <w:rPr>
                <w:sz w:val="22"/>
                <w:szCs w:val="22"/>
              </w:rPr>
              <w:t>9446.0</w:t>
            </w:r>
          </w:p>
        </w:tc>
        <w:tc>
          <w:tcPr>
            <w:tcW w:w="1870" w:type="dxa"/>
          </w:tcPr>
          <w:p w14:paraId="33DB35D6" w14:textId="41F6EC6E" w:rsidR="003A16CC" w:rsidRDefault="001C4551" w:rsidP="003A16CC">
            <w:pPr>
              <w:cnfStyle w:val="000000000000" w:firstRow="0" w:lastRow="0" w:firstColumn="0" w:lastColumn="0" w:oddVBand="0" w:evenVBand="0" w:oddHBand="0" w:evenHBand="0" w:firstRowFirstColumn="0" w:firstRowLastColumn="0" w:lastRowFirstColumn="0" w:lastRowLastColumn="0"/>
              <w:rPr>
                <w:sz w:val="22"/>
                <w:szCs w:val="22"/>
              </w:rPr>
            </w:pPr>
            <w:r w:rsidRPr="001C4551">
              <w:rPr>
                <w:sz w:val="22"/>
                <w:szCs w:val="22"/>
              </w:rPr>
              <w:t>1204.964</w:t>
            </w:r>
          </w:p>
        </w:tc>
      </w:tr>
      <w:tr w:rsidR="003A16CC" w14:paraId="0B18BC7A" w14:textId="77777777" w:rsidTr="00491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4427F4" w14:textId="6907FDA6" w:rsidR="003A16CC" w:rsidRPr="004919A3" w:rsidRDefault="003A16CC" w:rsidP="003A16CC">
            <w:pPr>
              <w:rPr>
                <w:sz w:val="22"/>
                <w:szCs w:val="22"/>
              </w:rPr>
            </w:pPr>
            <w:proofErr w:type="spellStart"/>
            <w:r>
              <w:rPr>
                <w:sz w:val="22"/>
                <w:szCs w:val="22"/>
              </w:rPr>
              <w:t>fdi</w:t>
            </w:r>
            <w:proofErr w:type="spellEnd"/>
          </w:p>
        </w:tc>
        <w:tc>
          <w:tcPr>
            <w:tcW w:w="1870" w:type="dxa"/>
          </w:tcPr>
          <w:p w14:paraId="63BD8931" w14:textId="1F3389C6" w:rsidR="003A16CC" w:rsidRDefault="003A16CC"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190000</w:t>
            </w:r>
          </w:p>
        </w:tc>
        <w:tc>
          <w:tcPr>
            <w:tcW w:w="1870" w:type="dxa"/>
          </w:tcPr>
          <w:p w14:paraId="7944F690" w14:textId="0AB043C8" w:rsidR="003A16CC" w:rsidRDefault="003A16CC"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1035906310</w:t>
            </w:r>
          </w:p>
        </w:tc>
        <w:tc>
          <w:tcPr>
            <w:tcW w:w="1870" w:type="dxa"/>
          </w:tcPr>
          <w:p w14:paraId="65B3E361" w14:textId="24D4B4A4" w:rsidR="003A16CC" w:rsidRDefault="003A16CC"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8841114000</w:t>
            </w:r>
          </w:p>
        </w:tc>
        <w:tc>
          <w:tcPr>
            <w:tcW w:w="1870" w:type="dxa"/>
          </w:tcPr>
          <w:p w14:paraId="4126DDD3" w14:textId="43D47AE8"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sidRPr="00BB2AC4">
              <w:rPr>
                <w:sz w:val="22"/>
                <w:szCs w:val="22"/>
              </w:rPr>
              <w:t>1507533679</w:t>
            </w:r>
          </w:p>
        </w:tc>
      </w:tr>
      <w:tr w:rsidR="003A16CC" w14:paraId="167C0334" w14:textId="77777777" w:rsidTr="004919A3">
        <w:tc>
          <w:tcPr>
            <w:cnfStyle w:val="001000000000" w:firstRow="0" w:lastRow="0" w:firstColumn="1" w:lastColumn="0" w:oddVBand="0" w:evenVBand="0" w:oddHBand="0" w:evenHBand="0" w:firstRowFirstColumn="0" w:firstRowLastColumn="0" w:lastRowFirstColumn="0" w:lastRowLastColumn="0"/>
            <w:tcW w:w="1870" w:type="dxa"/>
          </w:tcPr>
          <w:p w14:paraId="4F03391C" w14:textId="729AB653" w:rsidR="003A16CC" w:rsidRPr="004919A3" w:rsidRDefault="003A16CC" w:rsidP="003A16CC">
            <w:pPr>
              <w:rPr>
                <w:sz w:val="22"/>
                <w:szCs w:val="22"/>
              </w:rPr>
            </w:pPr>
            <w:proofErr w:type="spellStart"/>
            <w:r>
              <w:rPr>
                <w:sz w:val="22"/>
                <w:szCs w:val="22"/>
              </w:rPr>
              <w:t>gdp</w:t>
            </w:r>
            <w:proofErr w:type="spellEnd"/>
          </w:p>
        </w:tc>
        <w:tc>
          <w:tcPr>
            <w:tcW w:w="1870" w:type="dxa"/>
          </w:tcPr>
          <w:p w14:paraId="49B2C821" w14:textId="0AC6286F"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2173545984</w:t>
            </w:r>
          </w:p>
        </w:tc>
        <w:tc>
          <w:tcPr>
            <w:tcW w:w="1870" w:type="dxa"/>
          </w:tcPr>
          <w:p w14:paraId="6AB47579" w14:textId="1C25210B"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16035571250</w:t>
            </w:r>
          </w:p>
        </w:tc>
        <w:tc>
          <w:tcPr>
            <w:tcW w:w="1870" w:type="dxa"/>
          </w:tcPr>
          <w:p w14:paraId="280B9AD8" w14:textId="101FA276"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1.3e+14</w:t>
            </w:r>
          </w:p>
        </w:tc>
        <w:tc>
          <w:tcPr>
            <w:tcW w:w="1870" w:type="dxa"/>
          </w:tcPr>
          <w:p w14:paraId="60401BEB" w14:textId="2FAF7106"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sidRPr="003A16CC">
              <w:rPr>
                <w:sz w:val="22"/>
                <w:szCs w:val="22"/>
              </w:rPr>
              <w:t>3.022e+13</w:t>
            </w:r>
          </w:p>
        </w:tc>
      </w:tr>
      <w:tr w:rsidR="003A16CC" w14:paraId="7D46BF8A" w14:textId="77777777" w:rsidTr="00491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E93ACE5" w14:textId="34517302" w:rsidR="003A16CC" w:rsidRPr="004919A3" w:rsidRDefault="003A16CC" w:rsidP="003A16CC">
            <w:pPr>
              <w:rPr>
                <w:sz w:val="22"/>
                <w:szCs w:val="22"/>
              </w:rPr>
            </w:pPr>
            <w:proofErr w:type="spellStart"/>
            <w:r>
              <w:rPr>
                <w:sz w:val="22"/>
                <w:szCs w:val="22"/>
              </w:rPr>
              <w:t>gini</w:t>
            </w:r>
            <w:proofErr w:type="spellEnd"/>
          </w:p>
        </w:tc>
        <w:tc>
          <w:tcPr>
            <w:tcW w:w="1870" w:type="dxa"/>
          </w:tcPr>
          <w:p w14:paraId="725CA036" w14:textId="012D6FE6" w:rsidR="003A16CC" w:rsidRDefault="006B57A7"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0.5011</w:t>
            </w:r>
          </w:p>
        </w:tc>
        <w:tc>
          <w:tcPr>
            <w:tcW w:w="1870" w:type="dxa"/>
          </w:tcPr>
          <w:p w14:paraId="667B1B58" w14:textId="773CC77F" w:rsidR="003A16CC" w:rsidRDefault="00986E41"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w:t>
            </w:r>
            <w:r w:rsidR="006B57A7">
              <w:rPr>
                <w:sz w:val="22"/>
                <w:szCs w:val="22"/>
              </w:rPr>
              <w:t>764</w:t>
            </w:r>
          </w:p>
        </w:tc>
        <w:tc>
          <w:tcPr>
            <w:tcW w:w="1870" w:type="dxa"/>
          </w:tcPr>
          <w:p w14:paraId="1BD4F62F" w14:textId="7617FA64" w:rsidR="003A16CC" w:rsidRDefault="006B57A7"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057</w:t>
            </w:r>
          </w:p>
        </w:tc>
        <w:tc>
          <w:tcPr>
            <w:tcW w:w="1870" w:type="dxa"/>
          </w:tcPr>
          <w:p w14:paraId="53F51C2D" w14:textId="6F7B1E9D" w:rsidR="003A16CC" w:rsidRDefault="00986E41"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0.0512</w:t>
            </w:r>
          </w:p>
        </w:tc>
      </w:tr>
      <w:tr w:rsidR="003A16CC" w14:paraId="450CA75B" w14:textId="77777777" w:rsidTr="004919A3">
        <w:tc>
          <w:tcPr>
            <w:cnfStyle w:val="001000000000" w:firstRow="0" w:lastRow="0" w:firstColumn="1" w:lastColumn="0" w:oddVBand="0" w:evenVBand="0" w:oddHBand="0" w:evenHBand="0" w:firstRowFirstColumn="0" w:firstRowLastColumn="0" w:lastRowFirstColumn="0" w:lastRowLastColumn="0"/>
            <w:tcW w:w="1870" w:type="dxa"/>
          </w:tcPr>
          <w:p w14:paraId="1E2EFF21" w14:textId="33B5DA16" w:rsidR="003A16CC" w:rsidRPr="004919A3" w:rsidRDefault="003A16CC" w:rsidP="003A16CC">
            <w:pPr>
              <w:rPr>
                <w:sz w:val="22"/>
                <w:szCs w:val="22"/>
              </w:rPr>
            </w:pPr>
            <w:proofErr w:type="spellStart"/>
            <w:r>
              <w:rPr>
                <w:sz w:val="22"/>
                <w:szCs w:val="22"/>
              </w:rPr>
              <w:t>govSpend</w:t>
            </w:r>
            <w:proofErr w:type="spellEnd"/>
          </w:p>
        </w:tc>
        <w:tc>
          <w:tcPr>
            <w:tcW w:w="1870" w:type="dxa"/>
          </w:tcPr>
          <w:p w14:paraId="0BFE6158" w14:textId="05EC78F5"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w:t>
            </w:r>
          </w:p>
        </w:tc>
        <w:tc>
          <w:tcPr>
            <w:tcW w:w="1870" w:type="dxa"/>
          </w:tcPr>
          <w:p w14:paraId="38E923F8" w14:textId="75C7B823"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32869980000</w:t>
            </w:r>
          </w:p>
        </w:tc>
        <w:tc>
          <w:tcPr>
            <w:tcW w:w="1870" w:type="dxa"/>
          </w:tcPr>
          <w:p w14:paraId="6315A101" w14:textId="27D87A8F"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5.4e+11</w:t>
            </w:r>
          </w:p>
        </w:tc>
        <w:tc>
          <w:tcPr>
            <w:tcW w:w="1870" w:type="dxa"/>
          </w:tcPr>
          <w:p w14:paraId="4FCEA13E" w14:textId="22766D5C"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sidRPr="00BB2AC4">
              <w:rPr>
                <w:sz w:val="22"/>
                <w:szCs w:val="22"/>
              </w:rPr>
              <w:t>97919475612</w:t>
            </w:r>
          </w:p>
        </w:tc>
      </w:tr>
      <w:tr w:rsidR="003A16CC" w14:paraId="14FA468F" w14:textId="77777777" w:rsidTr="00491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7D341D" w14:textId="627C46F8" w:rsidR="003A16CC" w:rsidRPr="004919A3" w:rsidRDefault="003A16CC" w:rsidP="003A16CC">
            <w:pPr>
              <w:rPr>
                <w:sz w:val="22"/>
                <w:szCs w:val="22"/>
              </w:rPr>
            </w:pPr>
            <w:proofErr w:type="spellStart"/>
            <w:r>
              <w:rPr>
                <w:sz w:val="22"/>
                <w:szCs w:val="22"/>
              </w:rPr>
              <w:t>palma</w:t>
            </w:r>
            <w:proofErr w:type="spellEnd"/>
          </w:p>
        </w:tc>
        <w:tc>
          <w:tcPr>
            <w:tcW w:w="1870" w:type="dxa"/>
          </w:tcPr>
          <w:p w14:paraId="0B44FF26" w14:textId="372CFFF3"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8.528</w:t>
            </w:r>
          </w:p>
        </w:tc>
        <w:tc>
          <w:tcPr>
            <w:tcW w:w="1870" w:type="dxa"/>
          </w:tcPr>
          <w:p w14:paraId="70FD1AA3" w14:textId="32784001"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13.416</w:t>
            </w:r>
          </w:p>
        </w:tc>
        <w:tc>
          <w:tcPr>
            <w:tcW w:w="1870" w:type="dxa"/>
          </w:tcPr>
          <w:p w14:paraId="38F3C425" w14:textId="680F7832"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22.336</w:t>
            </w:r>
          </w:p>
        </w:tc>
        <w:tc>
          <w:tcPr>
            <w:tcW w:w="1870" w:type="dxa"/>
          </w:tcPr>
          <w:p w14:paraId="7AB88CB0" w14:textId="2E5ECF79"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3.64</w:t>
            </w:r>
          </w:p>
        </w:tc>
      </w:tr>
      <w:tr w:rsidR="003A16CC" w14:paraId="34CC9B63" w14:textId="77777777" w:rsidTr="004919A3">
        <w:tc>
          <w:tcPr>
            <w:cnfStyle w:val="001000000000" w:firstRow="0" w:lastRow="0" w:firstColumn="1" w:lastColumn="0" w:oddVBand="0" w:evenVBand="0" w:oddHBand="0" w:evenHBand="0" w:firstRowFirstColumn="0" w:firstRowLastColumn="0" w:lastRowFirstColumn="0" w:lastRowLastColumn="0"/>
            <w:tcW w:w="1870" w:type="dxa"/>
          </w:tcPr>
          <w:p w14:paraId="01C0C94C" w14:textId="28720001" w:rsidR="003A16CC" w:rsidRDefault="003A16CC" w:rsidP="003A16CC">
            <w:pPr>
              <w:rPr>
                <w:sz w:val="22"/>
                <w:szCs w:val="22"/>
              </w:rPr>
            </w:pPr>
            <w:proofErr w:type="spellStart"/>
            <w:r>
              <w:rPr>
                <w:sz w:val="22"/>
                <w:szCs w:val="22"/>
              </w:rPr>
              <w:t>popDens</w:t>
            </w:r>
            <w:proofErr w:type="spellEnd"/>
          </w:p>
        </w:tc>
        <w:tc>
          <w:tcPr>
            <w:tcW w:w="1870" w:type="dxa"/>
          </w:tcPr>
          <w:p w14:paraId="5BF7212E" w14:textId="5C2EC13B"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3.39</w:t>
            </w:r>
          </w:p>
        </w:tc>
        <w:tc>
          <w:tcPr>
            <w:tcW w:w="1870" w:type="dxa"/>
          </w:tcPr>
          <w:p w14:paraId="32C0CC5F" w14:textId="1D213CF1"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75.897</w:t>
            </w:r>
          </w:p>
        </w:tc>
        <w:tc>
          <w:tcPr>
            <w:tcW w:w="1870" w:type="dxa"/>
          </w:tcPr>
          <w:p w14:paraId="296D1DE6" w14:textId="77618DE1"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218.76</w:t>
            </w:r>
          </w:p>
        </w:tc>
        <w:tc>
          <w:tcPr>
            <w:tcW w:w="1870" w:type="dxa"/>
          </w:tcPr>
          <w:p w14:paraId="5A20BBAC" w14:textId="6E968C0B"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sidRPr="00BB2AC4">
              <w:rPr>
                <w:sz w:val="22"/>
                <w:szCs w:val="22"/>
              </w:rPr>
              <w:t>57.08515</w:t>
            </w:r>
          </w:p>
        </w:tc>
      </w:tr>
      <w:tr w:rsidR="003A16CC" w14:paraId="40B4962E" w14:textId="77777777" w:rsidTr="00491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4E4CFB" w14:textId="48FD9E6C" w:rsidR="003A16CC" w:rsidRDefault="003A16CC" w:rsidP="003A16CC">
            <w:pPr>
              <w:rPr>
                <w:sz w:val="22"/>
                <w:szCs w:val="22"/>
              </w:rPr>
            </w:pPr>
            <w:proofErr w:type="spellStart"/>
            <w:r>
              <w:rPr>
                <w:sz w:val="22"/>
                <w:szCs w:val="22"/>
              </w:rPr>
              <w:t>unemploy</w:t>
            </w:r>
            <w:proofErr w:type="spellEnd"/>
          </w:p>
        </w:tc>
        <w:tc>
          <w:tcPr>
            <w:tcW w:w="1870" w:type="dxa"/>
          </w:tcPr>
          <w:p w14:paraId="6EEC34D0" w14:textId="2AF8167B"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0.317</w:t>
            </w:r>
          </w:p>
        </w:tc>
        <w:tc>
          <w:tcPr>
            <w:tcW w:w="1870" w:type="dxa"/>
          </w:tcPr>
          <w:p w14:paraId="76B304AC" w14:textId="089B0074"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5.195</w:t>
            </w:r>
          </w:p>
        </w:tc>
        <w:tc>
          <w:tcPr>
            <w:tcW w:w="1870" w:type="dxa"/>
          </w:tcPr>
          <w:p w14:paraId="4CC73717" w14:textId="7B83DDDD"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11.909</w:t>
            </w:r>
          </w:p>
        </w:tc>
        <w:tc>
          <w:tcPr>
            <w:tcW w:w="1870" w:type="dxa"/>
          </w:tcPr>
          <w:p w14:paraId="119949E5" w14:textId="23D8E473" w:rsidR="003A16CC" w:rsidRDefault="00BB2AC4" w:rsidP="003A16CC">
            <w:pPr>
              <w:cnfStyle w:val="000000100000" w:firstRow="0" w:lastRow="0" w:firstColumn="0" w:lastColumn="0" w:oddVBand="0" w:evenVBand="0" w:oddHBand="1" w:evenHBand="0" w:firstRowFirstColumn="0" w:firstRowLastColumn="0" w:lastRowFirstColumn="0" w:lastRowLastColumn="0"/>
              <w:rPr>
                <w:sz w:val="22"/>
                <w:szCs w:val="22"/>
              </w:rPr>
            </w:pPr>
            <w:r w:rsidRPr="00BB2AC4">
              <w:rPr>
                <w:sz w:val="22"/>
                <w:szCs w:val="22"/>
              </w:rPr>
              <w:t>3.048001</w:t>
            </w:r>
          </w:p>
        </w:tc>
      </w:tr>
      <w:tr w:rsidR="003A16CC" w14:paraId="2F05C8F5" w14:textId="77777777" w:rsidTr="004919A3">
        <w:tc>
          <w:tcPr>
            <w:cnfStyle w:val="001000000000" w:firstRow="0" w:lastRow="0" w:firstColumn="1" w:lastColumn="0" w:oddVBand="0" w:evenVBand="0" w:oddHBand="0" w:evenHBand="0" w:firstRowFirstColumn="0" w:firstRowLastColumn="0" w:lastRowFirstColumn="0" w:lastRowLastColumn="0"/>
            <w:tcW w:w="1870" w:type="dxa"/>
          </w:tcPr>
          <w:p w14:paraId="41AFC3D0" w14:textId="44B37A8A" w:rsidR="003A16CC" w:rsidRDefault="003A16CC" w:rsidP="003A16CC">
            <w:pPr>
              <w:rPr>
                <w:sz w:val="22"/>
                <w:szCs w:val="22"/>
              </w:rPr>
            </w:pPr>
            <w:proofErr w:type="spellStart"/>
            <w:r>
              <w:rPr>
                <w:sz w:val="22"/>
                <w:szCs w:val="22"/>
              </w:rPr>
              <w:t>urbanPop</w:t>
            </w:r>
            <w:proofErr w:type="spellEnd"/>
          </w:p>
        </w:tc>
        <w:tc>
          <w:tcPr>
            <w:tcW w:w="1870" w:type="dxa"/>
          </w:tcPr>
          <w:p w14:paraId="0EF7EB77" w14:textId="7745ECE8"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16.208</w:t>
            </w:r>
          </w:p>
        </w:tc>
        <w:tc>
          <w:tcPr>
            <w:tcW w:w="1870" w:type="dxa"/>
          </w:tcPr>
          <w:p w14:paraId="5810F318" w14:textId="79A6C7EB"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44.076</w:t>
            </w:r>
          </w:p>
        </w:tc>
        <w:tc>
          <w:tcPr>
            <w:tcW w:w="1870" w:type="dxa"/>
          </w:tcPr>
          <w:p w14:paraId="1D4AC8C5" w14:textId="6A6B3315"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71.646</w:t>
            </w:r>
          </w:p>
        </w:tc>
        <w:tc>
          <w:tcPr>
            <w:tcW w:w="1870" w:type="dxa"/>
          </w:tcPr>
          <w:p w14:paraId="5904FA5E" w14:textId="345C0FBC" w:rsidR="003A16CC" w:rsidRDefault="00BB2AC4" w:rsidP="003A16CC">
            <w:pPr>
              <w:cnfStyle w:val="000000000000" w:firstRow="0" w:lastRow="0" w:firstColumn="0" w:lastColumn="0" w:oddVBand="0" w:evenVBand="0" w:oddHBand="0" w:evenHBand="0" w:firstRowFirstColumn="0" w:firstRowLastColumn="0" w:lastRowFirstColumn="0" w:lastRowLastColumn="0"/>
              <w:rPr>
                <w:sz w:val="22"/>
                <w:szCs w:val="22"/>
              </w:rPr>
            </w:pPr>
            <w:r w:rsidRPr="00BB2AC4">
              <w:rPr>
                <w:sz w:val="22"/>
                <w:szCs w:val="22"/>
              </w:rPr>
              <w:t>13.38134</w:t>
            </w:r>
          </w:p>
        </w:tc>
      </w:tr>
    </w:tbl>
    <w:p w14:paraId="5035DBD3" w14:textId="77777777" w:rsidR="004919A3" w:rsidRDefault="004919A3" w:rsidP="00A93BDB">
      <w:pPr>
        <w:rPr>
          <w:sz w:val="22"/>
          <w:szCs w:val="22"/>
        </w:rPr>
      </w:pPr>
    </w:p>
    <w:p w14:paraId="1446A352" w14:textId="5DB7B220" w:rsidR="004919A3" w:rsidRPr="00DF7A09" w:rsidRDefault="00DF7A09" w:rsidP="00A93BDB">
      <w:pPr>
        <w:rPr>
          <w:i/>
          <w:iCs/>
          <w:sz w:val="22"/>
          <w:szCs w:val="22"/>
        </w:rPr>
      </w:pPr>
      <w:r>
        <w:rPr>
          <w:sz w:val="22"/>
          <w:szCs w:val="22"/>
        </w:rPr>
        <w:tab/>
      </w:r>
      <w:r>
        <w:rPr>
          <w:sz w:val="22"/>
          <w:szCs w:val="22"/>
        </w:rPr>
        <w:tab/>
      </w:r>
      <w:r>
        <w:rPr>
          <w:i/>
          <w:iCs/>
          <w:sz w:val="22"/>
          <w:szCs w:val="22"/>
        </w:rPr>
        <w:t>Table 2: Descriptive Statistics</w:t>
      </w:r>
    </w:p>
    <w:p w14:paraId="58D3575F" w14:textId="3ECBC5BB" w:rsidR="004919A3" w:rsidRDefault="004919A3" w:rsidP="00A93BDB">
      <w:pPr>
        <w:rPr>
          <w:sz w:val="22"/>
          <w:szCs w:val="22"/>
        </w:rPr>
      </w:pPr>
    </w:p>
    <w:p w14:paraId="2A6D7831" w14:textId="750CC918" w:rsidR="004919A3" w:rsidRDefault="004919A3" w:rsidP="004919A3">
      <w:pPr>
        <w:ind w:firstLine="720"/>
        <w:rPr>
          <w:b/>
          <w:bCs/>
          <w:sz w:val="22"/>
          <w:szCs w:val="22"/>
        </w:rPr>
      </w:pPr>
      <w:r>
        <w:rPr>
          <w:b/>
          <w:bCs/>
          <w:sz w:val="22"/>
          <w:szCs w:val="22"/>
        </w:rPr>
        <w:t>3.2 Models:</w:t>
      </w:r>
    </w:p>
    <w:p w14:paraId="068B9190" w14:textId="77777777" w:rsidR="004919A3" w:rsidRPr="004919A3" w:rsidRDefault="004919A3" w:rsidP="00A93BDB">
      <w:pPr>
        <w:rPr>
          <w:b/>
          <w:bCs/>
          <w:sz w:val="22"/>
          <w:szCs w:val="22"/>
        </w:rPr>
      </w:pPr>
    </w:p>
    <w:p w14:paraId="6867D74B" w14:textId="6E3290FF" w:rsidR="00734635" w:rsidRDefault="00734635" w:rsidP="00A93BDB">
      <w:pPr>
        <w:rPr>
          <w:sz w:val="22"/>
          <w:szCs w:val="22"/>
        </w:rPr>
      </w:pPr>
      <w:r>
        <w:rPr>
          <w:b/>
          <w:bCs/>
          <w:sz w:val="22"/>
          <w:szCs w:val="22"/>
          <w:u w:val="single"/>
        </w:rPr>
        <w:t>Model 1:</w:t>
      </w:r>
      <w:r>
        <w:rPr>
          <w:sz w:val="22"/>
          <w:szCs w:val="22"/>
        </w:rPr>
        <w:t xml:space="preserve"> The first model is a multiple regression examining the impact of EVD at the macro level. </w:t>
      </w:r>
    </w:p>
    <w:p w14:paraId="24F16D24" w14:textId="5CF4C422" w:rsidR="00734635" w:rsidRDefault="00734635" w:rsidP="00A93BDB">
      <w:pPr>
        <w:rPr>
          <w:sz w:val="22"/>
          <w:szCs w:val="22"/>
        </w:rPr>
      </w:pPr>
    </w:p>
    <w:p w14:paraId="35154630" w14:textId="78F4BDD5" w:rsidR="00734635" w:rsidRPr="00734635" w:rsidRDefault="00734635" w:rsidP="00A93BDB">
      <w:pPr>
        <w:rPr>
          <w:sz w:val="22"/>
          <w:szCs w:val="22"/>
        </w:rPr>
      </w:pPr>
      <w:proofErr w:type="spellStart"/>
      <w:r>
        <w:rPr>
          <w:sz w:val="22"/>
          <w:szCs w:val="22"/>
        </w:rPr>
        <w:t>gini</w:t>
      </w:r>
      <w:proofErr w:type="spellEnd"/>
      <w:r>
        <w:rPr>
          <w:sz w:val="22"/>
          <w:szCs w:val="22"/>
        </w:rPr>
        <w:t xml:space="preserve"> = b0 + b1</w:t>
      </w:r>
      <w:r>
        <w:rPr>
          <w:i/>
          <w:iCs/>
          <w:sz w:val="22"/>
          <w:szCs w:val="22"/>
        </w:rPr>
        <w:t>epi</w:t>
      </w:r>
      <w:r>
        <w:rPr>
          <w:sz w:val="22"/>
          <w:szCs w:val="22"/>
        </w:rPr>
        <w:t xml:space="preserve"> + b2</w:t>
      </w:r>
      <w:r>
        <w:rPr>
          <w:i/>
          <w:iCs/>
          <w:sz w:val="22"/>
          <w:szCs w:val="22"/>
        </w:rPr>
        <w:t>gdp</w:t>
      </w:r>
      <w:r>
        <w:rPr>
          <w:sz w:val="22"/>
          <w:szCs w:val="22"/>
        </w:rPr>
        <w:t xml:space="preserve"> + b3</w:t>
      </w:r>
      <w:r>
        <w:rPr>
          <w:i/>
          <w:iCs/>
          <w:sz w:val="22"/>
          <w:szCs w:val="22"/>
        </w:rPr>
        <w:t>govSpend</w:t>
      </w:r>
      <w:r>
        <w:rPr>
          <w:sz w:val="22"/>
          <w:szCs w:val="22"/>
        </w:rPr>
        <w:t xml:space="preserve"> + b4</w:t>
      </w:r>
      <w:r>
        <w:rPr>
          <w:i/>
          <w:iCs/>
          <w:sz w:val="22"/>
          <w:szCs w:val="22"/>
        </w:rPr>
        <w:t>popDen</w:t>
      </w:r>
      <w:r>
        <w:rPr>
          <w:sz w:val="22"/>
          <w:szCs w:val="22"/>
        </w:rPr>
        <w:t xml:space="preserve"> + b5</w:t>
      </w:r>
      <w:r>
        <w:rPr>
          <w:i/>
          <w:iCs/>
          <w:sz w:val="22"/>
          <w:szCs w:val="22"/>
        </w:rPr>
        <w:t>urbPop</w:t>
      </w:r>
      <w:r>
        <w:rPr>
          <w:sz w:val="22"/>
          <w:szCs w:val="22"/>
        </w:rPr>
        <w:t xml:space="preserve"> + b6</w:t>
      </w:r>
      <w:r>
        <w:rPr>
          <w:i/>
          <w:iCs/>
          <w:sz w:val="22"/>
          <w:szCs w:val="22"/>
        </w:rPr>
        <w:t xml:space="preserve">unemploy </w:t>
      </w:r>
      <w:r>
        <w:rPr>
          <w:sz w:val="22"/>
          <w:szCs w:val="22"/>
        </w:rPr>
        <w:t>+ b7</w:t>
      </w:r>
      <w:r>
        <w:rPr>
          <w:i/>
          <w:iCs/>
          <w:sz w:val="22"/>
          <w:szCs w:val="22"/>
        </w:rPr>
        <w:t xml:space="preserve">fdi </w:t>
      </w:r>
      <w:r>
        <w:rPr>
          <w:sz w:val="22"/>
          <w:szCs w:val="22"/>
        </w:rPr>
        <w:t>+ b8</w:t>
      </w:r>
      <w:r>
        <w:rPr>
          <w:i/>
          <w:iCs/>
          <w:sz w:val="22"/>
          <w:szCs w:val="22"/>
        </w:rPr>
        <w:t>conflict</w:t>
      </w:r>
    </w:p>
    <w:p w14:paraId="4CFE3421" w14:textId="4F22B153" w:rsidR="00E43BE3" w:rsidRDefault="00E43BE3" w:rsidP="00A93BDB">
      <w:pPr>
        <w:rPr>
          <w:sz w:val="22"/>
          <w:szCs w:val="22"/>
        </w:rPr>
      </w:pPr>
    </w:p>
    <w:p w14:paraId="78224BC3" w14:textId="66234876" w:rsidR="00E4282C" w:rsidRDefault="00AF34E2" w:rsidP="00E4282C">
      <w:pPr>
        <w:rPr>
          <w:sz w:val="22"/>
          <w:szCs w:val="22"/>
        </w:rPr>
      </w:pPr>
      <w:r>
        <w:rPr>
          <w:b/>
          <w:bCs/>
          <w:sz w:val="22"/>
          <w:szCs w:val="22"/>
          <w:u w:val="single"/>
        </w:rPr>
        <w:t>Model 2:</w:t>
      </w:r>
      <w:r>
        <w:rPr>
          <w:b/>
          <w:bCs/>
          <w:sz w:val="22"/>
          <w:szCs w:val="22"/>
        </w:rPr>
        <w:t xml:space="preserve"> </w:t>
      </w:r>
      <w:r>
        <w:rPr>
          <w:sz w:val="22"/>
          <w:szCs w:val="22"/>
        </w:rPr>
        <w:t xml:space="preserve">The second model </w:t>
      </w:r>
      <w:r w:rsidR="00CA496B">
        <w:rPr>
          <w:sz w:val="22"/>
          <w:szCs w:val="22"/>
        </w:rPr>
        <w:t xml:space="preserve">is </w:t>
      </w:r>
      <w:r w:rsidR="000B4CB7">
        <w:rPr>
          <w:sz w:val="22"/>
          <w:szCs w:val="22"/>
        </w:rPr>
        <w:t>the same</w:t>
      </w:r>
      <w:r w:rsidR="00CA496B">
        <w:rPr>
          <w:sz w:val="22"/>
          <w:szCs w:val="22"/>
        </w:rPr>
        <w:t xml:space="preserve"> multiple regression, but the independent variable is the Palma Ratio, a different measure of inequality. The Palma ratio is the ratio between the top 10% and the poorest 40%. </w:t>
      </w:r>
    </w:p>
    <w:p w14:paraId="5C8E520D" w14:textId="5AEEAF83" w:rsidR="00CA496B" w:rsidRDefault="00CA496B" w:rsidP="00E4282C">
      <w:pPr>
        <w:rPr>
          <w:sz w:val="22"/>
          <w:szCs w:val="22"/>
        </w:rPr>
      </w:pPr>
    </w:p>
    <w:p w14:paraId="11D018EC" w14:textId="5145F8B2" w:rsidR="00CA496B" w:rsidRPr="00CA496B" w:rsidRDefault="00CA496B" w:rsidP="00E4282C">
      <w:pPr>
        <w:rPr>
          <w:sz w:val="22"/>
          <w:szCs w:val="22"/>
        </w:rPr>
      </w:pPr>
      <w:r>
        <w:rPr>
          <w:sz w:val="22"/>
          <w:szCs w:val="22"/>
        </w:rPr>
        <w:t xml:space="preserve">Palma Ratio =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Income Share of Top 10%</m:t>
                </m:r>
              </m:num>
              <m:den>
                <m:r>
                  <w:rPr>
                    <w:rFonts w:ascii="Cambria Math" w:hAnsi="Cambria Math"/>
                    <w:sz w:val="22"/>
                    <w:szCs w:val="22"/>
                  </w:rPr>
                  <m:t>Income Share of Bottom 40%</m:t>
                </m:r>
              </m:den>
            </m:f>
          </m:e>
        </m:d>
      </m:oMath>
    </w:p>
    <w:p w14:paraId="2BFF2290" w14:textId="75DDBC9C" w:rsidR="00813804" w:rsidRDefault="00813804" w:rsidP="00AF34E2">
      <w:pPr>
        <w:rPr>
          <w:sz w:val="22"/>
          <w:szCs w:val="22"/>
        </w:rPr>
      </w:pPr>
    </w:p>
    <w:p w14:paraId="77A406AA" w14:textId="4015E2F7" w:rsidR="00CA496B" w:rsidRPr="00734635" w:rsidRDefault="00CA496B" w:rsidP="00CA496B">
      <w:pPr>
        <w:rPr>
          <w:sz w:val="22"/>
          <w:szCs w:val="22"/>
        </w:rPr>
      </w:pPr>
      <w:proofErr w:type="spellStart"/>
      <w:r>
        <w:rPr>
          <w:sz w:val="22"/>
          <w:szCs w:val="22"/>
        </w:rPr>
        <w:t>palma</w:t>
      </w:r>
      <w:proofErr w:type="spellEnd"/>
      <w:r>
        <w:rPr>
          <w:sz w:val="22"/>
          <w:szCs w:val="22"/>
        </w:rPr>
        <w:t xml:space="preserve"> = b0 + b1</w:t>
      </w:r>
      <w:r>
        <w:rPr>
          <w:i/>
          <w:iCs/>
          <w:sz w:val="22"/>
          <w:szCs w:val="22"/>
        </w:rPr>
        <w:t>epi</w:t>
      </w:r>
      <w:r>
        <w:rPr>
          <w:sz w:val="22"/>
          <w:szCs w:val="22"/>
        </w:rPr>
        <w:t xml:space="preserve"> + b2</w:t>
      </w:r>
      <w:r>
        <w:rPr>
          <w:i/>
          <w:iCs/>
          <w:sz w:val="22"/>
          <w:szCs w:val="22"/>
        </w:rPr>
        <w:t>gdp</w:t>
      </w:r>
      <w:r>
        <w:rPr>
          <w:sz w:val="22"/>
          <w:szCs w:val="22"/>
        </w:rPr>
        <w:t xml:space="preserve"> + b3</w:t>
      </w:r>
      <w:r>
        <w:rPr>
          <w:i/>
          <w:iCs/>
          <w:sz w:val="22"/>
          <w:szCs w:val="22"/>
        </w:rPr>
        <w:t>govSpend</w:t>
      </w:r>
      <w:r>
        <w:rPr>
          <w:sz w:val="22"/>
          <w:szCs w:val="22"/>
        </w:rPr>
        <w:t xml:space="preserve"> + b4</w:t>
      </w:r>
      <w:r>
        <w:rPr>
          <w:i/>
          <w:iCs/>
          <w:sz w:val="22"/>
          <w:szCs w:val="22"/>
        </w:rPr>
        <w:t>popDen</w:t>
      </w:r>
      <w:r>
        <w:rPr>
          <w:sz w:val="22"/>
          <w:szCs w:val="22"/>
        </w:rPr>
        <w:t xml:space="preserve"> + b5</w:t>
      </w:r>
      <w:r>
        <w:rPr>
          <w:i/>
          <w:iCs/>
          <w:sz w:val="22"/>
          <w:szCs w:val="22"/>
        </w:rPr>
        <w:t>urbPop</w:t>
      </w:r>
      <w:r>
        <w:rPr>
          <w:sz w:val="22"/>
          <w:szCs w:val="22"/>
        </w:rPr>
        <w:t xml:space="preserve"> + b6</w:t>
      </w:r>
      <w:r>
        <w:rPr>
          <w:i/>
          <w:iCs/>
          <w:sz w:val="22"/>
          <w:szCs w:val="22"/>
        </w:rPr>
        <w:t xml:space="preserve">unemploy </w:t>
      </w:r>
      <w:r>
        <w:rPr>
          <w:sz w:val="22"/>
          <w:szCs w:val="22"/>
        </w:rPr>
        <w:t>+ b7</w:t>
      </w:r>
      <w:r>
        <w:rPr>
          <w:i/>
          <w:iCs/>
          <w:sz w:val="22"/>
          <w:szCs w:val="22"/>
        </w:rPr>
        <w:t xml:space="preserve">fdi </w:t>
      </w:r>
      <w:r>
        <w:rPr>
          <w:sz w:val="22"/>
          <w:szCs w:val="22"/>
        </w:rPr>
        <w:t>+ b8</w:t>
      </w:r>
      <w:r>
        <w:rPr>
          <w:i/>
          <w:iCs/>
          <w:sz w:val="22"/>
          <w:szCs w:val="22"/>
        </w:rPr>
        <w:t>conflict</w:t>
      </w:r>
    </w:p>
    <w:p w14:paraId="5699A5C1" w14:textId="5F78CB55" w:rsidR="00813804" w:rsidRDefault="00813804" w:rsidP="00CA496B">
      <w:pPr>
        <w:rPr>
          <w:sz w:val="22"/>
          <w:szCs w:val="22"/>
        </w:rPr>
      </w:pPr>
    </w:p>
    <w:p w14:paraId="381D5D23" w14:textId="3B2F1C37" w:rsidR="00813804" w:rsidRDefault="00CA496B" w:rsidP="00CA496B">
      <w:pPr>
        <w:rPr>
          <w:sz w:val="22"/>
          <w:szCs w:val="22"/>
        </w:rPr>
      </w:pPr>
      <w:r>
        <w:rPr>
          <w:b/>
          <w:bCs/>
          <w:sz w:val="22"/>
          <w:szCs w:val="22"/>
          <w:u w:val="single"/>
        </w:rPr>
        <w:lastRenderedPageBreak/>
        <w:t>Model 3:</w:t>
      </w:r>
      <w:r>
        <w:rPr>
          <w:b/>
          <w:bCs/>
          <w:sz w:val="22"/>
          <w:szCs w:val="22"/>
        </w:rPr>
        <w:t xml:space="preserve"> </w:t>
      </w:r>
      <w:r>
        <w:rPr>
          <w:sz w:val="22"/>
          <w:szCs w:val="22"/>
        </w:rPr>
        <w:t xml:space="preserve">The third model is </w:t>
      </w:r>
      <w:r w:rsidR="0051387C">
        <w:rPr>
          <w:sz w:val="22"/>
          <w:szCs w:val="22"/>
        </w:rPr>
        <w:t xml:space="preserve">a multiple regression which </w:t>
      </w:r>
      <w:r w:rsidR="00036276">
        <w:rPr>
          <w:sz w:val="22"/>
          <w:szCs w:val="22"/>
        </w:rPr>
        <w:t>examines</w:t>
      </w:r>
      <w:r w:rsidR="0051387C">
        <w:rPr>
          <w:sz w:val="22"/>
          <w:szCs w:val="22"/>
        </w:rPr>
        <w:t xml:space="preserve"> the relationship between the paper’s most direct mechanism on income inequality, the foreign direct investment.</w:t>
      </w:r>
      <w:r w:rsidR="00700A7A">
        <w:rPr>
          <w:sz w:val="22"/>
          <w:szCs w:val="22"/>
        </w:rPr>
        <w:t xml:space="preserve"> This is somewhat meant to be a sanity check. </w:t>
      </w:r>
    </w:p>
    <w:p w14:paraId="146F49B6" w14:textId="0C6B7D06" w:rsidR="00CA496B" w:rsidRDefault="00CA496B" w:rsidP="00CA496B">
      <w:pPr>
        <w:rPr>
          <w:sz w:val="22"/>
          <w:szCs w:val="22"/>
        </w:rPr>
      </w:pPr>
    </w:p>
    <w:p w14:paraId="12A8019C" w14:textId="1B9EF964" w:rsidR="00CA496B" w:rsidRPr="0051387C" w:rsidRDefault="0051387C" w:rsidP="00CA496B">
      <w:pPr>
        <w:rPr>
          <w:sz w:val="22"/>
          <w:szCs w:val="22"/>
        </w:rPr>
      </w:pPr>
      <w:proofErr w:type="spellStart"/>
      <w:r>
        <w:rPr>
          <w:sz w:val="22"/>
          <w:szCs w:val="22"/>
        </w:rPr>
        <w:t>fdi</w:t>
      </w:r>
      <w:proofErr w:type="spellEnd"/>
      <w:r>
        <w:rPr>
          <w:sz w:val="22"/>
          <w:szCs w:val="22"/>
        </w:rPr>
        <w:t xml:space="preserve"> = b0 + b1</w:t>
      </w:r>
      <w:r>
        <w:rPr>
          <w:i/>
          <w:iCs/>
          <w:sz w:val="22"/>
          <w:szCs w:val="22"/>
        </w:rPr>
        <w:t>epi</w:t>
      </w:r>
      <w:r>
        <w:rPr>
          <w:sz w:val="22"/>
          <w:szCs w:val="22"/>
        </w:rPr>
        <w:t xml:space="preserve"> + b2</w:t>
      </w:r>
      <w:r>
        <w:rPr>
          <w:i/>
          <w:iCs/>
          <w:sz w:val="22"/>
          <w:szCs w:val="22"/>
        </w:rPr>
        <w:t>gdp</w:t>
      </w:r>
      <w:r>
        <w:rPr>
          <w:sz w:val="22"/>
          <w:szCs w:val="22"/>
        </w:rPr>
        <w:t xml:space="preserve"> + b3</w:t>
      </w:r>
      <w:r>
        <w:rPr>
          <w:i/>
          <w:iCs/>
          <w:sz w:val="22"/>
          <w:szCs w:val="22"/>
        </w:rPr>
        <w:t>govSpend</w:t>
      </w:r>
      <w:r>
        <w:rPr>
          <w:sz w:val="22"/>
          <w:szCs w:val="22"/>
        </w:rPr>
        <w:t xml:space="preserve"> + b4</w:t>
      </w:r>
      <w:r>
        <w:rPr>
          <w:i/>
          <w:iCs/>
          <w:sz w:val="22"/>
          <w:szCs w:val="22"/>
        </w:rPr>
        <w:t>popDen</w:t>
      </w:r>
      <w:r>
        <w:rPr>
          <w:sz w:val="22"/>
          <w:szCs w:val="22"/>
        </w:rPr>
        <w:t xml:space="preserve"> + b5</w:t>
      </w:r>
      <w:r>
        <w:rPr>
          <w:i/>
          <w:iCs/>
          <w:sz w:val="22"/>
          <w:szCs w:val="22"/>
        </w:rPr>
        <w:t>urbPop</w:t>
      </w:r>
      <w:r>
        <w:rPr>
          <w:sz w:val="22"/>
          <w:szCs w:val="22"/>
        </w:rPr>
        <w:t xml:space="preserve"> + b6</w:t>
      </w:r>
      <w:r>
        <w:rPr>
          <w:i/>
          <w:iCs/>
          <w:sz w:val="22"/>
          <w:szCs w:val="22"/>
        </w:rPr>
        <w:t xml:space="preserve">unemploy </w:t>
      </w:r>
      <w:r>
        <w:rPr>
          <w:sz w:val="22"/>
          <w:szCs w:val="22"/>
        </w:rPr>
        <w:t>+ b7</w:t>
      </w:r>
      <w:r>
        <w:rPr>
          <w:i/>
          <w:iCs/>
          <w:sz w:val="22"/>
          <w:szCs w:val="22"/>
        </w:rPr>
        <w:t xml:space="preserve">palma </w:t>
      </w:r>
      <w:r>
        <w:rPr>
          <w:sz w:val="22"/>
          <w:szCs w:val="22"/>
        </w:rPr>
        <w:t>+ b8</w:t>
      </w:r>
      <w:r>
        <w:rPr>
          <w:i/>
          <w:iCs/>
          <w:sz w:val="22"/>
          <w:szCs w:val="22"/>
        </w:rPr>
        <w:t>conflict</w:t>
      </w:r>
    </w:p>
    <w:p w14:paraId="4132E050" w14:textId="77777777" w:rsidR="00CA496B" w:rsidRDefault="00CA496B" w:rsidP="00CA496B">
      <w:pPr>
        <w:rPr>
          <w:b/>
          <w:bCs/>
          <w:sz w:val="28"/>
          <w:szCs w:val="28"/>
        </w:rPr>
      </w:pPr>
    </w:p>
    <w:p w14:paraId="72B203F4" w14:textId="5B2F4916" w:rsidR="007250AB" w:rsidRPr="000B60DD" w:rsidRDefault="007250AB" w:rsidP="000B60DD">
      <w:pPr>
        <w:pStyle w:val="ListParagraph"/>
        <w:numPr>
          <w:ilvl w:val="0"/>
          <w:numId w:val="3"/>
        </w:numPr>
        <w:rPr>
          <w:b/>
          <w:bCs/>
          <w:sz w:val="28"/>
          <w:szCs w:val="28"/>
        </w:rPr>
      </w:pPr>
      <w:r w:rsidRPr="000B60DD">
        <w:rPr>
          <w:b/>
          <w:bCs/>
          <w:sz w:val="28"/>
          <w:szCs w:val="28"/>
        </w:rPr>
        <w:t>Results:</w:t>
      </w:r>
    </w:p>
    <w:p w14:paraId="05B9528C" w14:textId="77777777" w:rsidR="00AA4071" w:rsidRDefault="00AA4071" w:rsidP="007250AB">
      <w:pPr>
        <w:rPr>
          <w:b/>
          <w:bCs/>
          <w:sz w:val="28"/>
          <w:szCs w:val="28"/>
        </w:rPr>
      </w:pPr>
    </w:p>
    <w:p w14:paraId="3784EE8A" w14:textId="115F10EA" w:rsidR="00AA4071" w:rsidRPr="003108AD" w:rsidRDefault="003108AD" w:rsidP="003108AD">
      <w:pPr>
        <w:ind w:firstLine="360"/>
        <w:rPr>
          <w:b/>
          <w:bCs/>
          <w:sz w:val="28"/>
          <w:szCs w:val="28"/>
        </w:rPr>
      </w:pPr>
      <w:r>
        <w:rPr>
          <w:b/>
          <w:bCs/>
          <w:sz w:val="22"/>
          <w:szCs w:val="22"/>
        </w:rPr>
        <w:t xml:space="preserve">4.1 </w:t>
      </w:r>
      <w:r w:rsidR="00AA4071" w:rsidRPr="003108AD">
        <w:rPr>
          <w:b/>
          <w:bCs/>
          <w:sz w:val="22"/>
          <w:szCs w:val="22"/>
        </w:rPr>
        <w:t>Model 1:</w:t>
      </w:r>
    </w:p>
    <w:p w14:paraId="3D652C4B" w14:textId="439F5734" w:rsidR="00AA4071" w:rsidRDefault="00AA4071" w:rsidP="007250AB">
      <w:pPr>
        <w:rPr>
          <w:b/>
          <w:bCs/>
          <w:sz w:val="28"/>
          <w:szCs w:val="28"/>
          <w:u w:val="single"/>
        </w:rPr>
      </w:pPr>
    </w:p>
    <w:p w14:paraId="52E133BE" w14:textId="77777777" w:rsidR="00465A30" w:rsidRPr="00AA4071" w:rsidRDefault="00465A30" w:rsidP="007250AB">
      <w:pPr>
        <w:rPr>
          <w:b/>
          <w:bCs/>
          <w:sz w:val="28"/>
          <w:szCs w:val="28"/>
          <w:u w:val="single"/>
        </w:rPr>
      </w:pPr>
    </w:p>
    <w:tbl>
      <w:tblPr>
        <w:tblW w:w="9437" w:type="dxa"/>
        <w:tblLook w:val="04A0" w:firstRow="1" w:lastRow="0" w:firstColumn="1" w:lastColumn="0" w:noHBand="0" w:noVBand="1"/>
      </w:tblPr>
      <w:tblGrid>
        <w:gridCol w:w="1709"/>
        <w:gridCol w:w="2313"/>
        <w:gridCol w:w="1945"/>
        <w:gridCol w:w="1735"/>
        <w:gridCol w:w="1735"/>
      </w:tblGrid>
      <w:tr w:rsidR="001C4551" w:rsidRPr="001C4551" w14:paraId="4E29870A"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4472C4" w:fill="4472C4"/>
            <w:noWrap/>
            <w:vAlign w:val="bottom"/>
            <w:hideMark/>
          </w:tcPr>
          <w:p w14:paraId="0E697A50" w14:textId="7EF0B321" w:rsidR="001C4551" w:rsidRPr="001C4551" w:rsidRDefault="001C4551" w:rsidP="001C4551">
            <w:pPr>
              <w:rPr>
                <w:rFonts w:ascii="Calibri" w:hAnsi="Calibri"/>
                <w:b/>
                <w:bCs/>
                <w:color w:val="FFFFFF"/>
              </w:rPr>
            </w:pPr>
          </w:p>
        </w:tc>
        <w:tc>
          <w:tcPr>
            <w:tcW w:w="2313" w:type="dxa"/>
            <w:tcBorders>
              <w:top w:val="single" w:sz="4" w:space="0" w:color="8EA9DB"/>
              <w:left w:val="nil"/>
              <w:bottom w:val="single" w:sz="4" w:space="0" w:color="8EA9DB"/>
              <w:right w:val="nil"/>
            </w:tcBorders>
            <w:shd w:val="clear" w:color="4472C4" w:fill="4472C4"/>
            <w:noWrap/>
            <w:vAlign w:val="bottom"/>
            <w:hideMark/>
          </w:tcPr>
          <w:p w14:paraId="7F861052" w14:textId="77777777" w:rsidR="001C4551" w:rsidRPr="001C4551" w:rsidRDefault="001C4551" w:rsidP="001C4551">
            <w:pPr>
              <w:rPr>
                <w:rFonts w:ascii="Calibri" w:hAnsi="Calibri"/>
                <w:b/>
                <w:bCs/>
                <w:color w:val="FFFFFF"/>
              </w:rPr>
            </w:pPr>
            <w:r w:rsidRPr="001C4551">
              <w:rPr>
                <w:rFonts w:ascii="Calibri" w:hAnsi="Calibri"/>
                <w:b/>
                <w:bCs/>
                <w:color w:val="FFFFFF"/>
              </w:rPr>
              <w:t>Estimate</w:t>
            </w:r>
          </w:p>
        </w:tc>
        <w:tc>
          <w:tcPr>
            <w:tcW w:w="1945" w:type="dxa"/>
            <w:tcBorders>
              <w:top w:val="single" w:sz="4" w:space="0" w:color="8EA9DB"/>
              <w:left w:val="nil"/>
              <w:bottom w:val="single" w:sz="4" w:space="0" w:color="8EA9DB"/>
              <w:right w:val="nil"/>
            </w:tcBorders>
            <w:shd w:val="clear" w:color="4472C4" w:fill="4472C4"/>
            <w:noWrap/>
            <w:vAlign w:val="bottom"/>
            <w:hideMark/>
          </w:tcPr>
          <w:p w14:paraId="552D2202" w14:textId="77777777" w:rsidR="001C4551" w:rsidRPr="001C4551" w:rsidRDefault="001C4551" w:rsidP="001C4551">
            <w:pPr>
              <w:rPr>
                <w:rFonts w:ascii="Calibri" w:hAnsi="Calibri"/>
                <w:b/>
                <w:bCs/>
                <w:color w:val="FFFFFF"/>
              </w:rPr>
            </w:pPr>
            <w:r w:rsidRPr="001C4551">
              <w:rPr>
                <w:rFonts w:ascii="Calibri" w:hAnsi="Calibri"/>
                <w:b/>
                <w:bCs/>
                <w:color w:val="FFFFFF"/>
              </w:rPr>
              <w:t>Std. Error t</w:t>
            </w:r>
          </w:p>
        </w:tc>
        <w:tc>
          <w:tcPr>
            <w:tcW w:w="1735" w:type="dxa"/>
            <w:tcBorders>
              <w:top w:val="single" w:sz="4" w:space="0" w:color="8EA9DB"/>
              <w:left w:val="nil"/>
              <w:bottom w:val="single" w:sz="4" w:space="0" w:color="8EA9DB"/>
              <w:right w:val="nil"/>
            </w:tcBorders>
            <w:shd w:val="clear" w:color="4472C4" w:fill="4472C4"/>
            <w:noWrap/>
            <w:vAlign w:val="bottom"/>
            <w:hideMark/>
          </w:tcPr>
          <w:p w14:paraId="3F7E8942" w14:textId="77777777" w:rsidR="001C4551" w:rsidRPr="001C4551" w:rsidRDefault="001C4551" w:rsidP="001C4551">
            <w:pPr>
              <w:rPr>
                <w:rFonts w:ascii="Calibri" w:hAnsi="Calibri"/>
                <w:b/>
                <w:bCs/>
                <w:color w:val="FFFFFF"/>
              </w:rPr>
            </w:pPr>
            <w:r w:rsidRPr="001C4551">
              <w:rPr>
                <w:rFonts w:ascii="Calibri" w:hAnsi="Calibri"/>
                <w:b/>
                <w:bCs/>
                <w:color w:val="FFFFFF"/>
              </w:rPr>
              <w:t>value</w:t>
            </w:r>
          </w:p>
        </w:tc>
        <w:tc>
          <w:tcPr>
            <w:tcW w:w="1735" w:type="dxa"/>
            <w:tcBorders>
              <w:top w:val="single" w:sz="4" w:space="0" w:color="8EA9DB"/>
              <w:left w:val="nil"/>
              <w:bottom w:val="single" w:sz="4" w:space="0" w:color="8EA9DB"/>
              <w:right w:val="single" w:sz="4" w:space="0" w:color="8EA9DB"/>
            </w:tcBorders>
            <w:shd w:val="clear" w:color="4472C4" w:fill="4472C4"/>
            <w:noWrap/>
            <w:vAlign w:val="bottom"/>
            <w:hideMark/>
          </w:tcPr>
          <w:p w14:paraId="74647D58" w14:textId="77777777" w:rsidR="001C4551" w:rsidRPr="001C4551" w:rsidRDefault="001C4551" w:rsidP="001C4551">
            <w:pPr>
              <w:rPr>
                <w:rFonts w:ascii="Calibri" w:hAnsi="Calibri"/>
                <w:b/>
                <w:bCs/>
                <w:color w:val="FFFFFF"/>
              </w:rPr>
            </w:pPr>
            <w:proofErr w:type="spellStart"/>
            <w:r w:rsidRPr="001C4551">
              <w:rPr>
                <w:rFonts w:ascii="Calibri" w:hAnsi="Calibri"/>
                <w:b/>
                <w:bCs/>
                <w:color w:val="FFFFFF"/>
              </w:rPr>
              <w:t>Pr</w:t>
            </w:r>
            <w:proofErr w:type="spellEnd"/>
            <w:r w:rsidRPr="001C4551">
              <w:rPr>
                <w:rFonts w:ascii="Calibri" w:hAnsi="Calibri"/>
                <w:b/>
                <w:bCs/>
                <w:color w:val="FFFFFF"/>
              </w:rPr>
              <w:t>(&gt;|t|)</w:t>
            </w:r>
          </w:p>
        </w:tc>
      </w:tr>
      <w:tr w:rsidR="001C4551" w:rsidRPr="001C4551" w14:paraId="2D011AD0"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D9E1F2" w:fill="D9E1F2"/>
            <w:noWrap/>
            <w:vAlign w:val="bottom"/>
            <w:hideMark/>
          </w:tcPr>
          <w:p w14:paraId="2A2E5E08" w14:textId="77777777" w:rsidR="001C4551" w:rsidRPr="001C4551" w:rsidRDefault="001C4551" w:rsidP="001C4551">
            <w:pPr>
              <w:rPr>
                <w:rFonts w:ascii="Calibri" w:hAnsi="Calibri"/>
                <w:color w:val="000000"/>
              </w:rPr>
            </w:pPr>
            <w:r w:rsidRPr="001C4551">
              <w:rPr>
                <w:rFonts w:ascii="Calibri" w:hAnsi="Calibri"/>
                <w:color w:val="000000"/>
              </w:rPr>
              <w:t>(Intercept)</w:t>
            </w:r>
          </w:p>
        </w:tc>
        <w:tc>
          <w:tcPr>
            <w:tcW w:w="2313" w:type="dxa"/>
            <w:tcBorders>
              <w:top w:val="single" w:sz="4" w:space="0" w:color="8EA9DB"/>
              <w:left w:val="nil"/>
              <w:bottom w:val="single" w:sz="4" w:space="0" w:color="8EA9DB"/>
              <w:right w:val="nil"/>
            </w:tcBorders>
            <w:shd w:val="clear" w:color="D9E1F2" w:fill="D9E1F2"/>
            <w:noWrap/>
            <w:vAlign w:val="bottom"/>
            <w:hideMark/>
          </w:tcPr>
          <w:p w14:paraId="4FDA12C0" w14:textId="77777777" w:rsidR="001C4551" w:rsidRPr="001C4551" w:rsidRDefault="001C4551" w:rsidP="001C4551">
            <w:pPr>
              <w:jc w:val="right"/>
              <w:rPr>
                <w:rFonts w:ascii="Calibri" w:hAnsi="Calibri"/>
                <w:color w:val="000000"/>
              </w:rPr>
            </w:pPr>
            <w:r w:rsidRPr="001C4551">
              <w:rPr>
                <w:rFonts w:ascii="Calibri" w:hAnsi="Calibri"/>
                <w:color w:val="000000"/>
              </w:rPr>
              <w:t>11.02</w:t>
            </w:r>
          </w:p>
        </w:tc>
        <w:tc>
          <w:tcPr>
            <w:tcW w:w="1945" w:type="dxa"/>
            <w:tcBorders>
              <w:top w:val="single" w:sz="4" w:space="0" w:color="8EA9DB"/>
              <w:left w:val="nil"/>
              <w:bottom w:val="single" w:sz="4" w:space="0" w:color="8EA9DB"/>
              <w:right w:val="nil"/>
            </w:tcBorders>
            <w:shd w:val="clear" w:color="D9E1F2" w:fill="D9E1F2"/>
            <w:noWrap/>
            <w:vAlign w:val="bottom"/>
            <w:hideMark/>
          </w:tcPr>
          <w:p w14:paraId="7C0E3247" w14:textId="77777777" w:rsidR="001C4551" w:rsidRPr="001C4551" w:rsidRDefault="001C4551" w:rsidP="001C4551">
            <w:pPr>
              <w:jc w:val="right"/>
              <w:rPr>
                <w:rFonts w:ascii="Calibri" w:hAnsi="Calibri"/>
                <w:color w:val="000000"/>
              </w:rPr>
            </w:pPr>
            <w:r w:rsidRPr="001C4551">
              <w:rPr>
                <w:rFonts w:ascii="Calibri" w:hAnsi="Calibri"/>
                <w:color w:val="000000"/>
              </w:rPr>
              <w:t>0.96</w:t>
            </w:r>
          </w:p>
        </w:tc>
        <w:tc>
          <w:tcPr>
            <w:tcW w:w="1735" w:type="dxa"/>
            <w:tcBorders>
              <w:top w:val="single" w:sz="4" w:space="0" w:color="8EA9DB"/>
              <w:left w:val="nil"/>
              <w:bottom w:val="single" w:sz="4" w:space="0" w:color="8EA9DB"/>
              <w:right w:val="nil"/>
            </w:tcBorders>
            <w:shd w:val="clear" w:color="D9E1F2" w:fill="D9E1F2"/>
            <w:noWrap/>
            <w:vAlign w:val="bottom"/>
            <w:hideMark/>
          </w:tcPr>
          <w:p w14:paraId="47ABC886" w14:textId="77777777" w:rsidR="001C4551" w:rsidRPr="001C4551" w:rsidRDefault="001C4551" w:rsidP="001C4551">
            <w:pPr>
              <w:jc w:val="right"/>
              <w:rPr>
                <w:rFonts w:ascii="Calibri" w:hAnsi="Calibri"/>
                <w:color w:val="000000"/>
              </w:rPr>
            </w:pPr>
            <w:r w:rsidRPr="001C4551">
              <w:rPr>
                <w:rFonts w:ascii="Calibri" w:hAnsi="Calibri"/>
                <w:color w:val="000000"/>
              </w:rPr>
              <w:t>11.48</w:t>
            </w:r>
          </w:p>
        </w:tc>
        <w:tc>
          <w:tcPr>
            <w:tcW w:w="1735" w:type="dxa"/>
            <w:tcBorders>
              <w:top w:val="single" w:sz="4" w:space="0" w:color="8EA9DB"/>
              <w:left w:val="nil"/>
              <w:bottom w:val="single" w:sz="4" w:space="0" w:color="8EA9DB"/>
              <w:right w:val="single" w:sz="4" w:space="0" w:color="8EA9DB"/>
            </w:tcBorders>
            <w:shd w:val="clear" w:color="D9E1F2" w:fill="D9E1F2"/>
            <w:noWrap/>
            <w:vAlign w:val="bottom"/>
            <w:hideMark/>
          </w:tcPr>
          <w:p w14:paraId="2438AAE7" w14:textId="77777777" w:rsidR="001C4551" w:rsidRPr="001C4551" w:rsidRDefault="001C4551" w:rsidP="001C4551">
            <w:pPr>
              <w:rPr>
                <w:rFonts w:ascii="Calibri" w:hAnsi="Calibri"/>
                <w:color w:val="000000"/>
              </w:rPr>
            </w:pPr>
            <w:r w:rsidRPr="001C4551">
              <w:rPr>
                <w:rFonts w:ascii="Calibri" w:hAnsi="Calibri"/>
                <w:color w:val="000000"/>
              </w:rPr>
              <w:t>&lt; 2e-16</w:t>
            </w:r>
          </w:p>
        </w:tc>
      </w:tr>
      <w:tr w:rsidR="001C4551" w:rsidRPr="001C4551" w14:paraId="192F4C7A"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auto" w:fill="auto"/>
            <w:noWrap/>
            <w:vAlign w:val="bottom"/>
            <w:hideMark/>
          </w:tcPr>
          <w:p w14:paraId="1E6E6E90" w14:textId="77777777" w:rsidR="001C4551" w:rsidRPr="001C4551" w:rsidRDefault="001C4551" w:rsidP="001C4551">
            <w:pPr>
              <w:rPr>
                <w:rFonts w:ascii="Calibri" w:hAnsi="Calibri"/>
                <w:color w:val="000000"/>
              </w:rPr>
            </w:pPr>
            <w:r w:rsidRPr="001C4551">
              <w:rPr>
                <w:rFonts w:ascii="Calibri" w:hAnsi="Calibri"/>
                <w:color w:val="000000"/>
              </w:rPr>
              <w:t>epi</w:t>
            </w:r>
          </w:p>
        </w:tc>
        <w:tc>
          <w:tcPr>
            <w:tcW w:w="2313" w:type="dxa"/>
            <w:tcBorders>
              <w:top w:val="single" w:sz="4" w:space="0" w:color="8EA9DB"/>
              <w:left w:val="nil"/>
              <w:bottom w:val="single" w:sz="4" w:space="0" w:color="8EA9DB"/>
              <w:right w:val="nil"/>
            </w:tcBorders>
            <w:shd w:val="clear" w:color="auto" w:fill="auto"/>
            <w:noWrap/>
            <w:vAlign w:val="bottom"/>
            <w:hideMark/>
          </w:tcPr>
          <w:p w14:paraId="0D944B5B" w14:textId="77777777" w:rsidR="001C4551" w:rsidRPr="001C4551" w:rsidRDefault="001C4551" w:rsidP="001C4551">
            <w:pPr>
              <w:jc w:val="right"/>
              <w:rPr>
                <w:rFonts w:ascii="Calibri" w:hAnsi="Calibri"/>
                <w:color w:val="000000"/>
              </w:rPr>
            </w:pPr>
            <w:r w:rsidRPr="001C4551">
              <w:rPr>
                <w:rFonts w:ascii="Calibri" w:hAnsi="Calibri"/>
                <w:color w:val="000000"/>
              </w:rPr>
              <w:t>-0.33</w:t>
            </w:r>
          </w:p>
        </w:tc>
        <w:tc>
          <w:tcPr>
            <w:tcW w:w="1945" w:type="dxa"/>
            <w:tcBorders>
              <w:top w:val="single" w:sz="4" w:space="0" w:color="8EA9DB"/>
              <w:left w:val="nil"/>
              <w:bottom w:val="single" w:sz="4" w:space="0" w:color="8EA9DB"/>
              <w:right w:val="nil"/>
            </w:tcBorders>
            <w:shd w:val="clear" w:color="auto" w:fill="auto"/>
            <w:noWrap/>
            <w:vAlign w:val="bottom"/>
            <w:hideMark/>
          </w:tcPr>
          <w:p w14:paraId="0D1B88A6" w14:textId="77777777" w:rsidR="001C4551" w:rsidRPr="001C4551" w:rsidRDefault="001C4551" w:rsidP="001C4551">
            <w:pPr>
              <w:jc w:val="right"/>
              <w:rPr>
                <w:rFonts w:ascii="Calibri" w:hAnsi="Calibri"/>
                <w:color w:val="000000"/>
              </w:rPr>
            </w:pPr>
            <w:r w:rsidRPr="001C4551">
              <w:rPr>
                <w:rFonts w:ascii="Calibri" w:hAnsi="Calibri"/>
                <w:color w:val="000000"/>
              </w:rPr>
              <w:t>0.40</w:t>
            </w:r>
          </w:p>
        </w:tc>
        <w:tc>
          <w:tcPr>
            <w:tcW w:w="1735" w:type="dxa"/>
            <w:tcBorders>
              <w:top w:val="single" w:sz="4" w:space="0" w:color="8EA9DB"/>
              <w:left w:val="nil"/>
              <w:bottom w:val="single" w:sz="4" w:space="0" w:color="8EA9DB"/>
              <w:right w:val="nil"/>
            </w:tcBorders>
            <w:shd w:val="clear" w:color="auto" w:fill="auto"/>
            <w:noWrap/>
            <w:vAlign w:val="bottom"/>
            <w:hideMark/>
          </w:tcPr>
          <w:p w14:paraId="745610AF" w14:textId="77777777" w:rsidR="001C4551" w:rsidRPr="001C4551" w:rsidRDefault="001C4551" w:rsidP="001C4551">
            <w:pPr>
              <w:jc w:val="right"/>
              <w:rPr>
                <w:rFonts w:ascii="Calibri" w:hAnsi="Calibri"/>
                <w:color w:val="000000"/>
              </w:rPr>
            </w:pPr>
            <w:r w:rsidRPr="001C4551">
              <w:rPr>
                <w:rFonts w:ascii="Calibri" w:hAnsi="Calibri"/>
                <w:color w:val="000000"/>
              </w:rPr>
              <w:t>-0.82</w:t>
            </w:r>
          </w:p>
        </w:tc>
        <w:tc>
          <w:tcPr>
            <w:tcW w:w="1735" w:type="dxa"/>
            <w:tcBorders>
              <w:top w:val="single" w:sz="4" w:space="0" w:color="8EA9DB"/>
              <w:left w:val="nil"/>
              <w:bottom w:val="single" w:sz="4" w:space="0" w:color="8EA9DB"/>
              <w:right w:val="single" w:sz="4" w:space="0" w:color="8EA9DB"/>
            </w:tcBorders>
            <w:shd w:val="clear" w:color="auto" w:fill="auto"/>
            <w:noWrap/>
            <w:vAlign w:val="bottom"/>
            <w:hideMark/>
          </w:tcPr>
          <w:p w14:paraId="24CAF540" w14:textId="77777777" w:rsidR="001C4551" w:rsidRPr="001C4551" w:rsidRDefault="001C4551" w:rsidP="001C4551">
            <w:pPr>
              <w:jc w:val="right"/>
              <w:rPr>
                <w:rFonts w:ascii="Calibri" w:hAnsi="Calibri"/>
                <w:color w:val="000000"/>
              </w:rPr>
            </w:pPr>
            <w:r w:rsidRPr="001C4551">
              <w:rPr>
                <w:rFonts w:ascii="Calibri" w:hAnsi="Calibri"/>
                <w:color w:val="000000"/>
              </w:rPr>
              <w:t>0.42</w:t>
            </w:r>
          </w:p>
        </w:tc>
      </w:tr>
      <w:tr w:rsidR="001C4551" w:rsidRPr="001C4551" w14:paraId="49F6E2BC"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D9E1F2" w:fill="D9E1F2"/>
            <w:noWrap/>
            <w:vAlign w:val="bottom"/>
            <w:hideMark/>
          </w:tcPr>
          <w:p w14:paraId="4695AEF3" w14:textId="77777777" w:rsidR="001C4551" w:rsidRPr="001C4551" w:rsidRDefault="001C4551" w:rsidP="001C4551">
            <w:pPr>
              <w:rPr>
                <w:rFonts w:ascii="Calibri" w:hAnsi="Calibri"/>
                <w:color w:val="000000"/>
              </w:rPr>
            </w:pPr>
            <w:proofErr w:type="spellStart"/>
            <w:r w:rsidRPr="001C4551">
              <w:rPr>
                <w:rFonts w:ascii="Calibri" w:hAnsi="Calibri"/>
                <w:color w:val="000000"/>
              </w:rPr>
              <w:t>gdp</w:t>
            </w:r>
            <w:proofErr w:type="spellEnd"/>
          </w:p>
        </w:tc>
        <w:tc>
          <w:tcPr>
            <w:tcW w:w="2313" w:type="dxa"/>
            <w:tcBorders>
              <w:top w:val="single" w:sz="4" w:space="0" w:color="8EA9DB"/>
              <w:left w:val="nil"/>
              <w:bottom w:val="single" w:sz="4" w:space="0" w:color="8EA9DB"/>
              <w:right w:val="nil"/>
            </w:tcBorders>
            <w:shd w:val="clear" w:color="D9E1F2" w:fill="D9E1F2"/>
            <w:noWrap/>
            <w:vAlign w:val="bottom"/>
            <w:hideMark/>
          </w:tcPr>
          <w:p w14:paraId="776576D1"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c>
          <w:tcPr>
            <w:tcW w:w="1945" w:type="dxa"/>
            <w:tcBorders>
              <w:top w:val="single" w:sz="4" w:space="0" w:color="8EA9DB"/>
              <w:left w:val="nil"/>
              <w:bottom w:val="single" w:sz="4" w:space="0" w:color="8EA9DB"/>
              <w:right w:val="nil"/>
            </w:tcBorders>
            <w:shd w:val="clear" w:color="D9E1F2" w:fill="D9E1F2"/>
            <w:noWrap/>
            <w:vAlign w:val="bottom"/>
            <w:hideMark/>
          </w:tcPr>
          <w:p w14:paraId="0A8C2844"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c>
          <w:tcPr>
            <w:tcW w:w="1735" w:type="dxa"/>
            <w:tcBorders>
              <w:top w:val="single" w:sz="4" w:space="0" w:color="8EA9DB"/>
              <w:left w:val="nil"/>
              <w:bottom w:val="single" w:sz="4" w:space="0" w:color="8EA9DB"/>
              <w:right w:val="nil"/>
            </w:tcBorders>
            <w:shd w:val="clear" w:color="D9E1F2" w:fill="D9E1F2"/>
            <w:noWrap/>
            <w:vAlign w:val="bottom"/>
            <w:hideMark/>
          </w:tcPr>
          <w:p w14:paraId="3DF16164" w14:textId="77777777" w:rsidR="001C4551" w:rsidRPr="001C4551" w:rsidRDefault="001C4551" w:rsidP="001C4551">
            <w:pPr>
              <w:jc w:val="right"/>
              <w:rPr>
                <w:rFonts w:ascii="Calibri" w:hAnsi="Calibri"/>
                <w:color w:val="000000"/>
              </w:rPr>
            </w:pPr>
            <w:r w:rsidRPr="001C4551">
              <w:rPr>
                <w:rFonts w:ascii="Calibri" w:hAnsi="Calibri"/>
                <w:color w:val="000000"/>
              </w:rPr>
              <w:t>-3.71</w:t>
            </w:r>
          </w:p>
        </w:tc>
        <w:tc>
          <w:tcPr>
            <w:tcW w:w="1735" w:type="dxa"/>
            <w:tcBorders>
              <w:top w:val="single" w:sz="4" w:space="0" w:color="8EA9DB"/>
              <w:left w:val="nil"/>
              <w:bottom w:val="single" w:sz="4" w:space="0" w:color="8EA9DB"/>
              <w:right w:val="single" w:sz="4" w:space="0" w:color="8EA9DB"/>
            </w:tcBorders>
            <w:shd w:val="clear" w:color="D9E1F2" w:fill="D9E1F2"/>
            <w:noWrap/>
            <w:vAlign w:val="bottom"/>
            <w:hideMark/>
          </w:tcPr>
          <w:p w14:paraId="70320501"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r>
      <w:tr w:rsidR="001C4551" w:rsidRPr="001C4551" w14:paraId="584F5D1D"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auto" w:fill="auto"/>
            <w:noWrap/>
            <w:vAlign w:val="bottom"/>
            <w:hideMark/>
          </w:tcPr>
          <w:p w14:paraId="1F652B61" w14:textId="77777777" w:rsidR="001C4551" w:rsidRPr="001C4551" w:rsidRDefault="001C4551" w:rsidP="001C4551">
            <w:pPr>
              <w:rPr>
                <w:rFonts w:ascii="Calibri" w:hAnsi="Calibri"/>
                <w:color w:val="000000"/>
              </w:rPr>
            </w:pPr>
            <w:proofErr w:type="spellStart"/>
            <w:r w:rsidRPr="001C4551">
              <w:rPr>
                <w:rFonts w:ascii="Calibri" w:hAnsi="Calibri"/>
                <w:color w:val="000000"/>
              </w:rPr>
              <w:t>govSpend</w:t>
            </w:r>
            <w:proofErr w:type="spellEnd"/>
          </w:p>
        </w:tc>
        <w:tc>
          <w:tcPr>
            <w:tcW w:w="2313" w:type="dxa"/>
            <w:tcBorders>
              <w:top w:val="single" w:sz="4" w:space="0" w:color="8EA9DB"/>
              <w:left w:val="nil"/>
              <w:bottom w:val="single" w:sz="4" w:space="0" w:color="8EA9DB"/>
              <w:right w:val="nil"/>
            </w:tcBorders>
            <w:shd w:val="clear" w:color="auto" w:fill="auto"/>
            <w:noWrap/>
            <w:vAlign w:val="bottom"/>
            <w:hideMark/>
          </w:tcPr>
          <w:p w14:paraId="073DDCFE"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c>
          <w:tcPr>
            <w:tcW w:w="1945" w:type="dxa"/>
            <w:tcBorders>
              <w:top w:val="single" w:sz="4" w:space="0" w:color="8EA9DB"/>
              <w:left w:val="nil"/>
              <w:bottom w:val="single" w:sz="4" w:space="0" w:color="8EA9DB"/>
              <w:right w:val="nil"/>
            </w:tcBorders>
            <w:shd w:val="clear" w:color="auto" w:fill="auto"/>
            <w:noWrap/>
            <w:vAlign w:val="bottom"/>
            <w:hideMark/>
          </w:tcPr>
          <w:p w14:paraId="6B53AAF4"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c>
          <w:tcPr>
            <w:tcW w:w="1735" w:type="dxa"/>
            <w:tcBorders>
              <w:top w:val="single" w:sz="4" w:space="0" w:color="8EA9DB"/>
              <w:left w:val="nil"/>
              <w:bottom w:val="single" w:sz="4" w:space="0" w:color="8EA9DB"/>
              <w:right w:val="nil"/>
            </w:tcBorders>
            <w:shd w:val="clear" w:color="auto" w:fill="auto"/>
            <w:noWrap/>
            <w:vAlign w:val="bottom"/>
            <w:hideMark/>
          </w:tcPr>
          <w:p w14:paraId="03D232B4" w14:textId="77777777" w:rsidR="001C4551" w:rsidRPr="001C4551" w:rsidRDefault="001C4551" w:rsidP="001C4551">
            <w:pPr>
              <w:jc w:val="right"/>
              <w:rPr>
                <w:rFonts w:ascii="Calibri" w:hAnsi="Calibri"/>
                <w:color w:val="000000"/>
              </w:rPr>
            </w:pPr>
            <w:r w:rsidRPr="001C4551">
              <w:rPr>
                <w:rFonts w:ascii="Calibri" w:hAnsi="Calibri"/>
                <w:color w:val="000000"/>
              </w:rPr>
              <w:t>3.55</w:t>
            </w:r>
          </w:p>
        </w:tc>
        <w:tc>
          <w:tcPr>
            <w:tcW w:w="1735" w:type="dxa"/>
            <w:tcBorders>
              <w:top w:val="single" w:sz="4" w:space="0" w:color="8EA9DB"/>
              <w:left w:val="nil"/>
              <w:bottom w:val="single" w:sz="4" w:space="0" w:color="8EA9DB"/>
              <w:right w:val="single" w:sz="4" w:space="0" w:color="8EA9DB"/>
            </w:tcBorders>
            <w:shd w:val="clear" w:color="auto" w:fill="auto"/>
            <w:noWrap/>
            <w:vAlign w:val="bottom"/>
            <w:hideMark/>
          </w:tcPr>
          <w:p w14:paraId="31EFD1C6"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r>
      <w:tr w:rsidR="001C4551" w:rsidRPr="001C4551" w14:paraId="02C160DA"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D9E1F2" w:fill="D9E1F2"/>
            <w:noWrap/>
            <w:vAlign w:val="bottom"/>
            <w:hideMark/>
          </w:tcPr>
          <w:p w14:paraId="77B4069C" w14:textId="77777777" w:rsidR="001C4551" w:rsidRPr="001C4551" w:rsidRDefault="001C4551" w:rsidP="001C4551">
            <w:pPr>
              <w:rPr>
                <w:rFonts w:ascii="Calibri" w:hAnsi="Calibri"/>
                <w:color w:val="000000"/>
              </w:rPr>
            </w:pPr>
            <w:proofErr w:type="spellStart"/>
            <w:r w:rsidRPr="001C4551">
              <w:rPr>
                <w:rFonts w:ascii="Calibri" w:hAnsi="Calibri"/>
                <w:color w:val="000000"/>
              </w:rPr>
              <w:t>popDen</w:t>
            </w:r>
            <w:proofErr w:type="spellEnd"/>
          </w:p>
        </w:tc>
        <w:tc>
          <w:tcPr>
            <w:tcW w:w="2313" w:type="dxa"/>
            <w:tcBorders>
              <w:top w:val="single" w:sz="4" w:space="0" w:color="8EA9DB"/>
              <w:left w:val="nil"/>
              <w:bottom w:val="single" w:sz="4" w:space="0" w:color="8EA9DB"/>
              <w:right w:val="nil"/>
            </w:tcBorders>
            <w:shd w:val="clear" w:color="D9E1F2" w:fill="D9E1F2"/>
            <w:noWrap/>
            <w:vAlign w:val="bottom"/>
            <w:hideMark/>
          </w:tcPr>
          <w:p w14:paraId="506E9026" w14:textId="77777777" w:rsidR="001C4551" w:rsidRPr="001C4551" w:rsidRDefault="001C4551" w:rsidP="001C4551">
            <w:pPr>
              <w:jc w:val="right"/>
              <w:rPr>
                <w:rFonts w:ascii="Calibri" w:hAnsi="Calibri"/>
                <w:color w:val="000000"/>
              </w:rPr>
            </w:pPr>
            <w:r w:rsidRPr="001C4551">
              <w:rPr>
                <w:rFonts w:ascii="Calibri" w:hAnsi="Calibri"/>
                <w:color w:val="000000"/>
              </w:rPr>
              <w:t>0.01</w:t>
            </w:r>
          </w:p>
        </w:tc>
        <w:tc>
          <w:tcPr>
            <w:tcW w:w="1945" w:type="dxa"/>
            <w:tcBorders>
              <w:top w:val="single" w:sz="4" w:space="0" w:color="8EA9DB"/>
              <w:left w:val="nil"/>
              <w:bottom w:val="single" w:sz="4" w:space="0" w:color="8EA9DB"/>
              <w:right w:val="nil"/>
            </w:tcBorders>
            <w:shd w:val="clear" w:color="D9E1F2" w:fill="D9E1F2"/>
            <w:noWrap/>
            <w:vAlign w:val="bottom"/>
            <w:hideMark/>
          </w:tcPr>
          <w:p w14:paraId="3C9CD6D9" w14:textId="77777777" w:rsidR="001C4551" w:rsidRPr="001C4551" w:rsidRDefault="001C4551" w:rsidP="001C4551">
            <w:pPr>
              <w:jc w:val="right"/>
              <w:rPr>
                <w:rFonts w:ascii="Calibri" w:hAnsi="Calibri"/>
                <w:color w:val="000000"/>
              </w:rPr>
            </w:pPr>
            <w:r w:rsidRPr="001C4551">
              <w:rPr>
                <w:rFonts w:ascii="Calibri" w:hAnsi="Calibri"/>
                <w:color w:val="000000"/>
              </w:rPr>
              <w:t>0.01</w:t>
            </w:r>
          </w:p>
        </w:tc>
        <w:tc>
          <w:tcPr>
            <w:tcW w:w="1735" w:type="dxa"/>
            <w:tcBorders>
              <w:top w:val="single" w:sz="4" w:space="0" w:color="8EA9DB"/>
              <w:left w:val="nil"/>
              <w:bottom w:val="single" w:sz="4" w:space="0" w:color="8EA9DB"/>
              <w:right w:val="nil"/>
            </w:tcBorders>
            <w:shd w:val="clear" w:color="D9E1F2" w:fill="D9E1F2"/>
            <w:noWrap/>
            <w:vAlign w:val="bottom"/>
            <w:hideMark/>
          </w:tcPr>
          <w:p w14:paraId="67EB22E3" w14:textId="77777777" w:rsidR="001C4551" w:rsidRPr="001C4551" w:rsidRDefault="001C4551" w:rsidP="001C4551">
            <w:pPr>
              <w:jc w:val="right"/>
              <w:rPr>
                <w:rFonts w:ascii="Calibri" w:hAnsi="Calibri"/>
                <w:color w:val="000000"/>
              </w:rPr>
            </w:pPr>
            <w:r w:rsidRPr="001C4551">
              <w:rPr>
                <w:rFonts w:ascii="Calibri" w:hAnsi="Calibri"/>
                <w:color w:val="000000"/>
              </w:rPr>
              <w:t>0.78</w:t>
            </w:r>
          </w:p>
        </w:tc>
        <w:tc>
          <w:tcPr>
            <w:tcW w:w="1735" w:type="dxa"/>
            <w:tcBorders>
              <w:top w:val="single" w:sz="4" w:space="0" w:color="8EA9DB"/>
              <w:left w:val="nil"/>
              <w:bottom w:val="single" w:sz="4" w:space="0" w:color="8EA9DB"/>
              <w:right w:val="single" w:sz="4" w:space="0" w:color="8EA9DB"/>
            </w:tcBorders>
            <w:shd w:val="clear" w:color="D9E1F2" w:fill="D9E1F2"/>
            <w:noWrap/>
            <w:vAlign w:val="bottom"/>
            <w:hideMark/>
          </w:tcPr>
          <w:p w14:paraId="42A6596C" w14:textId="77777777" w:rsidR="001C4551" w:rsidRPr="001C4551" w:rsidRDefault="001C4551" w:rsidP="001C4551">
            <w:pPr>
              <w:jc w:val="right"/>
              <w:rPr>
                <w:rFonts w:ascii="Calibri" w:hAnsi="Calibri"/>
                <w:color w:val="000000"/>
              </w:rPr>
            </w:pPr>
            <w:r w:rsidRPr="001C4551">
              <w:rPr>
                <w:rFonts w:ascii="Calibri" w:hAnsi="Calibri"/>
                <w:color w:val="000000"/>
              </w:rPr>
              <w:t>0.44</w:t>
            </w:r>
          </w:p>
        </w:tc>
      </w:tr>
      <w:tr w:rsidR="001C4551" w:rsidRPr="001C4551" w14:paraId="4F879C11"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auto" w:fill="auto"/>
            <w:noWrap/>
            <w:vAlign w:val="bottom"/>
            <w:hideMark/>
          </w:tcPr>
          <w:p w14:paraId="4FAD2BCA" w14:textId="77777777" w:rsidR="001C4551" w:rsidRPr="001C4551" w:rsidRDefault="001C4551" w:rsidP="001C4551">
            <w:pPr>
              <w:rPr>
                <w:rFonts w:ascii="Calibri" w:hAnsi="Calibri"/>
                <w:color w:val="000000"/>
              </w:rPr>
            </w:pPr>
            <w:proofErr w:type="spellStart"/>
            <w:r w:rsidRPr="001C4551">
              <w:rPr>
                <w:rFonts w:ascii="Calibri" w:hAnsi="Calibri"/>
                <w:color w:val="000000"/>
              </w:rPr>
              <w:t>urbPop</w:t>
            </w:r>
            <w:proofErr w:type="spellEnd"/>
          </w:p>
        </w:tc>
        <w:tc>
          <w:tcPr>
            <w:tcW w:w="2313" w:type="dxa"/>
            <w:tcBorders>
              <w:top w:val="single" w:sz="4" w:space="0" w:color="8EA9DB"/>
              <w:left w:val="nil"/>
              <w:bottom w:val="single" w:sz="4" w:space="0" w:color="8EA9DB"/>
              <w:right w:val="nil"/>
            </w:tcBorders>
            <w:shd w:val="clear" w:color="auto" w:fill="auto"/>
            <w:noWrap/>
            <w:vAlign w:val="bottom"/>
            <w:hideMark/>
          </w:tcPr>
          <w:p w14:paraId="4175BEC0" w14:textId="77777777" w:rsidR="001C4551" w:rsidRPr="001C4551" w:rsidRDefault="001C4551" w:rsidP="001C4551">
            <w:pPr>
              <w:jc w:val="right"/>
              <w:rPr>
                <w:rFonts w:ascii="Calibri" w:hAnsi="Calibri"/>
                <w:color w:val="000000"/>
              </w:rPr>
            </w:pPr>
            <w:r w:rsidRPr="001C4551">
              <w:rPr>
                <w:rFonts w:ascii="Calibri" w:hAnsi="Calibri"/>
                <w:color w:val="000000"/>
              </w:rPr>
              <w:t>0.12</w:t>
            </w:r>
          </w:p>
        </w:tc>
        <w:tc>
          <w:tcPr>
            <w:tcW w:w="1945" w:type="dxa"/>
            <w:tcBorders>
              <w:top w:val="single" w:sz="4" w:space="0" w:color="8EA9DB"/>
              <w:left w:val="nil"/>
              <w:bottom w:val="single" w:sz="4" w:space="0" w:color="8EA9DB"/>
              <w:right w:val="nil"/>
            </w:tcBorders>
            <w:shd w:val="clear" w:color="auto" w:fill="auto"/>
            <w:noWrap/>
            <w:vAlign w:val="bottom"/>
            <w:hideMark/>
          </w:tcPr>
          <w:p w14:paraId="5D23987A" w14:textId="77777777" w:rsidR="001C4551" w:rsidRPr="001C4551" w:rsidRDefault="001C4551" w:rsidP="001C4551">
            <w:pPr>
              <w:jc w:val="right"/>
              <w:rPr>
                <w:rFonts w:ascii="Calibri" w:hAnsi="Calibri"/>
                <w:color w:val="000000"/>
              </w:rPr>
            </w:pPr>
            <w:r w:rsidRPr="001C4551">
              <w:rPr>
                <w:rFonts w:ascii="Calibri" w:hAnsi="Calibri"/>
                <w:color w:val="000000"/>
              </w:rPr>
              <w:t>0.03</w:t>
            </w:r>
          </w:p>
        </w:tc>
        <w:tc>
          <w:tcPr>
            <w:tcW w:w="1735" w:type="dxa"/>
            <w:tcBorders>
              <w:top w:val="single" w:sz="4" w:space="0" w:color="8EA9DB"/>
              <w:left w:val="nil"/>
              <w:bottom w:val="single" w:sz="4" w:space="0" w:color="8EA9DB"/>
              <w:right w:val="nil"/>
            </w:tcBorders>
            <w:shd w:val="clear" w:color="auto" w:fill="auto"/>
            <w:noWrap/>
            <w:vAlign w:val="bottom"/>
            <w:hideMark/>
          </w:tcPr>
          <w:p w14:paraId="399D5A29" w14:textId="77777777" w:rsidR="001C4551" w:rsidRPr="001C4551" w:rsidRDefault="001C4551" w:rsidP="001C4551">
            <w:pPr>
              <w:jc w:val="right"/>
              <w:rPr>
                <w:rFonts w:ascii="Calibri" w:hAnsi="Calibri"/>
                <w:color w:val="000000"/>
              </w:rPr>
            </w:pPr>
            <w:r w:rsidRPr="001C4551">
              <w:rPr>
                <w:rFonts w:ascii="Calibri" w:hAnsi="Calibri"/>
                <w:color w:val="000000"/>
              </w:rPr>
              <w:t>4.33</w:t>
            </w:r>
          </w:p>
        </w:tc>
        <w:tc>
          <w:tcPr>
            <w:tcW w:w="1735" w:type="dxa"/>
            <w:tcBorders>
              <w:top w:val="single" w:sz="4" w:space="0" w:color="8EA9DB"/>
              <w:left w:val="nil"/>
              <w:bottom w:val="single" w:sz="4" w:space="0" w:color="8EA9DB"/>
              <w:right w:val="single" w:sz="4" w:space="0" w:color="8EA9DB"/>
            </w:tcBorders>
            <w:shd w:val="clear" w:color="auto" w:fill="auto"/>
            <w:noWrap/>
            <w:vAlign w:val="bottom"/>
            <w:hideMark/>
          </w:tcPr>
          <w:p w14:paraId="6498A891"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r>
      <w:tr w:rsidR="001C4551" w:rsidRPr="001C4551" w14:paraId="3D56F015"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D9E1F2" w:fill="D9E1F2"/>
            <w:noWrap/>
            <w:vAlign w:val="bottom"/>
            <w:hideMark/>
          </w:tcPr>
          <w:p w14:paraId="207B0667" w14:textId="77777777" w:rsidR="001C4551" w:rsidRPr="001C4551" w:rsidRDefault="001C4551" w:rsidP="001C4551">
            <w:pPr>
              <w:rPr>
                <w:rFonts w:ascii="Calibri" w:hAnsi="Calibri"/>
                <w:color w:val="000000"/>
              </w:rPr>
            </w:pPr>
            <w:proofErr w:type="spellStart"/>
            <w:r w:rsidRPr="001C4551">
              <w:rPr>
                <w:rFonts w:ascii="Calibri" w:hAnsi="Calibri"/>
                <w:color w:val="000000"/>
              </w:rPr>
              <w:t>unemploy</w:t>
            </w:r>
            <w:proofErr w:type="spellEnd"/>
          </w:p>
        </w:tc>
        <w:tc>
          <w:tcPr>
            <w:tcW w:w="2313" w:type="dxa"/>
            <w:tcBorders>
              <w:top w:val="single" w:sz="4" w:space="0" w:color="8EA9DB"/>
              <w:left w:val="nil"/>
              <w:bottom w:val="single" w:sz="4" w:space="0" w:color="8EA9DB"/>
              <w:right w:val="nil"/>
            </w:tcBorders>
            <w:shd w:val="clear" w:color="D9E1F2" w:fill="D9E1F2"/>
            <w:noWrap/>
            <w:vAlign w:val="bottom"/>
            <w:hideMark/>
          </w:tcPr>
          <w:p w14:paraId="2AB1692C" w14:textId="77777777" w:rsidR="001C4551" w:rsidRPr="001C4551" w:rsidRDefault="001C4551" w:rsidP="001C4551">
            <w:pPr>
              <w:jc w:val="right"/>
              <w:rPr>
                <w:rFonts w:ascii="Calibri" w:hAnsi="Calibri"/>
                <w:color w:val="000000"/>
              </w:rPr>
            </w:pPr>
            <w:r w:rsidRPr="001C4551">
              <w:rPr>
                <w:rFonts w:ascii="Calibri" w:hAnsi="Calibri"/>
                <w:color w:val="000000"/>
              </w:rPr>
              <w:t>-0.38</w:t>
            </w:r>
          </w:p>
        </w:tc>
        <w:tc>
          <w:tcPr>
            <w:tcW w:w="1945" w:type="dxa"/>
            <w:tcBorders>
              <w:top w:val="single" w:sz="4" w:space="0" w:color="8EA9DB"/>
              <w:left w:val="nil"/>
              <w:bottom w:val="single" w:sz="4" w:space="0" w:color="8EA9DB"/>
              <w:right w:val="nil"/>
            </w:tcBorders>
            <w:shd w:val="clear" w:color="D9E1F2" w:fill="D9E1F2"/>
            <w:noWrap/>
            <w:vAlign w:val="bottom"/>
            <w:hideMark/>
          </w:tcPr>
          <w:p w14:paraId="731C88F5" w14:textId="77777777" w:rsidR="001C4551" w:rsidRPr="001C4551" w:rsidRDefault="001C4551" w:rsidP="001C4551">
            <w:pPr>
              <w:jc w:val="right"/>
              <w:rPr>
                <w:rFonts w:ascii="Calibri" w:hAnsi="Calibri"/>
                <w:color w:val="000000"/>
              </w:rPr>
            </w:pPr>
            <w:r w:rsidRPr="001C4551">
              <w:rPr>
                <w:rFonts w:ascii="Calibri" w:hAnsi="Calibri"/>
                <w:color w:val="000000"/>
              </w:rPr>
              <w:t>0.12</w:t>
            </w:r>
          </w:p>
        </w:tc>
        <w:tc>
          <w:tcPr>
            <w:tcW w:w="1735" w:type="dxa"/>
            <w:tcBorders>
              <w:top w:val="single" w:sz="4" w:space="0" w:color="8EA9DB"/>
              <w:left w:val="nil"/>
              <w:bottom w:val="single" w:sz="4" w:space="0" w:color="8EA9DB"/>
              <w:right w:val="nil"/>
            </w:tcBorders>
            <w:shd w:val="clear" w:color="D9E1F2" w:fill="D9E1F2"/>
            <w:noWrap/>
            <w:vAlign w:val="bottom"/>
            <w:hideMark/>
          </w:tcPr>
          <w:p w14:paraId="28BF2640" w14:textId="77777777" w:rsidR="001C4551" w:rsidRPr="001C4551" w:rsidRDefault="001C4551" w:rsidP="001C4551">
            <w:pPr>
              <w:jc w:val="right"/>
              <w:rPr>
                <w:rFonts w:ascii="Calibri" w:hAnsi="Calibri"/>
                <w:color w:val="000000"/>
              </w:rPr>
            </w:pPr>
            <w:r w:rsidRPr="001C4551">
              <w:rPr>
                <w:rFonts w:ascii="Calibri" w:hAnsi="Calibri"/>
                <w:color w:val="000000"/>
              </w:rPr>
              <w:t>-3.08</w:t>
            </w:r>
          </w:p>
        </w:tc>
        <w:tc>
          <w:tcPr>
            <w:tcW w:w="1735" w:type="dxa"/>
            <w:tcBorders>
              <w:top w:val="single" w:sz="4" w:space="0" w:color="8EA9DB"/>
              <w:left w:val="nil"/>
              <w:bottom w:val="single" w:sz="4" w:space="0" w:color="8EA9DB"/>
              <w:right w:val="single" w:sz="4" w:space="0" w:color="8EA9DB"/>
            </w:tcBorders>
            <w:shd w:val="clear" w:color="D9E1F2" w:fill="D9E1F2"/>
            <w:noWrap/>
            <w:vAlign w:val="bottom"/>
            <w:hideMark/>
          </w:tcPr>
          <w:p w14:paraId="482B39D8"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r>
      <w:tr w:rsidR="001C4551" w:rsidRPr="001C4551" w14:paraId="522B2AAD"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auto" w:fill="auto"/>
            <w:noWrap/>
            <w:vAlign w:val="bottom"/>
            <w:hideMark/>
          </w:tcPr>
          <w:p w14:paraId="4B451C96" w14:textId="77777777" w:rsidR="001C4551" w:rsidRPr="001C4551" w:rsidRDefault="001C4551" w:rsidP="001C4551">
            <w:pPr>
              <w:rPr>
                <w:rFonts w:ascii="Calibri" w:hAnsi="Calibri"/>
                <w:color w:val="000000"/>
              </w:rPr>
            </w:pPr>
            <w:proofErr w:type="spellStart"/>
            <w:r w:rsidRPr="001C4551">
              <w:rPr>
                <w:rFonts w:ascii="Calibri" w:hAnsi="Calibri"/>
                <w:color w:val="000000"/>
              </w:rPr>
              <w:t>fdi</w:t>
            </w:r>
            <w:proofErr w:type="spellEnd"/>
          </w:p>
        </w:tc>
        <w:tc>
          <w:tcPr>
            <w:tcW w:w="2313" w:type="dxa"/>
            <w:tcBorders>
              <w:top w:val="single" w:sz="4" w:space="0" w:color="8EA9DB"/>
              <w:left w:val="nil"/>
              <w:bottom w:val="single" w:sz="4" w:space="0" w:color="8EA9DB"/>
              <w:right w:val="nil"/>
            </w:tcBorders>
            <w:shd w:val="clear" w:color="auto" w:fill="auto"/>
            <w:noWrap/>
            <w:vAlign w:val="bottom"/>
            <w:hideMark/>
          </w:tcPr>
          <w:p w14:paraId="356680DB"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c>
          <w:tcPr>
            <w:tcW w:w="1945" w:type="dxa"/>
            <w:tcBorders>
              <w:top w:val="single" w:sz="4" w:space="0" w:color="8EA9DB"/>
              <w:left w:val="nil"/>
              <w:bottom w:val="single" w:sz="4" w:space="0" w:color="8EA9DB"/>
              <w:right w:val="nil"/>
            </w:tcBorders>
            <w:shd w:val="clear" w:color="auto" w:fill="auto"/>
            <w:noWrap/>
            <w:vAlign w:val="bottom"/>
            <w:hideMark/>
          </w:tcPr>
          <w:p w14:paraId="386A2DA5" w14:textId="77777777" w:rsidR="001C4551" w:rsidRPr="001C4551" w:rsidRDefault="001C4551" w:rsidP="001C4551">
            <w:pPr>
              <w:jc w:val="right"/>
              <w:rPr>
                <w:rFonts w:ascii="Calibri" w:hAnsi="Calibri"/>
                <w:color w:val="000000"/>
              </w:rPr>
            </w:pPr>
            <w:r w:rsidRPr="001C4551">
              <w:rPr>
                <w:rFonts w:ascii="Calibri" w:hAnsi="Calibri"/>
                <w:color w:val="000000"/>
              </w:rPr>
              <w:t>0.00</w:t>
            </w:r>
          </w:p>
        </w:tc>
        <w:tc>
          <w:tcPr>
            <w:tcW w:w="1735" w:type="dxa"/>
            <w:tcBorders>
              <w:top w:val="single" w:sz="4" w:space="0" w:color="8EA9DB"/>
              <w:left w:val="nil"/>
              <w:bottom w:val="single" w:sz="4" w:space="0" w:color="8EA9DB"/>
              <w:right w:val="nil"/>
            </w:tcBorders>
            <w:shd w:val="clear" w:color="auto" w:fill="auto"/>
            <w:noWrap/>
            <w:vAlign w:val="bottom"/>
            <w:hideMark/>
          </w:tcPr>
          <w:p w14:paraId="5C65F5D8" w14:textId="77777777" w:rsidR="001C4551" w:rsidRPr="001C4551" w:rsidRDefault="001C4551" w:rsidP="001C4551">
            <w:pPr>
              <w:jc w:val="right"/>
              <w:rPr>
                <w:rFonts w:ascii="Calibri" w:hAnsi="Calibri"/>
                <w:color w:val="000000"/>
              </w:rPr>
            </w:pPr>
            <w:r w:rsidRPr="001C4551">
              <w:rPr>
                <w:rFonts w:ascii="Calibri" w:hAnsi="Calibri"/>
                <w:color w:val="000000"/>
              </w:rPr>
              <w:t>-1.87</w:t>
            </w:r>
          </w:p>
        </w:tc>
        <w:tc>
          <w:tcPr>
            <w:tcW w:w="1735" w:type="dxa"/>
            <w:tcBorders>
              <w:top w:val="single" w:sz="4" w:space="0" w:color="8EA9DB"/>
              <w:left w:val="nil"/>
              <w:bottom w:val="single" w:sz="4" w:space="0" w:color="8EA9DB"/>
              <w:right w:val="single" w:sz="4" w:space="0" w:color="8EA9DB"/>
            </w:tcBorders>
            <w:shd w:val="clear" w:color="auto" w:fill="auto"/>
            <w:noWrap/>
            <w:vAlign w:val="bottom"/>
            <w:hideMark/>
          </w:tcPr>
          <w:p w14:paraId="4E9556AE" w14:textId="77777777" w:rsidR="001C4551" w:rsidRPr="001C4551" w:rsidRDefault="001C4551" w:rsidP="001C4551">
            <w:pPr>
              <w:jc w:val="right"/>
              <w:rPr>
                <w:rFonts w:ascii="Calibri" w:hAnsi="Calibri"/>
                <w:color w:val="000000"/>
              </w:rPr>
            </w:pPr>
            <w:r w:rsidRPr="001C4551">
              <w:rPr>
                <w:rFonts w:ascii="Calibri" w:hAnsi="Calibri"/>
                <w:color w:val="000000"/>
              </w:rPr>
              <w:t>0.06</w:t>
            </w:r>
          </w:p>
        </w:tc>
      </w:tr>
      <w:tr w:rsidR="001C4551" w:rsidRPr="001C4551" w14:paraId="05A475A3"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D9E1F2" w:fill="D9E1F2"/>
            <w:noWrap/>
            <w:vAlign w:val="bottom"/>
            <w:hideMark/>
          </w:tcPr>
          <w:p w14:paraId="5D11040A" w14:textId="77777777" w:rsidR="001C4551" w:rsidRPr="001C4551" w:rsidRDefault="001C4551" w:rsidP="001C4551">
            <w:pPr>
              <w:rPr>
                <w:rFonts w:ascii="Calibri" w:hAnsi="Calibri"/>
                <w:color w:val="000000"/>
              </w:rPr>
            </w:pPr>
            <w:r w:rsidRPr="001C4551">
              <w:rPr>
                <w:rFonts w:ascii="Calibri" w:hAnsi="Calibri"/>
                <w:color w:val="000000"/>
              </w:rPr>
              <w:t>conflict</w:t>
            </w:r>
          </w:p>
        </w:tc>
        <w:tc>
          <w:tcPr>
            <w:tcW w:w="2313" w:type="dxa"/>
            <w:tcBorders>
              <w:top w:val="single" w:sz="4" w:space="0" w:color="8EA9DB"/>
              <w:left w:val="nil"/>
              <w:bottom w:val="single" w:sz="4" w:space="0" w:color="8EA9DB"/>
              <w:right w:val="nil"/>
            </w:tcBorders>
            <w:shd w:val="clear" w:color="D9E1F2" w:fill="D9E1F2"/>
            <w:noWrap/>
            <w:vAlign w:val="bottom"/>
            <w:hideMark/>
          </w:tcPr>
          <w:p w14:paraId="70D4E1A0" w14:textId="77777777" w:rsidR="001C4551" w:rsidRPr="001C4551" w:rsidRDefault="001C4551" w:rsidP="001C4551">
            <w:pPr>
              <w:jc w:val="right"/>
              <w:rPr>
                <w:rFonts w:ascii="Calibri" w:hAnsi="Calibri"/>
                <w:color w:val="000000"/>
              </w:rPr>
            </w:pPr>
            <w:r w:rsidRPr="001C4551">
              <w:rPr>
                <w:rFonts w:ascii="Calibri" w:hAnsi="Calibri"/>
                <w:color w:val="000000"/>
              </w:rPr>
              <w:t>-1.59</w:t>
            </w:r>
          </w:p>
        </w:tc>
        <w:tc>
          <w:tcPr>
            <w:tcW w:w="1945" w:type="dxa"/>
            <w:tcBorders>
              <w:top w:val="single" w:sz="4" w:space="0" w:color="8EA9DB"/>
              <w:left w:val="nil"/>
              <w:bottom w:val="single" w:sz="4" w:space="0" w:color="8EA9DB"/>
              <w:right w:val="nil"/>
            </w:tcBorders>
            <w:shd w:val="clear" w:color="D9E1F2" w:fill="D9E1F2"/>
            <w:noWrap/>
            <w:vAlign w:val="bottom"/>
            <w:hideMark/>
          </w:tcPr>
          <w:p w14:paraId="31E0A9D7" w14:textId="77777777" w:rsidR="001C4551" w:rsidRPr="001C4551" w:rsidRDefault="001C4551" w:rsidP="001C4551">
            <w:pPr>
              <w:jc w:val="right"/>
              <w:rPr>
                <w:rFonts w:ascii="Calibri" w:hAnsi="Calibri"/>
                <w:color w:val="000000"/>
              </w:rPr>
            </w:pPr>
            <w:r w:rsidRPr="001C4551">
              <w:rPr>
                <w:rFonts w:ascii="Calibri" w:hAnsi="Calibri"/>
                <w:color w:val="000000"/>
              </w:rPr>
              <w:t>0.94</w:t>
            </w:r>
          </w:p>
        </w:tc>
        <w:tc>
          <w:tcPr>
            <w:tcW w:w="1735" w:type="dxa"/>
            <w:tcBorders>
              <w:top w:val="single" w:sz="4" w:space="0" w:color="8EA9DB"/>
              <w:left w:val="nil"/>
              <w:bottom w:val="single" w:sz="4" w:space="0" w:color="8EA9DB"/>
              <w:right w:val="nil"/>
            </w:tcBorders>
            <w:shd w:val="clear" w:color="D9E1F2" w:fill="D9E1F2"/>
            <w:noWrap/>
            <w:vAlign w:val="bottom"/>
            <w:hideMark/>
          </w:tcPr>
          <w:p w14:paraId="12E07A8B" w14:textId="77777777" w:rsidR="001C4551" w:rsidRPr="001C4551" w:rsidRDefault="001C4551" w:rsidP="001C4551">
            <w:pPr>
              <w:jc w:val="right"/>
              <w:rPr>
                <w:rFonts w:ascii="Calibri" w:hAnsi="Calibri"/>
                <w:color w:val="000000"/>
              </w:rPr>
            </w:pPr>
            <w:r w:rsidRPr="001C4551">
              <w:rPr>
                <w:rFonts w:ascii="Calibri" w:hAnsi="Calibri"/>
                <w:color w:val="000000"/>
              </w:rPr>
              <w:t>-1.69</w:t>
            </w:r>
          </w:p>
        </w:tc>
        <w:tc>
          <w:tcPr>
            <w:tcW w:w="1735" w:type="dxa"/>
            <w:tcBorders>
              <w:top w:val="single" w:sz="4" w:space="0" w:color="8EA9DB"/>
              <w:left w:val="nil"/>
              <w:bottom w:val="single" w:sz="4" w:space="0" w:color="8EA9DB"/>
              <w:right w:val="single" w:sz="4" w:space="0" w:color="8EA9DB"/>
            </w:tcBorders>
            <w:shd w:val="clear" w:color="D9E1F2" w:fill="D9E1F2"/>
            <w:noWrap/>
            <w:vAlign w:val="bottom"/>
            <w:hideMark/>
          </w:tcPr>
          <w:p w14:paraId="48C9ED61" w14:textId="77777777" w:rsidR="001C4551" w:rsidRPr="001C4551" w:rsidRDefault="001C4551" w:rsidP="001C4551">
            <w:pPr>
              <w:jc w:val="right"/>
              <w:rPr>
                <w:rFonts w:ascii="Calibri" w:hAnsi="Calibri"/>
                <w:color w:val="000000"/>
              </w:rPr>
            </w:pPr>
            <w:r w:rsidRPr="001C4551">
              <w:rPr>
                <w:rFonts w:ascii="Calibri" w:hAnsi="Calibri"/>
                <w:color w:val="000000"/>
              </w:rPr>
              <w:t>0.09</w:t>
            </w:r>
          </w:p>
        </w:tc>
      </w:tr>
      <w:tr w:rsidR="001C4551" w:rsidRPr="001C4551" w14:paraId="2701DE49" w14:textId="77777777" w:rsidTr="00F240E7">
        <w:trPr>
          <w:trHeight w:val="329"/>
        </w:trPr>
        <w:tc>
          <w:tcPr>
            <w:tcW w:w="1709" w:type="dxa"/>
            <w:tcBorders>
              <w:top w:val="single" w:sz="4" w:space="0" w:color="8EA9DB"/>
              <w:left w:val="single" w:sz="4" w:space="0" w:color="8EA9DB"/>
              <w:bottom w:val="single" w:sz="4" w:space="0" w:color="8EA9DB"/>
              <w:right w:val="nil"/>
            </w:tcBorders>
            <w:shd w:val="clear" w:color="auto" w:fill="FFFFFF" w:themeFill="background1"/>
            <w:noWrap/>
            <w:vAlign w:val="bottom"/>
          </w:tcPr>
          <w:p w14:paraId="37237A0C" w14:textId="1FE906CB" w:rsidR="001C4551" w:rsidRPr="001C4551" w:rsidRDefault="001C4551" w:rsidP="00F240E7">
            <w:pPr>
              <w:shd w:val="clear" w:color="auto" w:fill="FFFFFF" w:themeFill="background1"/>
              <w:rPr>
                <w:rFonts w:ascii="Calibri" w:hAnsi="Calibri"/>
                <w:color w:val="000000"/>
              </w:rPr>
            </w:pPr>
            <w:r>
              <w:rPr>
                <w:rFonts w:ascii="Calibri" w:hAnsi="Calibri"/>
                <w:color w:val="000000"/>
              </w:rPr>
              <w:t>R-squared</w:t>
            </w:r>
          </w:p>
        </w:tc>
        <w:tc>
          <w:tcPr>
            <w:tcW w:w="2313" w:type="dxa"/>
            <w:tcBorders>
              <w:top w:val="single" w:sz="4" w:space="0" w:color="8EA9DB"/>
              <w:left w:val="nil"/>
              <w:bottom w:val="single" w:sz="4" w:space="0" w:color="8EA9DB"/>
              <w:right w:val="nil"/>
            </w:tcBorders>
            <w:shd w:val="clear" w:color="auto" w:fill="FFFFFF" w:themeFill="background1"/>
            <w:noWrap/>
            <w:vAlign w:val="bottom"/>
          </w:tcPr>
          <w:p w14:paraId="670DEAC9" w14:textId="221E56AC" w:rsidR="001C4551" w:rsidRPr="001C4551" w:rsidRDefault="001C4551" w:rsidP="00F240E7">
            <w:pPr>
              <w:shd w:val="clear" w:color="auto" w:fill="FFFFFF" w:themeFill="background1"/>
              <w:jc w:val="right"/>
              <w:rPr>
                <w:rFonts w:ascii="Calibri" w:hAnsi="Calibri"/>
                <w:color w:val="000000"/>
              </w:rPr>
            </w:pPr>
            <w:r>
              <w:rPr>
                <w:rFonts w:ascii="Calibri" w:hAnsi="Calibri"/>
                <w:color w:val="000000"/>
              </w:rPr>
              <w:t>0.</w:t>
            </w:r>
            <w:r w:rsidR="00F240E7">
              <w:rPr>
                <w:rFonts w:ascii="Calibri" w:hAnsi="Calibri"/>
                <w:color w:val="000000"/>
              </w:rPr>
              <w:t>24</w:t>
            </w:r>
          </w:p>
        </w:tc>
        <w:tc>
          <w:tcPr>
            <w:tcW w:w="1945" w:type="dxa"/>
            <w:tcBorders>
              <w:top w:val="single" w:sz="4" w:space="0" w:color="8EA9DB"/>
              <w:left w:val="nil"/>
              <w:bottom w:val="single" w:sz="4" w:space="0" w:color="8EA9DB"/>
              <w:right w:val="nil"/>
            </w:tcBorders>
            <w:shd w:val="clear" w:color="auto" w:fill="FFFFFF" w:themeFill="background1"/>
            <w:noWrap/>
            <w:vAlign w:val="bottom"/>
          </w:tcPr>
          <w:p w14:paraId="1BF5055A" w14:textId="77777777" w:rsidR="001C4551" w:rsidRPr="001C4551" w:rsidRDefault="001C4551" w:rsidP="00F240E7">
            <w:pPr>
              <w:shd w:val="clear" w:color="auto" w:fill="FFFFFF" w:themeFill="background1"/>
              <w:jc w:val="right"/>
              <w:rPr>
                <w:rFonts w:ascii="Calibri" w:hAnsi="Calibri"/>
                <w:color w:val="000000"/>
              </w:rPr>
            </w:pPr>
          </w:p>
        </w:tc>
        <w:tc>
          <w:tcPr>
            <w:tcW w:w="1735" w:type="dxa"/>
            <w:tcBorders>
              <w:top w:val="single" w:sz="4" w:space="0" w:color="8EA9DB"/>
              <w:left w:val="nil"/>
              <w:bottom w:val="single" w:sz="4" w:space="0" w:color="8EA9DB"/>
              <w:right w:val="nil"/>
            </w:tcBorders>
            <w:shd w:val="clear" w:color="auto" w:fill="FFFFFF" w:themeFill="background1"/>
            <w:noWrap/>
            <w:vAlign w:val="bottom"/>
          </w:tcPr>
          <w:p w14:paraId="21DB097E" w14:textId="77777777" w:rsidR="001C4551" w:rsidRPr="001C4551" w:rsidRDefault="001C4551" w:rsidP="00F240E7">
            <w:pPr>
              <w:shd w:val="clear" w:color="auto" w:fill="FFFFFF" w:themeFill="background1"/>
              <w:jc w:val="right"/>
              <w:rPr>
                <w:rFonts w:ascii="Calibri" w:hAnsi="Calibri"/>
                <w:color w:val="000000"/>
              </w:rPr>
            </w:pPr>
          </w:p>
        </w:tc>
        <w:tc>
          <w:tcPr>
            <w:tcW w:w="1735" w:type="dxa"/>
            <w:tcBorders>
              <w:top w:val="single" w:sz="4" w:space="0" w:color="8EA9DB"/>
              <w:left w:val="nil"/>
              <w:bottom w:val="single" w:sz="4" w:space="0" w:color="8EA9DB"/>
              <w:right w:val="single" w:sz="4" w:space="0" w:color="8EA9DB"/>
            </w:tcBorders>
            <w:shd w:val="clear" w:color="auto" w:fill="FFFFFF" w:themeFill="background1"/>
            <w:noWrap/>
            <w:vAlign w:val="bottom"/>
          </w:tcPr>
          <w:p w14:paraId="6B07D84C" w14:textId="77777777" w:rsidR="001C4551" w:rsidRPr="001C4551" w:rsidRDefault="001C4551" w:rsidP="00F240E7">
            <w:pPr>
              <w:shd w:val="clear" w:color="auto" w:fill="FFFFFF" w:themeFill="background1"/>
              <w:jc w:val="right"/>
              <w:rPr>
                <w:rFonts w:ascii="Calibri" w:hAnsi="Calibri"/>
                <w:color w:val="000000"/>
              </w:rPr>
            </w:pPr>
          </w:p>
        </w:tc>
      </w:tr>
    </w:tbl>
    <w:p w14:paraId="0AE7BD5D" w14:textId="2517C49B" w:rsidR="00AA4071" w:rsidRPr="000B60DD" w:rsidRDefault="000B60DD" w:rsidP="00F240E7">
      <w:pPr>
        <w:shd w:val="clear" w:color="auto" w:fill="FFFFFF" w:themeFill="background1"/>
        <w:rPr>
          <w:i/>
          <w:iCs/>
          <w:sz w:val="22"/>
          <w:szCs w:val="22"/>
        </w:rPr>
      </w:pPr>
      <w:r>
        <w:rPr>
          <w:i/>
          <w:iCs/>
          <w:sz w:val="22"/>
          <w:szCs w:val="22"/>
        </w:rPr>
        <w:t>Table 3: Model 1 estimates</w:t>
      </w:r>
    </w:p>
    <w:p w14:paraId="109AE1B7" w14:textId="77777777" w:rsidR="00AA4071" w:rsidRDefault="00AA4071" w:rsidP="007250AB">
      <w:pPr>
        <w:rPr>
          <w:sz w:val="22"/>
          <w:szCs w:val="22"/>
        </w:rPr>
      </w:pPr>
    </w:p>
    <w:p w14:paraId="2E5B7193" w14:textId="401A0714" w:rsidR="00AA4071" w:rsidRDefault="006B6A0A" w:rsidP="007250AB">
      <w:pPr>
        <w:rPr>
          <w:sz w:val="22"/>
          <w:szCs w:val="22"/>
        </w:rPr>
      </w:pPr>
      <w:r>
        <w:rPr>
          <w:sz w:val="22"/>
          <w:szCs w:val="22"/>
        </w:rPr>
        <w:tab/>
        <w:t xml:space="preserve">The relationship between </w:t>
      </w:r>
      <w:r w:rsidR="00C81E4D">
        <w:rPr>
          <w:sz w:val="22"/>
          <w:szCs w:val="22"/>
        </w:rPr>
        <w:t>EVD cases</w:t>
      </w:r>
      <w:r>
        <w:rPr>
          <w:sz w:val="22"/>
          <w:szCs w:val="22"/>
        </w:rPr>
        <w:t xml:space="preserve"> and the </w:t>
      </w:r>
      <w:r w:rsidR="00C81E4D">
        <w:rPr>
          <w:sz w:val="22"/>
          <w:szCs w:val="22"/>
        </w:rPr>
        <w:t>Gini</w:t>
      </w:r>
      <w:r>
        <w:rPr>
          <w:sz w:val="22"/>
          <w:szCs w:val="22"/>
        </w:rPr>
        <w:t xml:space="preserve"> is not statistically significant in Model 1. The only variable with a non-zero statistically significant coefficient is the unemployment rate. The model finds that unemployment has a negative relationship with </w:t>
      </w:r>
      <w:r w:rsidR="00C81E4D">
        <w:rPr>
          <w:sz w:val="22"/>
          <w:szCs w:val="22"/>
        </w:rPr>
        <w:t>Gini</w:t>
      </w:r>
      <w:r w:rsidR="000B60DD">
        <w:rPr>
          <w:sz w:val="22"/>
          <w:szCs w:val="22"/>
        </w:rPr>
        <w:t xml:space="preserve">, which is a contradictory result to how I frame unemployment as a mechanism. </w:t>
      </w:r>
    </w:p>
    <w:p w14:paraId="2FD7C661" w14:textId="03E23762" w:rsidR="00963589" w:rsidRDefault="00963589" w:rsidP="007250AB">
      <w:pPr>
        <w:rPr>
          <w:sz w:val="22"/>
          <w:szCs w:val="22"/>
        </w:rPr>
      </w:pPr>
    </w:p>
    <w:p w14:paraId="19F61915" w14:textId="4FD47041" w:rsidR="00963589" w:rsidRPr="003108AD" w:rsidRDefault="003108AD" w:rsidP="003108AD">
      <w:pPr>
        <w:ind w:firstLine="720"/>
        <w:rPr>
          <w:b/>
          <w:bCs/>
          <w:sz w:val="28"/>
          <w:szCs w:val="28"/>
        </w:rPr>
      </w:pPr>
      <w:r>
        <w:rPr>
          <w:b/>
          <w:bCs/>
          <w:sz w:val="22"/>
          <w:szCs w:val="22"/>
        </w:rPr>
        <w:t xml:space="preserve">4.2 </w:t>
      </w:r>
      <w:r w:rsidR="00963589" w:rsidRPr="003108AD">
        <w:rPr>
          <w:b/>
          <w:bCs/>
          <w:sz w:val="22"/>
          <w:szCs w:val="22"/>
        </w:rPr>
        <w:t>Model 2:</w:t>
      </w:r>
    </w:p>
    <w:p w14:paraId="18734A4D" w14:textId="77777777" w:rsidR="00963589" w:rsidRDefault="00963589" w:rsidP="007250AB">
      <w:pPr>
        <w:rPr>
          <w:sz w:val="22"/>
          <w:szCs w:val="22"/>
        </w:rPr>
      </w:pPr>
    </w:p>
    <w:tbl>
      <w:tblPr>
        <w:tblW w:w="9096" w:type="dxa"/>
        <w:tblLook w:val="04A0" w:firstRow="1" w:lastRow="0" w:firstColumn="1" w:lastColumn="0" w:noHBand="0" w:noVBand="1"/>
      </w:tblPr>
      <w:tblGrid>
        <w:gridCol w:w="1647"/>
        <w:gridCol w:w="2230"/>
        <w:gridCol w:w="1875"/>
        <w:gridCol w:w="1672"/>
        <w:gridCol w:w="1672"/>
      </w:tblGrid>
      <w:tr w:rsidR="00F240E7" w:rsidRPr="00F240E7" w14:paraId="5E56E034"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4472C4" w:fill="4472C4"/>
            <w:noWrap/>
            <w:vAlign w:val="bottom"/>
            <w:hideMark/>
          </w:tcPr>
          <w:p w14:paraId="51D8C482" w14:textId="3F8E9877" w:rsidR="00F240E7" w:rsidRPr="00F240E7" w:rsidRDefault="00F240E7" w:rsidP="00F240E7">
            <w:pPr>
              <w:rPr>
                <w:rFonts w:ascii="Calibri" w:hAnsi="Calibri"/>
                <w:b/>
                <w:bCs/>
                <w:color w:val="FFFFFF"/>
              </w:rPr>
            </w:pPr>
          </w:p>
        </w:tc>
        <w:tc>
          <w:tcPr>
            <w:tcW w:w="2230" w:type="dxa"/>
            <w:tcBorders>
              <w:top w:val="single" w:sz="4" w:space="0" w:color="8EA9DB"/>
              <w:left w:val="nil"/>
              <w:bottom w:val="single" w:sz="4" w:space="0" w:color="8EA9DB"/>
              <w:right w:val="nil"/>
            </w:tcBorders>
            <w:shd w:val="clear" w:color="4472C4" w:fill="4472C4"/>
            <w:noWrap/>
            <w:vAlign w:val="bottom"/>
            <w:hideMark/>
          </w:tcPr>
          <w:p w14:paraId="03F78F4A" w14:textId="77777777" w:rsidR="00F240E7" w:rsidRPr="00F240E7" w:rsidRDefault="00F240E7" w:rsidP="00F240E7">
            <w:pPr>
              <w:rPr>
                <w:rFonts w:ascii="Calibri" w:hAnsi="Calibri"/>
                <w:b/>
                <w:bCs/>
                <w:color w:val="FFFFFF"/>
              </w:rPr>
            </w:pPr>
            <w:r w:rsidRPr="00F240E7">
              <w:rPr>
                <w:rFonts w:ascii="Calibri" w:hAnsi="Calibri"/>
                <w:b/>
                <w:bCs/>
                <w:color w:val="FFFFFF"/>
              </w:rPr>
              <w:t>Estimate</w:t>
            </w:r>
          </w:p>
        </w:tc>
        <w:tc>
          <w:tcPr>
            <w:tcW w:w="1875" w:type="dxa"/>
            <w:tcBorders>
              <w:top w:val="single" w:sz="4" w:space="0" w:color="8EA9DB"/>
              <w:left w:val="nil"/>
              <w:bottom w:val="single" w:sz="4" w:space="0" w:color="8EA9DB"/>
              <w:right w:val="nil"/>
            </w:tcBorders>
            <w:shd w:val="clear" w:color="4472C4" w:fill="4472C4"/>
            <w:noWrap/>
            <w:vAlign w:val="bottom"/>
            <w:hideMark/>
          </w:tcPr>
          <w:p w14:paraId="4B40B81D" w14:textId="77777777" w:rsidR="00F240E7" w:rsidRPr="00F240E7" w:rsidRDefault="00F240E7" w:rsidP="00F240E7">
            <w:pPr>
              <w:rPr>
                <w:rFonts w:ascii="Calibri" w:hAnsi="Calibri"/>
                <w:b/>
                <w:bCs/>
                <w:color w:val="FFFFFF"/>
              </w:rPr>
            </w:pPr>
            <w:r w:rsidRPr="00F240E7">
              <w:rPr>
                <w:rFonts w:ascii="Calibri" w:hAnsi="Calibri"/>
                <w:b/>
                <w:bCs/>
                <w:color w:val="FFFFFF"/>
              </w:rPr>
              <w:t>Std. Error</w:t>
            </w:r>
          </w:p>
        </w:tc>
        <w:tc>
          <w:tcPr>
            <w:tcW w:w="1672" w:type="dxa"/>
            <w:tcBorders>
              <w:top w:val="single" w:sz="4" w:space="0" w:color="8EA9DB"/>
              <w:left w:val="nil"/>
              <w:bottom w:val="single" w:sz="4" w:space="0" w:color="8EA9DB"/>
              <w:right w:val="nil"/>
            </w:tcBorders>
            <w:shd w:val="clear" w:color="4472C4" w:fill="4472C4"/>
            <w:noWrap/>
            <w:vAlign w:val="bottom"/>
            <w:hideMark/>
          </w:tcPr>
          <w:p w14:paraId="0CE40D26" w14:textId="77777777" w:rsidR="00F240E7" w:rsidRPr="00F240E7" w:rsidRDefault="00F240E7" w:rsidP="00F240E7">
            <w:pPr>
              <w:rPr>
                <w:rFonts w:ascii="Calibri" w:hAnsi="Calibri"/>
                <w:b/>
                <w:bCs/>
                <w:color w:val="FFFFFF"/>
              </w:rPr>
            </w:pPr>
            <w:r w:rsidRPr="00F240E7">
              <w:rPr>
                <w:rFonts w:ascii="Calibri" w:hAnsi="Calibri"/>
                <w:b/>
                <w:bCs/>
                <w:color w:val="FFFFFF"/>
              </w:rPr>
              <w:t>t value</w:t>
            </w:r>
          </w:p>
        </w:tc>
        <w:tc>
          <w:tcPr>
            <w:tcW w:w="1672" w:type="dxa"/>
            <w:tcBorders>
              <w:top w:val="single" w:sz="4" w:space="0" w:color="8EA9DB"/>
              <w:left w:val="nil"/>
              <w:bottom w:val="single" w:sz="4" w:space="0" w:color="8EA9DB"/>
              <w:right w:val="single" w:sz="4" w:space="0" w:color="8EA9DB"/>
            </w:tcBorders>
            <w:shd w:val="clear" w:color="4472C4" w:fill="4472C4"/>
            <w:noWrap/>
            <w:vAlign w:val="bottom"/>
            <w:hideMark/>
          </w:tcPr>
          <w:p w14:paraId="23D931C4" w14:textId="77777777" w:rsidR="00F240E7" w:rsidRPr="00F240E7" w:rsidRDefault="00F240E7" w:rsidP="00F240E7">
            <w:pPr>
              <w:rPr>
                <w:rFonts w:ascii="Calibri" w:hAnsi="Calibri"/>
                <w:b/>
                <w:bCs/>
                <w:color w:val="FFFFFF"/>
              </w:rPr>
            </w:pPr>
            <w:proofErr w:type="spellStart"/>
            <w:r w:rsidRPr="00F240E7">
              <w:rPr>
                <w:rFonts w:ascii="Calibri" w:hAnsi="Calibri"/>
                <w:b/>
                <w:bCs/>
                <w:color w:val="FFFFFF"/>
              </w:rPr>
              <w:t>Pr</w:t>
            </w:r>
            <w:proofErr w:type="spellEnd"/>
            <w:r w:rsidRPr="00F240E7">
              <w:rPr>
                <w:rFonts w:ascii="Calibri" w:hAnsi="Calibri"/>
                <w:b/>
                <w:bCs/>
                <w:color w:val="FFFFFF"/>
              </w:rPr>
              <w:t>(&gt;|t|)</w:t>
            </w:r>
          </w:p>
        </w:tc>
      </w:tr>
      <w:tr w:rsidR="00F240E7" w:rsidRPr="00F240E7" w14:paraId="33038152"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D9E1F2" w:fill="D9E1F2"/>
            <w:noWrap/>
            <w:vAlign w:val="bottom"/>
            <w:hideMark/>
          </w:tcPr>
          <w:p w14:paraId="45E406FA" w14:textId="77777777" w:rsidR="00F240E7" w:rsidRPr="00F240E7" w:rsidRDefault="00F240E7" w:rsidP="00F240E7">
            <w:pPr>
              <w:rPr>
                <w:rFonts w:ascii="Calibri" w:hAnsi="Calibri"/>
                <w:color w:val="000000"/>
              </w:rPr>
            </w:pPr>
            <w:r w:rsidRPr="00F240E7">
              <w:rPr>
                <w:rFonts w:ascii="Calibri" w:hAnsi="Calibri"/>
                <w:color w:val="000000"/>
              </w:rPr>
              <w:t>(Intercept)</w:t>
            </w:r>
          </w:p>
        </w:tc>
        <w:tc>
          <w:tcPr>
            <w:tcW w:w="2230" w:type="dxa"/>
            <w:tcBorders>
              <w:top w:val="single" w:sz="4" w:space="0" w:color="8EA9DB"/>
              <w:left w:val="nil"/>
              <w:bottom w:val="single" w:sz="4" w:space="0" w:color="8EA9DB"/>
              <w:right w:val="nil"/>
            </w:tcBorders>
            <w:shd w:val="clear" w:color="D9E1F2" w:fill="D9E1F2"/>
            <w:noWrap/>
            <w:vAlign w:val="bottom"/>
            <w:hideMark/>
          </w:tcPr>
          <w:p w14:paraId="57EC87B9" w14:textId="77777777" w:rsidR="00F240E7" w:rsidRPr="00F240E7" w:rsidRDefault="00F240E7" w:rsidP="00F240E7">
            <w:pPr>
              <w:jc w:val="right"/>
              <w:rPr>
                <w:rFonts w:ascii="Calibri" w:hAnsi="Calibri"/>
                <w:color w:val="000000"/>
              </w:rPr>
            </w:pPr>
            <w:r w:rsidRPr="00F240E7">
              <w:rPr>
                <w:rFonts w:ascii="Calibri" w:hAnsi="Calibri"/>
                <w:color w:val="000000"/>
              </w:rPr>
              <w:t>11.03</w:t>
            </w:r>
          </w:p>
        </w:tc>
        <w:tc>
          <w:tcPr>
            <w:tcW w:w="1875" w:type="dxa"/>
            <w:tcBorders>
              <w:top w:val="single" w:sz="4" w:space="0" w:color="8EA9DB"/>
              <w:left w:val="nil"/>
              <w:bottom w:val="single" w:sz="4" w:space="0" w:color="8EA9DB"/>
              <w:right w:val="nil"/>
            </w:tcBorders>
            <w:shd w:val="clear" w:color="D9E1F2" w:fill="D9E1F2"/>
            <w:noWrap/>
            <w:vAlign w:val="bottom"/>
            <w:hideMark/>
          </w:tcPr>
          <w:p w14:paraId="281FBB6B" w14:textId="77777777" w:rsidR="00F240E7" w:rsidRPr="00F240E7" w:rsidRDefault="00F240E7" w:rsidP="00F240E7">
            <w:pPr>
              <w:jc w:val="right"/>
              <w:rPr>
                <w:rFonts w:ascii="Calibri" w:hAnsi="Calibri"/>
                <w:color w:val="000000"/>
              </w:rPr>
            </w:pPr>
            <w:r w:rsidRPr="00F240E7">
              <w:rPr>
                <w:rFonts w:ascii="Calibri" w:hAnsi="Calibri"/>
                <w:color w:val="000000"/>
              </w:rPr>
              <w:t>0.95</w:t>
            </w:r>
          </w:p>
        </w:tc>
        <w:tc>
          <w:tcPr>
            <w:tcW w:w="1672" w:type="dxa"/>
            <w:tcBorders>
              <w:top w:val="single" w:sz="4" w:space="0" w:color="8EA9DB"/>
              <w:left w:val="nil"/>
              <w:bottom w:val="single" w:sz="4" w:space="0" w:color="8EA9DB"/>
              <w:right w:val="nil"/>
            </w:tcBorders>
            <w:shd w:val="clear" w:color="D9E1F2" w:fill="D9E1F2"/>
            <w:noWrap/>
            <w:vAlign w:val="bottom"/>
            <w:hideMark/>
          </w:tcPr>
          <w:p w14:paraId="6465D155" w14:textId="77777777" w:rsidR="00F240E7" w:rsidRPr="00F240E7" w:rsidRDefault="00F240E7" w:rsidP="00F240E7">
            <w:pPr>
              <w:jc w:val="right"/>
              <w:rPr>
                <w:rFonts w:ascii="Calibri" w:hAnsi="Calibri"/>
                <w:color w:val="000000"/>
              </w:rPr>
            </w:pPr>
            <w:r w:rsidRPr="00F240E7">
              <w:rPr>
                <w:rFonts w:ascii="Calibri" w:hAnsi="Calibri"/>
                <w:color w:val="000000"/>
              </w:rPr>
              <w:t>11.65</w:t>
            </w:r>
          </w:p>
        </w:tc>
        <w:tc>
          <w:tcPr>
            <w:tcW w:w="1672" w:type="dxa"/>
            <w:tcBorders>
              <w:top w:val="single" w:sz="4" w:space="0" w:color="8EA9DB"/>
              <w:left w:val="nil"/>
              <w:bottom w:val="single" w:sz="4" w:space="0" w:color="8EA9DB"/>
              <w:right w:val="single" w:sz="4" w:space="0" w:color="8EA9DB"/>
            </w:tcBorders>
            <w:shd w:val="clear" w:color="D9E1F2" w:fill="D9E1F2"/>
            <w:noWrap/>
            <w:vAlign w:val="bottom"/>
            <w:hideMark/>
          </w:tcPr>
          <w:p w14:paraId="311CA570" w14:textId="77777777" w:rsidR="00F240E7" w:rsidRPr="00F240E7" w:rsidRDefault="00F240E7" w:rsidP="00F240E7">
            <w:pPr>
              <w:rPr>
                <w:rFonts w:ascii="Calibri" w:hAnsi="Calibri"/>
                <w:color w:val="000000"/>
              </w:rPr>
            </w:pPr>
            <w:r w:rsidRPr="00F240E7">
              <w:rPr>
                <w:rFonts w:ascii="Calibri" w:hAnsi="Calibri"/>
                <w:color w:val="000000"/>
              </w:rPr>
              <w:t>&lt; 2e-16</w:t>
            </w:r>
          </w:p>
        </w:tc>
      </w:tr>
      <w:tr w:rsidR="00F240E7" w:rsidRPr="00F240E7" w14:paraId="737ABAE5"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auto" w:fill="auto"/>
            <w:noWrap/>
            <w:vAlign w:val="bottom"/>
            <w:hideMark/>
          </w:tcPr>
          <w:p w14:paraId="2884F325" w14:textId="77777777" w:rsidR="00F240E7" w:rsidRPr="00F240E7" w:rsidRDefault="00F240E7" w:rsidP="00F240E7">
            <w:pPr>
              <w:rPr>
                <w:rFonts w:ascii="Calibri" w:hAnsi="Calibri"/>
                <w:color w:val="000000"/>
              </w:rPr>
            </w:pPr>
            <w:r w:rsidRPr="00F240E7">
              <w:rPr>
                <w:rFonts w:ascii="Calibri" w:hAnsi="Calibri"/>
                <w:color w:val="000000"/>
              </w:rPr>
              <w:t>epi</w:t>
            </w:r>
          </w:p>
        </w:tc>
        <w:tc>
          <w:tcPr>
            <w:tcW w:w="2230" w:type="dxa"/>
            <w:tcBorders>
              <w:top w:val="single" w:sz="4" w:space="0" w:color="8EA9DB"/>
              <w:left w:val="nil"/>
              <w:bottom w:val="single" w:sz="4" w:space="0" w:color="8EA9DB"/>
              <w:right w:val="nil"/>
            </w:tcBorders>
            <w:shd w:val="clear" w:color="auto" w:fill="auto"/>
            <w:noWrap/>
            <w:vAlign w:val="bottom"/>
            <w:hideMark/>
          </w:tcPr>
          <w:p w14:paraId="0F708971"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875" w:type="dxa"/>
            <w:tcBorders>
              <w:top w:val="single" w:sz="4" w:space="0" w:color="8EA9DB"/>
              <w:left w:val="nil"/>
              <w:bottom w:val="single" w:sz="4" w:space="0" w:color="8EA9DB"/>
              <w:right w:val="nil"/>
            </w:tcBorders>
            <w:shd w:val="clear" w:color="auto" w:fill="auto"/>
            <w:noWrap/>
            <w:vAlign w:val="bottom"/>
            <w:hideMark/>
          </w:tcPr>
          <w:p w14:paraId="6B5573F6"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672" w:type="dxa"/>
            <w:tcBorders>
              <w:top w:val="single" w:sz="4" w:space="0" w:color="8EA9DB"/>
              <w:left w:val="nil"/>
              <w:bottom w:val="single" w:sz="4" w:space="0" w:color="8EA9DB"/>
              <w:right w:val="nil"/>
            </w:tcBorders>
            <w:shd w:val="clear" w:color="auto" w:fill="auto"/>
            <w:noWrap/>
            <w:vAlign w:val="bottom"/>
            <w:hideMark/>
          </w:tcPr>
          <w:p w14:paraId="484EA23F" w14:textId="77777777" w:rsidR="00F240E7" w:rsidRPr="00F240E7" w:rsidRDefault="00F240E7" w:rsidP="00F240E7">
            <w:pPr>
              <w:jc w:val="right"/>
              <w:rPr>
                <w:rFonts w:ascii="Calibri" w:hAnsi="Calibri"/>
                <w:color w:val="000000"/>
              </w:rPr>
            </w:pPr>
            <w:r w:rsidRPr="00F240E7">
              <w:rPr>
                <w:rFonts w:ascii="Calibri" w:hAnsi="Calibri"/>
                <w:color w:val="000000"/>
              </w:rPr>
              <w:t>-2.01</w:t>
            </w:r>
          </w:p>
        </w:tc>
        <w:tc>
          <w:tcPr>
            <w:tcW w:w="1672" w:type="dxa"/>
            <w:tcBorders>
              <w:top w:val="single" w:sz="4" w:space="0" w:color="8EA9DB"/>
              <w:left w:val="nil"/>
              <w:bottom w:val="single" w:sz="4" w:space="0" w:color="8EA9DB"/>
              <w:right w:val="single" w:sz="4" w:space="0" w:color="8EA9DB"/>
            </w:tcBorders>
            <w:shd w:val="clear" w:color="auto" w:fill="auto"/>
            <w:noWrap/>
            <w:vAlign w:val="bottom"/>
            <w:hideMark/>
          </w:tcPr>
          <w:p w14:paraId="0BB32AB9" w14:textId="77777777" w:rsidR="00F240E7" w:rsidRPr="00F240E7" w:rsidRDefault="00F240E7" w:rsidP="00F240E7">
            <w:pPr>
              <w:jc w:val="right"/>
              <w:rPr>
                <w:rFonts w:ascii="Calibri" w:hAnsi="Calibri"/>
                <w:color w:val="000000"/>
              </w:rPr>
            </w:pPr>
            <w:r w:rsidRPr="00F240E7">
              <w:rPr>
                <w:rFonts w:ascii="Calibri" w:hAnsi="Calibri"/>
                <w:color w:val="000000"/>
              </w:rPr>
              <w:t>0.05</w:t>
            </w:r>
          </w:p>
        </w:tc>
      </w:tr>
      <w:tr w:rsidR="00F240E7" w:rsidRPr="00F240E7" w14:paraId="3A7E7808"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D9E1F2" w:fill="D9E1F2"/>
            <w:noWrap/>
            <w:vAlign w:val="bottom"/>
            <w:hideMark/>
          </w:tcPr>
          <w:p w14:paraId="4660CC2A" w14:textId="77777777" w:rsidR="00F240E7" w:rsidRPr="00F240E7" w:rsidRDefault="00F240E7" w:rsidP="00F240E7">
            <w:pPr>
              <w:rPr>
                <w:rFonts w:ascii="Calibri" w:hAnsi="Calibri"/>
                <w:color w:val="000000"/>
              </w:rPr>
            </w:pPr>
            <w:proofErr w:type="spellStart"/>
            <w:r w:rsidRPr="00F240E7">
              <w:rPr>
                <w:rFonts w:ascii="Calibri" w:hAnsi="Calibri"/>
                <w:color w:val="000000"/>
              </w:rPr>
              <w:t>gdp</w:t>
            </w:r>
            <w:proofErr w:type="spellEnd"/>
          </w:p>
        </w:tc>
        <w:tc>
          <w:tcPr>
            <w:tcW w:w="2230" w:type="dxa"/>
            <w:tcBorders>
              <w:top w:val="single" w:sz="4" w:space="0" w:color="8EA9DB"/>
              <w:left w:val="nil"/>
              <w:bottom w:val="single" w:sz="4" w:space="0" w:color="8EA9DB"/>
              <w:right w:val="nil"/>
            </w:tcBorders>
            <w:shd w:val="clear" w:color="D9E1F2" w:fill="D9E1F2"/>
            <w:noWrap/>
            <w:vAlign w:val="bottom"/>
            <w:hideMark/>
          </w:tcPr>
          <w:p w14:paraId="0A855388"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875" w:type="dxa"/>
            <w:tcBorders>
              <w:top w:val="single" w:sz="4" w:space="0" w:color="8EA9DB"/>
              <w:left w:val="nil"/>
              <w:bottom w:val="single" w:sz="4" w:space="0" w:color="8EA9DB"/>
              <w:right w:val="nil"/>
            </w:tcBorders>
            <w:shd w:val="clear" w:color="D9E1F2" w:fill="D9E1F2"/>
            <w:noWrap/>
            <w:vAlign w:val="bottom"/>
            <w:hideMark/>
          </w:tcPr>
          <w:p w14:paraId="37E24DF1"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672" w:type="dxa"/>
            <w:tcBorders>
              <w:top w:val="single" w:sz="4" w:space="0" w:color="8EA9DB"/>
              <w:left w:val="nil"/>
              <w:bottom w:val="single" w:sz="4" w:space="0" w:color="8EA9DB"/>
              <w:right w:val="nil"/>
            </w:tcBorders>
            <w:shd w:val="clear" w:color="D9E1F2" w:fill="D9E1F2"/>
            <w:noWrap/>
            <w:vAlign w:val="bottom"/>
            <w:hideMark/>
          </w:tcPr>
          <w:p w14:paraId="7FD4DF9A" w14:textId="77777777" w:rsidR="00F240E7" w:rsidRPr="00F240E7" w:rsidRDefault="00F240E7" w:rsidP="00F240E7">
            <w:pPr>
              <w:jc w:val="right"/>
              <w:rPr>
                <w:rFonts w:ascii="Calibri" w:hAnsi="Calibri"/>
                <w:color w:val="000000"/>
              </w:rPr>
            </w:pPr>
            <w:r w:rsidRPr="00F240E7">
              <w:rPr>
                <w:rFonts w:ascii="Calibri" w:hAnsi="Calibri"/>
                <w:color w:val="000000"/>
              </w:rPr>
              <w:t>-2.87</w:t>
            </w:r>
          </w:p>
        </w:tc>
        <w:tc>
          <w:tcPr>
            <w:tcW w:w="1672" w:type="dxa"/>
            <w:tcBorders>
              <w:top w:val="single" w:sz="4" w:space="0" w:color="8EA9DB"/>
              <w:left w:val="nil"/>
              <w:bottom w:val="single" w:sz="4" w:space="0" w:color="8EA9DB"/>
              <w:right w:val="single" w:sz="4" w:space="0" w:color="8EA9DB"/>
            </w:tcBorders>
            <w:shd w:val="clear" w:color="D9E1F2" w:fill="D9E1F2"/>
            <w:noWrap/>
            <w:vAlign w:val="bottom"/>
            <w:hideMark/>
          </w:tcPr>
          <w:p w14:paraId="24931AF9"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r>
      <w:tr w:rsidR="00F240E7" w:rsidRPr="00F240E7" w14:paraId="516EC0E9"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auto" w:fill="auto"/>
            <w:noWrap/>
            <w:vAlign w:val="bottom"/>
            <w:hideMark/>
          </w:tcPr>
          <w:p w14:paraId="20CF9FE1" w14:textId="77777777" w:rsidR="00F240E7" w:rsidRPr="00F240E7" w:rsidRDefault="00F240E7" w:rsidP="00F240E7">
            <w:pPr>
              <w:rPr>
                <w:rFonts w:ascii="Calibri" w:hAnsi="Calibri"/>
                <w:color w:val="000000"/>
              </w:rPr>
            </w:pPr>
            <w:proofErr w:type="spellStart"/>
            <w:r w:rsidRPr="00F240E7">
              <w:rPr>
                <w:rFonts w:ascii="Calibri" w:hAnsi="Calibri"/>
                <w:color w:val="000000"/>
              </w:rPr>
              <w:t>govSpend</w:t>
            </w:r>
            <w:proofErr w:type="spellEnd"/>
          </w:p>
        </w:tc>
        <w:tc>
          <w:tcPr>
            <w:tcW w:w="2230" w:type="dxa"/>
            <w:tcBorders>
              <w:top w:val="single" w:sz="4" w:space="0" w:color="8EA9DB"/>
              <w:left w:val="nil"/>
              <w:bottom w:val="single" w:sz="4" w:space="0" w:color="8EA9DB"/>
              <w:right w:val="nil"/>
            </w:tcBorders>
            <w:shd w:val="clear" w:color="auto" w:fill="auto"/>
            <w:noWrap/>
            <w:vAlign w:val="bottom"/>
            <w:hideMark/>
          </w:tcPr>
          <w:p w14:paraId="58352D77"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875" w:type="dxa"/>
            <w:tcBorders>
              <w:top w:val="single" w:sz="4" w:space="0" w:color="8EA9DB"/>
              <w:left w:val="nil"/>
              <w:bottom w:val="single" w:sz="4" w:space="0" w:color="8EA9DB"/>
              <w:right w:val="nil"/>
            </w:tcBorders>
            <w:shd w:val="clear" w:color="auto" w:fill="auto"/>
            <w:noWrap/>
            <w:vAlign w:val="bottom"/>
            <w:hideMark/>
          </w:tcPr>
          <w:p w14:paraId="0B1E06F3"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672" w:type="dxa"/>
            <w:tcBorders>
              <w:top w:val="single" w:sz="4" w:space="0" w:color="8EA9DB"/>
              <w:left w:val="nil"/>
              <w:bottom w:val="single" w:sz="4" w:space="0" w:color="8EA9DB"/>
              <w:right w:val="nil"/>
            </w:tcBorders>
            <w:shd w:val="clear" w:color="auto" w:fill="auto"/>
            <w:noWrap/>
            <w:vAlign w:val="bottom"/>
            <w:hideMark/>
          </w:tcPr>
          <w:p w14:paraId="19FD4E27" w14:textId="77777777" w:rsidR="00F240E7" w:rsidRPr="00F240E7" w:rsidRDefault="00F240E7" w:rsidP="00F240E7">
            <w:pPr>
              <w:jc w:val="right"/>
              <w:rPr>
                <w:rFonts w:ascii="Calibri" w:hAnsi="Calibri"/>
                <w:color w:val="000000"/>
              </w:rPr>
            </w:pPr>
            <w:r w:rsidRPr="00F240E7">
              <w:rPr>
                <w:rFonts w:ascii="Calibri" w:hAnsi="Calibri"/>
                <w:color w:val="000000"/>
              </w:rPr>
              <w:t>3.16</w:t>
            </w:r>
          </w:p>
        </w:tc>
        <w:tc>
          <w:tcPr>
            <w:tcW w:w="1672" w:type="dxa"/>
            <w:tcBorders>
              <w:top w:val="single" w:sz="4" w:space="0" w:color="8EA9DB"/>
              <w:left w:val="nil"/>
              <w:bottom w:val="single" w:sz="4" w:space="0" w:color="8EA9DB"/>
              <w:right w:val="single" w:sz="4" w:space="0" w:color="8EA9DB"/>
            </w:tcBorders>
            <w:shd w:val="clear" w:color="auto" w:fill="auto"/>
            <w:noWrap/>
            <w:vAlign w:val="bottom"/>
            <w:hideMark/>
          </w:tcPr>
          <w:p w14:paraId="25ABF8A6"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r>
      <w:tr w:rsidR="00F240E7" w:rsidRPr="00F240E7" w14:paraId="3EFADA34"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D9E1F2" w:fill="D9E1F2"/>
            <w:noWrap/>
            <w:vAlign w:val="bottom"/>
            <w:hideMark/>
          </w:tcPr>
          <w:p w14:paraId="20EB84DC" w14:textId="77777777" w:rsidR="00F240E7" w:rsidRPr="00F240E7" w:rsidRDefault="00F240E7" w:rsidP="00F240E7">
            <w:pPr>
              <w:rPr>
                <w:rFonts w:ascii="Calibri" w:hAnsi="Calibri"/>
                <w:color w:val="000000"/>
              </w:rPr>
            </w:pPr>
            <w:proofErr w:type="spellStart"/>
            <w:r w:rsidRPr="00F240E7">
              <w:rPr>
                <w:rFonts w:ascii="Calibri" w:hAnsi="Calibri"/>
                <w:color w:val="000000"/>
              </w:rPr>
              <w:t>popDen</w:t>
            </w:r>
            <w:proofErr w:type="spellEnd"/>
          </w:p>
        </w:tc>
        <w:tc>
          <w:tcPr>
            <w:tcW w:w="2230" w:type="dxa"/>
            <w:tcBorders>
              <w:top w:val="single" w:sz="4" w:space="0" w:color="8EA9DB"/>
              <w:left w:val="nil"/>
              <w:bottom w:val="single" w:sz="4" w:space="0" w:color="8EA9DB"/>
              <w:right w:val="nil"/>
            </w:tcBorders>
            <w:shd w:val="clear" w:color="D9E1F2" w:fill="D9E1F2"/>
            <w:noWrap/>
            <w:vAlign w:val="bottom"/>
            <w:hideMark/>
          </w:tcPr>
          <w:p w14:paraId="0654BA13" w14:textId="77777777" w:rsidR="00F240E7" w:rsidRPr="00F240E7" w:rsidRDefault="00F240E7" w:rsidP="00F240E7">
            <w:pPr>
              <w:jc w:val="right"/>
              <w:rPr>
                <w:rFonts w:ascii="Calibri" w:hAnsi="Calibri"/>
                <w:color w:val="000000"/>
              </w:rPr>
            </w:pPr>
            <w:r w:rsidRPr="00F240E7">
              <w:rPr>
                <w:rFonts w:ascii="Calibri" w:hAnsi="Calibri"/>
                <w:color w:val="000000"/>
              </w:rPr>
              <w:t>0.01</w:t>
            </w:r>
          </w:p>
        </w:tc>
        <w:tc>
          <w:tcPr>
            <w:tcW w:w="1875" w:type="dxa"/>
            <w:tcBorders>
              <w:top w:val="single" w:sz="4" w:space="0" w:color="8EA9DB"/>
              <w:left w:val="nil"/>
              <w:bottom w:val="single" w:sz="4" w:space="0" w:color="8EA9DB"/>
              <w:right w:val="nil"/>
            </w:tcBorders>
            <w:shd w:val="clear" w:color="D9E1F2" w:fill="D9E1F2"/>
            <w:noWrap/>
            <w:vAlign w:val="bottom"/>
            <w:hideMark/>
          </w:tcPr>
          <w:p w14:paraId="7B732FAF" w14:textId="77777777" w:rsidR="00F240E7" w:rsidRPr="00F240E7" w:rsidRDefault="00F240E7" w:rsidP="00F240E7">
            <w:pPr>
              <w:jc w:val="right"/>
              <w:rPr>
                <w:rFonts w:ascii="Calibri" w:hAnsi="Calibri"/>
                <w:color w:val="000000"/>
              </w:rPr>
            </w:pPr>
            <w:r w:rsidRPr="00F240E7">
              <w:rPr>
                <w:rFonts w:ascii="Calibri" w:hAnsi="Calibri"/>
                <w:color w:val="000000"/>
              </w:rPr>
              <w:t>0.01</w:t>
            </w:r>
          </w:p>
        </w:tc>
        <w:tc>
          <w:tcPr>
            <w:tcW w:w="1672" w:type="dxa"/>
            <w:tcBorders>
              <w:top w:val="single" w:sz="4" w:space="0" w:color="8EA9DB"/>
              <w:left w:val="nil"/>
              <w:bottom w:val="single" w:sz="4" w:space="0" w:color="8EA9DB"/>
              <w:right w:val="nil"/>
            </w:tcBorders>
            <w:shd w:val="clear" w:color="D9E1F2" w:fill="D9E1F2"/>
            <w:noWrap/>
            <w:vAlign w:val="bottom"/>
            <w:hideMark/>
          </w:tcPr>
          <w:p w14:paraId="0CF9430A" w14:textId="77777777" w:rsidR="00F240E7" w:rsidRPr="00F240E7" w:rsidRDefault="00F240E7" w:rsidP="00F240E7">
            <w:pPr>
              <w:jc w:val="right"/>
              <w:rPr>
                <w:rFonts w:ascii="Calibri" w:hAnsi="Calibri"/>
                <w:color w:val="000000"/>
              </w:rPr>
            </w:pPr>
            <w:r w:rsidRPr="00F240E7">
              <w:rPr>
                <w:rFonts w:ascii="Calibri" w:hAnsi="Calibri"/>
                <w:color w:val="000000"/>
              </w:rPr>
              <w:t>0.92</w:t>
            </w:r>
          </w:p>
        </w:tc>
        <w:tc>
          <w:tcPr>
            <w:tcW w:w="1672" w:type="dxa"/>
            <w:tcBorders>
              <w:top w:val="single" w:sz="4" w:space="0" w:color="8EA9DB"/>
              <w:left w:val="nil"/>
              <w:bottom w:val="single" w:sz="4" w:space="0" w:color="8EA9DB"/>
              <w:right w:val="single" w:sz="4" w:space="0" w:color="8EA9DB"/>
            </w:tcBorders>
            <w:shd w:val="clear" w:color="D9E1F2" w:fill="D9E1F2"/>
            <w:noWrap/>
            <w:vAlign w:val="bottom"/>
            <w:hideMark/>
          </w:tcPr>
          <w:p w14:paraId="518D90DA" w14:textId="77777777" w:rsidR="00F240E7" w:rsidRPr="00F240E7" w:rsidRDefault="00F240E7" w:rsidP="00F240E7">
            <w:pPr>
              <w:jc w:val="right"/>
              <w:rPr>
                <w:rFonts w:ascii="Calibri" w:hAnsi="Calibri"/>
                <w:color w:val="000000"/>
              </w:rPr>
            </w:pPr>
            <w:r w:rsidRPr="00F240E7">
              <w:rPr>
                <w:rFonts w:ascii="Calibri" w:hAnsi="Calibri"/>
                <w:color w:val="000000"/>
              </w:rPr>
              <w:t>0.36</w:t>
            </w:r>
          </w:p>
        </w:tc>
      </w:tr>
      <w:tr w:rsidR="00F240E7" w:rsidRPr="00F240E7" w14:paraId="25ADF0C9"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auto" w:fill="auto"/>
            <w:noWrap/>
            <w:vAlign w:val="bottom"/>
            <w:hideMark/>
          </w:tcPr>
          <w:p w14:paraId="3891E305" w14:textId="77777777" w:rsidR="00F240E7" w:rsidRPr="00F240E7" w:rsidRDefault="00F240E7" w:rsidP="00F240E7">
            <w:pPr>
              <w:rPr>
                <w:rFonts w:ascii="Calibri" w:hAnsi="Calibri"/>
                <w:color w:val="000000"/>
              </w:rPr>
            </w:pPr>
            <w:proofErr w:type="spellStart"/>
            <w:r w:rsidRPr="00F240E7">
              <w:rPr>
                <w:rFonts w:ascii="Calibri" w:hAnsi="Calibri"/>
                <w:color w:val="000000"/>
              </w:rPr>
              <w:t>urbPop</w:t>
            </w:r>
            <w:proofErr w:type="spellEnd"/>
          </w:p>
        </w:tc>
        <w:tc>
          <w:tcPr>
            <w:tcW w:w="2230" w:type="dxa"/>
            <w:tcBorders>
              <w:top w:val="single" w:sz="4" w:space="0" w:color="8EA9DB"/>
              <w:left w:val="nil"/>
              <w:bottom w:val="single" w:sz="4" w:space="0" w:color="8EA9DB"/>
              <w:right w:val="nil"/>
            </w:tcBorders>
            <w:shd w:val="clear" w:color="auto" w:fill="auto"/>
            <w:noWrap/>
            <w:vAlign w:val="bottom"/>
            <w:hideMark/>
          </w:tcPr>
          <w:p w14:paraId="4FBF0065" w14:textId="77777777" w:rsidR="00F240E7" w:rsidRPr="00F240E7" w:rsidRDefault="00F240E7" w:rsidP="00F240E7">
            <w:pPr>
              <w:jc w:val="right"/>
              <w:rPr>
                <w:rFonts w:ascii="Calibri" w:hAnsi="Calibri"/>
                <w:color w:val="000000"/>
              </w:rPr>
            </w:pPr>
            <w:r w:rsidRPr="00F240E7">
              <w:rPr>
                <w:rFonts w:ascii="Calibri" w:hAnsi="Calibri"/>
                <w:color w:val="000000"/>
              </w:rPr>
              <w:t>0.12</w:t>
            </w:r>
          </w:p>
        </w:tc>
        <w:tc>
          <w:tcPr>
            <w:tcW w:w="1875" w:type="dxa"/>
            <w:tcBorders>
              <w:top w:val="single" w:sz="4" w:space="0" w:color="8EA9DB"/>
              <w:left w:val="nil"/>
              <w:bottom w:val="single" w:sz="4" w:space="0" w:color="8EA9DB"/>
              <w:right w:val="nil"/>
            </w:tcBorders>
            <w:shd w:val="clear" w:color="auto" w:fill="auto"/>
            <w:noWrap/>
            <w:vAlign w:val="bottom"/>
            <w:hideMark/>
          </w:tcPr>
          <w:p w14:paraId="6D7F0AC4" w14:textId="77777777" w:rsidR="00F240E7" w:rsidRPr="00F240E7" w:rsidRDefault="00F240E7" w:rsidP="00F240E7">
            <w:pPr>
              <w:jc w:val="right"/>
              <w:rPr>
                <w:rFonts w:ascii="Calibri" w:hAnsi="Calibri"/>
                <w:color w:val="000000"/>
              </w:rPr>
            </w:pPr>
            <w:r w:rsidRPr="00F240E7">
              <w:rPr>
                <w:rFonts w:ascii="Calibri" w:hAnsi="Calibri"/>
                <w:color w:val="000000"/>
              </w:rPr>
              <w:t>0.03</w:t>
            </w:r>
          </w:p>
        </w:tc>
        <w:tc>
          <w:tcPr>
            <w:tcW w:w="1672" w:type="dxa"/>
            <w:tcBorders>
              <w:top w:val="single" w:sz="4" w:space="0" w:color="8EA9DB"/>
              <w:left w:val="nil"/>
              <w:bottom w:val="single" w:sz="4" w:space="0" w:color="8EA9DB"/>
              <w:right w:val="nil"/>
            </w:tcBorders>
            <w:shd w:val="clear" w:color="auto" w:fill="auto"/>
            <w:noWrap/>
            <w:vAlign w:val="bottom"/>
            <w:hideMark/>
          </w:tcPr>
          <w:p w14:paraId="3DCCE682" w14:textId="77777777" w:rsidR="00F240E7" w:rsidRPr="00F240E7" w:rsidRDefault="00F240E7" w:rsidP="00F240E7">
            <w:pPr>
              <w:jc w:val="right"/>
              <w:rPr>
                <w:rFonts w:ascii="Calibri" w:hAnsi="Calibri"/>
                <w:color w:val="000000"/>
              </w:rPr>
            </w:pPr>
            <w:r w:rsidRPr="00F240E7">
              <w:rPr>
                <w:rFonts w:ascii="Calibri" w:hAnsi="Calibri"/>
                <w:color w:val="000000"/>
              </w:rPr>
              <w:t>4.47</w:t>
            </w:r>
          </w:p>
        </w:tc>
        <w:tc>
          <w:tcPr>
            <w:tcW w:w="1672" w:type="dxa"/>
            <w:tcBorders>
              <w:top w:val="single" w:sz="4" w:space="0" w:color="8EA9DB"/>
              <w:left w:val="nil"/>
              <w:bottom w:val="single" w:sz="4" w:space="0" w:color="8EA9DB"/>
              <w:right w:val="single" w:sz="4" w:space="0" w:color="8EA9DB"/>
            </w:tcBorders>
            <w:shd w:val="clear" w:color="auto" w:fill="auto"/>
            <w:noWrap/>
            <w:vAlign w:val="bottom"/>
            <w:hideMark/>
          </w:tcPr>
          <w:p w14:paraId="78B3D2E1"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r>
      <w:tr w:rsidR="00F240E7" w:rsidRPr="00F240E7" w14:paraId="40D6AB39"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D9E1F2" w:fill="D9E1F2"/>
            <w:noWrap/>
            <w:vAlign w:val="bottom"/>
            <w:hideMark/>
          </w:tcPr>
          <w:p w14:paraId="1CFB09FE" w14:textId="77777777" w:rsidR="00F240E7" w:rsidRPr="00F240E7" w:rsidRDefault="00F240E7" w:rsidP="00F240E7">
            <w:pPr>
              <w:rPr>
                <w:rFonts w:ascii="Calibri" w:hAnsi="Calibri"/>
                <w:color w:val="000000"/>
              </w:rPr>
            </w:pPr>
            <w:proofErr w:type="spellStart"/>
            <w:r w:rsidRPr="00F240E7">
              <w:rPr>
                <w:rFonts w:ascii="Calibri" w:hAnsi="Calibri"/>
                <w:color w:val="000000"/>
              </w:rPr>
              <w:t>unemploy</w:t>
            </w:r>
            <w:proofErr w:type="spellEnd"/>
          </w:p>
        </w:tc>
        <w:tc>
          <w:tcPr>
            <w:tcW w:w="2230" w:type="dxa"/>
            <w:tcBorders>
              <w:top w:val="single" w:sz="4" w:space="0" w:color="8EA9DB"/>
              <w:left w:val="nil"/>
              <w:bottom w:val="single" w:sz="4" w:space="0" w:color="8EA9DB"/>
              <w:right w:val="nil"/>
            </w:tcBorders>
            <w:shd w:val="clear" w:color="D9E1F2" w:fill="D9E1F2"/>
            <w:noWrap/>
            <w:vAlign w:val="bottom"/>
            <w:hideMark/>
          </w:tcPr>
          <w:p w14:paraId="65BB06E0" w14:textId="77777777" w:rsidR="00F240E7" w:rsidRPr="00F240E7" w:rsidRDefault="00F240E7" w:rsidP="00F240E7">
            <w:pPr>
              <w:jc w:val="right"/>
              <w:rPr>
                <w:rFonts w:ascii="Calibri" w:hAnsi="Calibri"/>
                <w:color w:val="000000"/>
              </w:rPr>
            </w:pPr>
            <w:r w:rsidRPr="00F240E7">
              <w:rPr>
                <w:rFonts w:ascii="Calibri" w:hAnsi="Calibri"/>
                <w:color w:val="000000"/>
              </w:rPr>
              <w:t>-0.40</w:t>
            </w:r>
          </w:p>
        </w:tc>
        <w:tc>
          <w:tcPr>
            <w:tcW w:w="1875" w:type="dxa"/>
            <w:tcBorders>
              <w:top w:val="single" w:sz="4" w:space="0" w:color="8EA9DB"/>
              <w:left w:val="nil"/>
              <w:bottom w:val="single" w:sz="4" w:space="0" w:color="8EA9DB"/>
              <w:right w:val="nil"/>
            </w:tcBorders>
            <w:shd w:val="clear" w:color="D9E1F2" w:fill="D9E1F2"/>
            <w:noWrap/>
            <w:vAlign w:val="bottom"/>
            <w:hideMark/>
          </w:tcPr>
          <w:p w14:paraId="5303A2A7" w14:textId="77777777" w:rsidR="00F240E7" w:rsidRPr="00F240E7" w:rsidRDefault="00F240E7" w:rsidP="00F240E7">
            <w:pPr>
              <w:jc w:val="right"/>
              <w:rPr>
                <w:rFonts w:ascii="Calibri" w:hAnsi="Calibri"/>
                <w:color w:val="000000"/>
              </w:rPr>
            </w:pPr>
            <w:r w:rsidRPr="00F240E7">
              <w:rPr>
                <w:rFonts w:ascii="Calibri" w:hAnsi="Calibri"/>
                <w:color w:val="000000"/>
              </w:rPr>
              <w:t>0.12</w:t>
            </w:r>
          </w:p>
        </w:tc>
        <w:tc>
          <w:tcPr>
            <w:tcW w:w="1672" w:type="dxa"/>
            <w:tcBorders>
              <w:top w:val="single" w:sz="4" w:space="0" w:color="8EA9DB"/>
              <w:left w:val="nil"/>
              <w:bottom w:val="single" w:sz="4" w:space="0" w:color="8EA9DB"/>
              <w:right w:val="nil"/>
            </w:tcBorders>
            <w:shd w:val="clear" w:color="D9E1F2" w:fill="D9E1F2"/>
            <w:noWrap/>
            <w:vAlign w:val="bottom"/>
            <w:hideMark/>
          </w:tcPr>
          <w:p w14:paraId="4D83D45B" w14:textId="77777777" w:rsidR="00F240E7" w:rsidRPr="00F240E7" w:rsidRDefault="00F240E7" w:rsidP="00F240E7">
            <w:pPr>
              <w:jc w:val="right"/>
              <w:rPr>
                <w:rFonts w:ascii="Calibri" w:hAnsi="Calibri"/>
                <w:color w:val="000000"/>
              </w:rPr>
            </w:pPr>
            <w:r w:rsidRPr="00F240E7">
              <w:rPr>
                <w:rFonts w:ascii="Calibri" w:hAnsi="Calibri"/>
                <w:color w:val="000000"/>
              </w:rPr>
              <w:t>-3.30</w:t>
            </w:r>
          </w:p>
        </w:tc>
        <w:tc>
          <w:tcPr>
            <w:tcW w:w="1672" w:type="dxa"/>
            <w:tcBorders>
              <w:top w:val="single" w:sz="4" w:space="0" w:color="8EA9DB"/>
              <w:left w:val="nil"/>
              <w:bottom w:val="single" w:sz="4" w:space="0" w:color="8EA9DB"/>
              <w:right w:val="single" w:sz="4" w:space="0" w:color="8EA9DB"/>
            </w:tcBorders>
            <w:shd w:val="clear" w:color="D9E1F2" w:fill="D9E1F2"/>
            <w:noWrap/>
            <w:vAlign w:val="bottom"/>
            <w:hideMark/>
          </w:tcPr>
          <w:p w14:paraId="55769248"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r>
      <w:tr w:rsidR="00F240E7" w:rsidRPr="00F240E7" w14:paraId="3DA4706F"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auto" w:fill="auto"/>
            <w:noWrap/>
            <w:vAlign w:val="bottom"/>
            <w:hideMark/>
          </w:tcPr>
          <w:p w14:paraId="06738619" w14:textId="77777777" w:rsidR="00F240E7" w:rsidRPr="00F240E7" w:rsidRDefault="00F240E7" w:rsidP="00F240E7">
            <w:pPr>
              <w:rPr>
                <w:rFonts w:ascii="Calibri" w:hAnsi="Calibri"/>
                <w:color w:val="000000"/>
              </w:rPr>
            </w:pPr>
            <w:proofErr w:type="spellStart"/>
            <w:r w:rsidRPr="00F240E7">
              <w:rPr>
                <w:rFonts w:ascii="Calibri" w:hAnsi="Calibri"/>
                <w:color w:val="000000"/>
              </w:rPr>
              <w:t>fdi</w:t>
            </w:r>
            <w:proofErr w:type="spellEnd"/>
          </w:p>
        </w:tc>
        <w:tc>
          <w:tcPr>
            <w:tcW w:w="2230" w:type="dxa"/>
            <w:tcBorders>
              <w:top w:val="single" w:sz="4" w:space="0" w:color="8EA9DB"/>
              <w:left w:val="nil"/>
              <w:bottom w:val="single" w:sz="4" w:space="0" w:color="8EA9DB"/>
              <w:right w:val="nil"/>
            </w:tcBorders>
            <w:shd w:val="clear" w:color="auto" w:fill="auto"/>
            <w:noWrap/>
            <w:vAlign w:val="bottom"/>
            <w:hideMark/>
          </w:tcPr>
          <w:p w14:paraId="18EC1F23"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875" w:type="dxa"/>
            <w:tcBorders>
              <w:top w:val="single" w:sz="4" w:space="0" w:color="8EA9DB"/>
              <w:left w:val="nil"/>
              <w:bottom w:val="single" w:sz="4" w:space="0" w:color="8EA9DB"/>
              <w:right w:val="nil"/>
            </w:tcBorders>
            <w:shd w:val="clear" w:color="auto" w:fill="auto"/>
            <w:noWrap/>
            <w:vAlign w:val="bottom"/>
            <w:hideMark/>
          </w:tcPr>
          <w:p w14:paraId="35734214"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672" w:type="dxa"/>
            <w:tcBorders>
              <w:top w:val="single" w:sz="4" w:space="0" w:color="8EA9DB"/>
              <w:left w:val="nil"/>
              <w:bottom w:val="single" w:sz="4" w:space="0" w:color="8EA9DB"/>
              <w:right w:val="nil"/>
            </w:tcBorders>
            <w:shd w:val="clear" w:color="auto" w:fill="auto"/>
            <w:noWrap/>
            <w:vAlign w:val="bottom"/>
            <w:hideMark/>
          </w:tcPr>
          <w:p w14:paraId="21BAD43B" w14:textId="77777777" w:rsidR="00F240E7" w:rsidRPr="00F240E7" w:rsidRDefault="00F240E7" w:rsidP="00F240E7">
            <w:pPr>
              <w:jc w:val="right"/>
              <w:rPr>
                <w:rFonts w:ascii="Calibri" w:hAnsi="Calibri"/>
                <w:color w:val="000000"/>
              </w:rPr>
            </w:pPr>
            <w:r w:rsidRPr="00F240E7">
              <w:rPr>
                <w:rFonts w:ascii="Calibri" w:hAnsi="Calibri"/>
                <w:color w:val="000000"/>
              </w:rPr>
              <w:t>-2.05</w:t>
            </w:r>
          </w:p>
        </w:tc>
        <w:tc>
          <w:tcPr>
            <w:tcW w:w="1672" w:type="dxa"/>
            <w:tcBorders>
              <w:top w:val="single" w:sz="4" w:space="0" w:color="8EA9DB"/>
              <w:left w:val="nil"/>
              <w:bottom w:val="single" w:sz="4" w:space="0" w:color="8EA9DB"/>
              <w:right w:val="single" w:sz="4" w:space="0" w:color="8EA9DB"/>
            </w:tcBorders>
            <w:shd w:val="clear" w:color="auto" w:fill="auto"/>
            <w:noWrap/>
            <w:vAlign w:val="bottom"/>
            <w:hideMark/>
          </w:tcPr>
          <w:p w14:paraId="176CA28B" w14:textId="77777777" w:rsidR="00F240E7" w:rsidRPr="00F240E7" w:rsidRDefault="00F240E7" w:rsidP="00F240E7">
            <w:pPr>
              <w:jc w:val="right"/>
              <w:rPr>
                <w:rFonts w:ascii="Calibri" w:hAnsi="Calibri"/>
                <w:color w:val="000000"/>
              </w:rPr>
            </w:pPr>
            <w:r w:rsidRPr="00F240E7">
              <w:rPr>
                <w:rFonts w:ascii="Calibri" w:hAnsi="Calibri"/>
                <w:color w:val="000000"/>
              </w:rPr>
              <w:t>0.04</w:t>
            </w:r>
          </w:p>
        </w:tc>
      </w:tr>
      <w:tr w:rsidR="00F240E7" w:rsidRPr="00F240E7" w14:paraId="5D7CC75F"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D9E1F2" w:fill="D9E1F2"/>
            <w:noWrap/>
            <w:vAlign w:val="bottom"/>
            <w:hideMark/>
          </w:tcPr>
          <w:p w14:paraId="687A262B" w14:textId="77777777" w:rsidR="00F240E7" w:rsidRPr="00F240E7" w:rsidRDefault="00F240E7" w:rsidP="00F240E7">
            <w:pPr>
              <w:rPr>
                <w:rFonts w:ascii="Calibri" w:hAnsi="Calibri"/>
                <w:color w:val="000000"/>
              </w:rPr>
            </w:pPr>
            <w:r w:rsidRPr="00F240E7">
              <w:rPr>
                <w:rFonts w:ascii="Calibri" w:hAnsi="Calibri"/>
                <w:color w:val="000000"/>
              </w:rPr>
              <w:t>conflict</w:t>
            </w:r>
          </w:p>
        </w:tc>
        <w:tc>
          <w:tcPr>
            <w:tcW w:w="2230" w:type="dxa"/>
            <w:tcBorders>
              <w:top w:val="single" w:sz="4" w:space="0" w:color="8EA9DB"/>
              <w:left w:val="nil"/>
              <w:bottom w:val="single" w:sz="4" w:space="0" w:color="8EA9DB"/>
              <w:right w:val="nil"/>
            </w:tcBorders>
            <w:shd w:val="clear" w:color="D9E1F2" w:fill="D9E1F2"/>
            <w:noWrap/>
            <w:vAlign w:val="bottom"/>
            <w:hideMark/>
          </w:tcPr>
          <w:p w14:paraId="31172347" w14:textId="77777777" w:rsidR="00F240E7" w:rsidRPr="00F240E7" w:rsidRDefault="00F240E7" w:rsidP="00F240E7">
            <w:pPr>
              <w:jc w:val="right"/>
              <w:rPr>
                <w:rFonts w:ascii="Calibri" w:hAnsi="Calibri"/>
                <w:color w:val="000000"/>
              </w:rPr>
            </w:pPr>
            <w:r w:rsidRPr="00F240E7">
              <w:rPr>
                <w:rFonts w:ascii="Calibri" w:hAnsi="Calibri"/>
                <w:color w:val="000000"/>
              </w:rPr>
              <w:t>-1.83</w:t>
            </w:r>
          </w:p>
        </w:tc>
        <w:tc>
          <w:tcPr>
            <w:tcW w:w="1875" w:type="dxa"/>
            <w:tcBorders>
              <w:top w:val="single" w:sz="4" w:space="0" w:color="8EA9DB"/>
              <w:left w:val="nil"/>
              <w:bottom w:val="single" w:sz="4" w:space="0" w:color="8EA9DB"/>
              <w:right w:val="nil"/>
            </w:tcBorders>
            <w:shd w:val="clear" w:color="D9E1F2" w:fill="D9E1F2"/>
            <w:noWrap/>
            <w:vAlign w:val="bottom"/>
            <w:hideMark/>
          </w:tcPr>
          <w:p w14:paraId="5FB12499" w14:textId="77777777" w:rsidR="00F240E7" w:rsidRPr="00F240E7" w:rsidRDefault="00F240E7" w:rsidP="00F240E7">
            <w:pPr>
              <w:jc w:val="right"/>
              <w:rPr>
                <w:rFonts w:ascii="Calibri" w:hAnsi="Calibri"/>
                <w:color w:val="000000"/>
              </w:rPr>
            </w:pPr>
            <w:r w:rsidRPr="00F240E7">
              <w:rPr>
                <w:rFonts w:ascii="Calibri" w:hAnsi="Calibri"/>
                <w:color w:val="000000"/>
              </w:rPr>
              <w:t>0.91</w:t>
            </w:r>
          </w:p>
        </w:tc>
        <w:tc>
          <w:tcPr>
            <w:tcW w:w="1672" w:type="dxa"/>
            <w:tcBorders>
              <w:top w:val="single" w:sz="4" w:space="0" w:color="8EA9DB"/>
              <w:left w:val="nil"/>
              <w:bottom w:val="single" w:sz="4" w:space="0" w:color="8EA9DB"/>
              <w:right w:val="nil"/>
            </w:tcBorders>
            <w:shd w:val="clear" w:color="D9E1F2" w:fill="D9E1F2"/>
            <w:noWrap/>
            <w:vAlign w:val="bottom"/>
            <w:hideMark/>
          </w:tcPr>
          <w:p w14:paraId="29D5D833" w14:textId="77777777" w:rsidR="00F240E7" w:rsidRPr="00F240E7" w:rsidRDefault="00F240E7" w:rsidP="00F240E7">
            <w:pPr>
              <w:jc w:val="right"/>
              <w:rPr>
                <w:rFonts w:ascii="Calibri" w:hAnsi="Calibri"/>
                <w:color w:val="000000"/>
              </w:rPr>
            </w:pPr>
            <w:r w:rsidRPr="00F240E7">
              <w:rPr>
                <w:rFonts w:ascii="Calibri" w:hAnsi="Calibri"/>
                <w:color w:val="000000"/>
              </w:rPr>
              <w:t>-2.01</w:t>
            </w:r>
          </w:p>
        </w:tc>
        <w:tc>
          <w:tcPr>
            <w:tcW w:w="1672" w:type="dxa"/>
            <w:tcBorders>
              <w:top w:val="single" w:sz="4" w:space="0" w:color="8EA9DB"/>
              <w:left w:val="nil"/>
              <w:bottom w:val="single" w:sz="4" w:space="0" w:color="8EA9DB"/>
              <w:right w:val="single" w:sz="4" w:space="0" w:color="8EA9DB"/>
            </w:tcBorders>
            <w:shd w:val="clear" w:color="D9E1F2" w:fill="D9E1F2"/>
            <w:noWrap/>
            <w:vAlign w:val="bottom"/>
            <w:hideMark/>
          </w:tcPr>
          <w:p w14:paraId="0BD3F579" w14:textId="77777777" w:rsidR="00F240E7" w:rsidRPr="00F240E7" w:rsidRDefault="00F240E7" w:rsidP="00F240E7">
            <w:pPr>
              <w:jc w:val="right"/>
              <w:rPr>
                <w:rFonts w:ascii="Calibri" w:hAnsi="Calibri"/>
                <w:color w:val="000000"/>
              </w:rPr>
            </w:pPr>
            <w:r w:rsidRPr="00F240E7">
              <w:rPr>
                <w:rFonts w:ascii="Calibri" w:hAnsi="Calibri"/>
                <w:color w:val="000000"/>
              </w:rPr>
              <w:t>0.05</w:t>
            </w:r>
          </w:p>
        </w:tc>
      </w:tr>
      <w:tr w:rsidR="00F240E7" w:rsidRPr="00F240E7" w14:paraId="38EC9D36" w14:textId="77777777" w:rsidTr="00995B17">
        <w:trPr>
          <w:trHeight w:val="328"/>
        </w:trPr>
        <w:tc>
          <w:tcPr>
            <w:tcW w:w="1647" w:type="dxa"/>
            <w:tcBorders>
              <w:top w:val="single" w:sz="4" w:space="0" w:color="8EA9DB"/>
              <w:left w:val="single" w:sz="4" w:space="0" w:color="8EA9DB"/>
              <w:bottom w:val="single" w:sz="4" w:space="0" w:color="8EA9DB"/>
              <w:right w:val="nil"/>
            </w:tcBorders>
            <w:shd w:val="clear" w:color="auto" w:fill="FFFFFF" w:themeFill="background1"/>
            <w:noWrap/>
            <w:vAlign w:val="bottom"/>
          </w:tcPr>
          <w:p w14:paraId="71C2B23C" w14:textId="6CA38061" w:rsidR="00F240E7" w:rsidRPr="00F240E7" w:rsidRDefault="00F240E7" w:rsidP="00F240E7">
            <w:pPr>
              <w:rPr>
                <w:rFonts w:ascii="Calibri" w:hAnsi="Calibri"/>
                <w:color w:val="000000"/>
              </w:rPr>
            </w:pPr>
            <w:r>
              <w:rPr>
                <w:rFonts w:ascii="Calibri" w:hAnsi="Calibri"/>
                <w:color w:val="000000"/>
              </w:rPr>
              <w:t>R-squared</w:t>
            </w:r>
          </w:p>
        </w:tc>
        <w:tc>
          <w:tcPr>
            <w:tcW w:w="2230" w:type="dxa"/>
            <w:tcBorders>
              <w:top w:val="single" w:sz="4" w:space="0" w:color="8EA9DB"/>
              <w:left w:val="nil"/>
              <w:bottom w:val="single" w:sz="4" w:space="0" w:color="8EA9DB"/>
              <w:right w:val="nil"/>
            </w:tcBorders>
            <w:shd w:val="clear" w:color="auto" w:fill="FFFFFF" w:themeFill="background1"/>
            <w:noWrap/>
            <w:vAlign w:val="bottom"/>
          </w:tcPr>
          <w:p w14:paraId="553CA839" w14:textId="1C380136" w:rsidR="00F240E7" w:rsidRPr="00F240E7" w:rsidRDefault="00F240E7" w:rsidP="00F240E7">
            <w:pPr>
              <w:jc w:val="right"/>
              <w:rPr>
                <w:rFonts w:ascii="Calibri" w:hAnsi="Calibri"/>
                <w:color w:val="000000"/>
              </w:rPr>
            </w:pPr>
            <w:r>
              <w:rPr>
                <w:rFonts w:ascii="Calibri" w:hAnsi="Calibri"/>
                <w:color w:val="000000"/>
              </w:rPr>
              <w:t>0.26</w:t>
            </w:r>
          </w:p>
        </w:tc>
        <w:tc>
          <w:tcPr>
            <w:tcW w:w="1875" w:type="dxa"/>
            <w:tcBorders>
              <w:top w:val="single" w:sz="4" w:space="0" w:color="8EA9DB"/>
              <w:left w:val="nil"/>
              <w:bottom w:val="single" w:sz="4" w:space="0" w:color="8EA9DB"/>
              <w:right w:val="nil"/>
            </w:tcBorders>
            <w:shd w:val="clear" w:color="auto" w:fill="FFFFFF" w:themeFill="background1"/>
            <w:noWrap/>
            <w:vAlign w:val="bottom"/>
          </w:tcPr>
          <w:p w14:paraId="130E7970" w14:textId="77777777" w:rsidR="00F240E7" w:rsidRPr="00F240E7" w:rsidRDefault="00F240E7" w:rsidP="00F240E7">
            <w:pPr>
              <w:jc w:val="right"/>
              <w:rPr>
                <w:rFonts w:ascii="Calibri" w:hAnsi="Calibri"/>
                <w:color w:val="000000"/>
              </w:rPr>
            </w:pPr>
          </w:p>
        </w:tc>
        <w:tc>
          <w:tcPr>
            <w:tcW w:w="1672" w:type="dxa"/>
            <w:tcBorders>
              <w:top w:val="single" w:sz="4" w:space="0" w:color="8EA9DB"/>
              <w:left w:val="nil"/>
              <w:bottom w:val="single" w:sz="4" w:space="0" w:color="8EA9DB"/>
              <w:right w:val="nil"/>
            </w:tcBorders>
            <w:shd w:val="clear" w:color="auto" w:fill="FFFFFF" w:themeFill="background1"/>
            <w:noWrap/>
            <w:vAlign w:val="bottom"/>
          </w:tcPr>
          <w:p w14:paraId="2D55724A" w14:textId="77777777" w:rsidR="00F240E7" w:rsidRPr="00F240E7" w:rsidRDefault="00F240E7" w:rsidP="00F240E7">
            <w:pPr>
              <w:jc w:val="right"/>
              <w:rPr>
                <w:rFonts w:ascii="Calibri" w:hAnsi="Calibri"/>
                <w:color w:val="000000"/>
              </w:rPr>
            </w:pPr>
          </w:p>
        </w:tc>
        <w:tc>
          <w:tcPr>
            <w:tcW w:w="1672" w:type="dxa"/>
            <w:tcBorders>
              <w:top w:val="single" w:sz="4" w:space="0" w:color="8EA9DB"/>
              <w:left w:val="nil"/>
              <w:bottom w:val="single" w:sz="4" w:space="0" w:color="8EA9DB"/>
              <w:right w:val="single" w:sz="4" w:space="0" w:color="8EA9DB"/>
            </w:tcBorders>
            <w:shd w:val="clear" w:color="auto" w:fill="FFFFFF" w:themeFill="background1"/>
            <w:noWrap/>
            <w:vAlign w:val="bottom"/>
          </w:tcPr>
          <w:p w14:paraId="420E47FD" w14:textId="77777777" w:rsidR="00F240E7" w:rsidRPr="00F240E7" w:rsidRDefault="00F240E7" w:rsidP="00F240E7">
            <w:pPr>
              <w:jc w:val="right"/>
              <w:rPr>
                <w:rFonts w:ascii="Calibri" w:hAnsi="Calibri"/>
                <w:color w:val="000000"/>
              </w:rPr>
            </w:pPr>
          </w:p>
        </w:tc>
      </w:tr>
    </w:tbl>
    <w:p w14:paraId="57FC7940" w14:textId="4AB2528C" w:rsidR="00AA4071" w:rsidRPr="000B60DD" w:rsidRDefault="000B60DD" w:rsidP="007250AB">
      <w:pPr>
        <w:rPr>
          <w:i/>
          <w:iCs/>
          <w:sz w:val="22"/>
          <w:szCs w:val="22"/>
        </w:rPr>
      </w:pPr>
      <w:r>
        <w:rPr>
          <w:i/>
          <w:iCs/>
          <w:sz w:val="22"/>
          <w:szCs w:val="22"/>
        </w:rPr>
        <w:lastRenderedPageBreak/>
        <w:t>Table 4: Model 2 estimates</w:t>
      </w:r>
    </w:p>
    <w:p w14:paraId="0B05B594" w14:textId="2EB62A98" w:rsidR="00AA4071" w:rsidRDefault="00AA4071" w:rsidP="007250AB">
      <w:pPr>
        <w:rPr>
          <w:sz w:val="22"/>
          <w:szCs w:val="22"/>
        </w:rPr>
      </w:pPr>
    </w:p>
    <w:p w14:paraId="1D8CD978" w14:textId="32DA0ACC" w:rsidR="000B60DD" w:rsidRDefault="000B60DD" w:rsidP="007250AB">
      <w:pPr>
        <w:rPr>
          <w:sz w:val="22"/>
          <w:szCs w:val="22"/>
        </w:rPr>
      </w:pPr>
      <w:r>
        <w:rPr>
          <w:sz w:val="22"/>
          <w:szCs w:val="22"/>
        </w:rPr>
        <w:tab/>
        <w:t>Model 2 finds that the relationship between</w:t>
      </w:r>
      <w:r w:rsidR="00E47CE1">
        <w:rPr>
          <w:sz w:val="22"/>
          <w:szCs w:val="22"/>
        </w:rPr>
        <w:t xml:space="preserve"> the </w:t>
      </w:r>
      <w:r w:rsidR="00E61A87">
        <w:rPr>
          <w:sz w:val="22"/>
          <w:szCs w:val="22"/>
        </w:rPr>
        <w:t>P</w:t>
      </w:r>
      <w:r w:rsidR="00E47CE1" w:rsidRPr="00E61A87">
        <w:rPr>
          <w:sz w:val="22"/>
          <w:szCs w:val="22"/>
        </w:rPr>
        <w:t>alm</w:t>
      </w:r>
      <w:r w:rsidR="00E61A87">
        <w:rPr>
          <w:sz w:val="22"/>
          <w:szCs w:val="22"/>
        </w:rPr>
        <w:t>a</w:t>
      </w:r>
      <w:r w:rsidR="00E47CE1">
        <w:rPr>
          <w:sz w:val="22"/>
          <w:szCs w:val="22"/>
        </w:rPr>
        <w:t xml:space="preserve"> ratio and the</w:t>
      </w:r>
      <w:r>
        <w:rPr>
          <w:sz w:val="22"/>
          <w:szCs w:val="22"/>
        </w:rPr>
        <w:t xml:space="preserve"> </w:t>
      </w:r>
      <w:r w:rsidR="00E47CE1">
        <w:rPr>
          <w:sz w:val="22"/>
          <w:szCs w:val="22"/>
        </w:rPr>
        <w:t xml:space="preserve">EVD </w:t>
      </w:r>
      <w:r>
        <w:rPr>
          <w:sz w:val="22"/>
          <w:szCs w:val="22"/>
        </w:rPr>
        <w:t>infection rate</w:t>
      </w:r>
      <w:r w:rsidR="00F240E7">
        <w:rPr>
          <w:sz w:val="22"/>
          <w:szCs w:val="22"/>
        </w:rPr>
        <w:t xml:space="preserve"> is </w:t>
      </w:r>
      <w:r w:rsidR="00995B17">
        <w:rPr>
          <w:sz w:val="22"/>
          <w:szCs w:val="22"/>
        </w:rPr>
        <w:t>0, with a significantly lower p-value</w:t>
      </w:r>
      <w:r w:rsidR="00F240E7">
        <w:rPr>
          <w:sz w:val="22"/>
          <w:szCs w:val="22"/>
        </w:rPr>
        <w:t xml:space="preserve"> than model 1</w:t>
      </w:r>
      <w:r w:rsidR="00E47CE1">
        <w:rPr>
          <w:sz w:val="22"/>
          <w:szCs w:val="22"/>
        </w:rPr>
        <w:t xml:space="preserve">. </w:t>
      </w:r>
      <w:r w:rsidR="00167664">
        <w:rPr>
          <w:sz w:val="22"/>
          <w:szCs w:val="22"/>
        </w:rPr>
        <w:t>Model 2 also finds a significant relationship in unemployment. As the</w:t>
      </w:r>
      <w:r w:rsidR="00167664" w:rsidRPr="00F32BB5">
        <w:rPr>
          <w:i/>
          <w:iCs/>
          <w:sz w:val="22"/>
          <w:szCs w:val="22"/>
        </w:rPr>
        <w:t xml:space="preserve"> </w:t>
      </w:r>
      <w:r w:rsidR="00E61A87">
        <w:rPr>
          <w:sz w:val="22"/>
          <w:szCs w:val="22"/>
        </w:rPr>
        <w:t>P</w:t>
      </w:r>
      <w:r w:rsidR="00167664" w:rsidRPr="00E61A87">
        <w:rPr>
          <w:sz w:val="22"/>
          <w:szCs w:val="22"/>
        </w:rPr>
        <w:t xml:space="preserve">alma </w:t>
      </w:r>
      <w:r w:rsidR="00167664">
        <w:rPr>
          <w:sz w:val="22"/>
          <w:szCs w:val="22"/>
        </w:rPr>
        <w:t xml:space="preserve">ratio increases, unemployment decreases. This result is again contradictory of the framework for unemployment as a mechanism. Urban population also has a significant relationship. As the top 10% increase their income share, the population in cities increases. </w:t>
      </w:r>
      <w:r w:rsidR="00043877">
        <w:rPr>
          <w:sz w:val="22"/>
          <w:szCs w:val="22"/>
        </w:rPr>
        <w:t xml:space="preserve">This relation makes sense as cities are economic hubs. In both models, GDP, and government spending were found to have no effects. </w:t>
      </w:r>
      <w:r w:rsidR="00F47D54">
        <w:rPr>
          <w:sz w:val="22"/>
          <w:szCs w:val="22"/>
        </w:rPr>
        <w:t xml:space="preserve">The only difference between models 1 and 2 is the measure of inequality. I suspect that the </w:t>
      </w:r>
      <w:r w:rsidR="00E61A87">
        <w:rPr>
          <w:sz w:val="22"/>
          <w:szCs w:val="22"/>
        </w:rPr>
        <w:t>P</w:t>
      </w:r>
      <w:r w:rsidR="00F47D54" w:rsidRPr="00E61A87">
        <w:rPr>
          <w:sz w:val="22"/>
          <w:szCs w:val="22"/>
        </w:rPr>
        <w:t xml:space="preserve">alma </w:t>
      </w:r>
      <w:r w:rsidR="00F47D54">
        <w:rPr>
          <w:sz w:val="22"/>
          <w:szCs w:val="22"/>
        </w:rPr>
        <w:t xml:space="preserve">ratio </w:t>
      </w:r>
      <w:r w:rsidR="00D75441">
        <w:rPr>
          <w:sz w:val="22"/>
          <w:szCs w:val="22"/>
        </w:rPr>
        <w:t>is a more sensitive variable</w:t>
      </w:r>
      <w:r w:rsidR="00E61A87">
        <w:rPr>
          <w:sz w:val="22"/>
          <w:szCs w:val="22"/>
        </w:rPr>
        <w:t xml:space="preserve"> for countries with substantial inequality than the Gini coefficient. </w:t>
      </w:r>
    </w:p>
    <w:p w14:paraId="0F4F1EA9" w14:textId="248ACF4D" w:rsidR="00AA4071" w:rsidRDefault="00AA4071" w:rsidP="007250AB">
      <w:pPr>
        <w:rPr>
          <w:sz w:val="22"/>
          <w:szCs w:val="22"/>
        </w:rPr>
      </w:pPr>
    </w:p>
    <w:p w14:paraId="7C3F7730" w14:textId="77777777" w:rsidR="00465A30" w:rsidRDefault="00465A30" w:rsidP="007250AB">
      <w:pPr>
        <w:rPr>
          <w:sz w:val="22"/>
          <w:szCs w:val="22"/>
        </w:rPr>
      </w:pPr>
    </w:p>
    <w:p w14:paraId="112CFB72" w14:textId="78BCA20B" w:rsidR="00963589" w:rsidRPr="003108AD" w:rsidRDefault="003108AD" w:rsidP="003108AD">
      <w:pPr>
        <w:ind w:firstLine="720"/>
        <w:rPr>
          <w:b/>
          <w:bCs/>
          <w:sz w:val="28"/>
          <w:szCs w:val="28"/>
        </w:rPr>
      </w:pPr>
      <w:r>
        <w:rPr>
          <w:b/>
          <w:bCs/>
          <w:sz w:val="22"/>
          <w:szCs w:val="22"/>
        </w:rPr>
        <w:t xml:space="preserve">4.3 </w:t>
      </w:r>
      <w:r w:rsidR="00963589" w:rsidRPr="003108AD">
        <w:rPr>
          <w:b/>
          <w:bCs/>
          <w:sz w:val="22"/>
          <w:szCs w:val="22"/>
        </w:rPr>
        <w:t>Model 3:</w:t>
      </w:r>
    </w:p>
    <w:p w14:paraId="6FAADBB6" w14:textId="77777777" w:rsidR="00AA4071" w:rsidRDefault="00AA4071" w:rsidP="007250AB">
      <w:pPr>
        <w:rPr>
          <w:sz w:val="22"/>
          <w:szCs w:val="22"/>
        </w:rPr>
      </w:pPr>
    </w:p>
    <w:tbl>
      <w:tblPr>
        <w:tblW w:w="9267" w:type="dxa"/>
        <w:tblLook w:val="04A0" w:firstRow="1" w:lastRow="0" w:firstColumn="1" w:lastColumn="0" w:noHBand="0" w:noVBand="1"/>
      </w:tblPr>
      <w:tblGrid>
        <w:gridCol w:w="1625"/>
        <w:gridCol w:w="2323"/>
        <w:gridCol w:w="2019"/>
        <w:gridCol w:w="1650"/>
        <w:gridCol w:w="1650"/>
      </w:tblGrid>
      <w:tr w:rsidR="00F240E7" w:rsidRPr="00F240E7" w14:paraId="64AFCE6F"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4472C4" w:fill="4472C4"/>
            <w:noWrap/>
            <w:vAlign w:val="bottom"/>
            <w:hideMark/>
          </w:tcPr>
          <w:p w14:paraId="637FA3F6" w14:textId="16C3C5DD" w:rsidR="00F240E7" w:rsidRPr="00F240E7" w:rsidRDefault="00F240E7" w:rsidP="00F240E7">
            <w:pPr>
              <w:rPr>
                <w:rFonts w:ascii="Calibri" w:hAnsi="Calibri"/>
                <w:b/>
                <w:bCs/>
                <w:color w:val="FFFFFF"/>
              </w:rPr>
            </w:pPr>
          </w:p>
        </w:tc>
        <w:tc>
          <w:tcPr>
            <w:tcW w:w="2323" w:type="dxa"/>
            <w:tcBorders>
              <w:top w:val="single" w:sz="4" w:space="0" w:color="8EA9DB"/>
              <w:left w:val="nil"/>
              <w:bottom w:val="single" w:sz="4" w:space="0" w:color="8EA9DB"/>
              <w:right w:val="nil"/>
            </w:tcBorders>
            <w:shd w:val="clear" w:color="4472C4" w:fill="4472C4"/>
            <w:noWrap/>
            <w:vAlign w:val="bottom"/>
            <w:hideMark/>
          </w:tcPr>
          <w:p w14:paraId="32C1FB18" w14:textId="77777777" w:rsidR="00F240E7" w:rsidRPr="00F240E7" w:rsidRDefault="00F240E7" w:rsidP="00F240E7">
            <w:pPr>
              <w:rPr>
                <w:rFonts w:ascii="Calibri" w:hAnsi="Calibri"/>
                <w:b/>
                <w:bCs/>
                <w:color w:val="FFFFFF"/>
              </w:rPr>
            </w:pPr>
            <w:r w:rsidRPr="00F240E7">
              <w:rPr>
                <w:rFonts w:ascii="Calibri" w:hAnsi="Calibri"/>
                <w:b/>
                <w:bCs/>
                <w:color w:val="FFFFFF"/>
              </w:rPr>
              <w:t>Estimate</w:t>
            </w:r>
          </w:p>
        </w:tc>
        <w:tc>
          <w:tcPr>
            <w:tcW w:w="2019" w:type="dxa"/>
            <w:tcBorders>
              <w:top w:val="single" w:sz="4" w:space="0" w:color="8EA9DB"/>
              <w:left w:val="nil"/>
              <w:bottom w:val="single" w:sz="4" w:space="0" w:color="8EA9DB"/>
              <w:right w:val="nil"/>
            </w:tcBorders>
            <w:shd w:val="clear" w:color="4472C4" w:fill="4472C4"/>
            <w:noWrap/>
            <w:vAlign w:val="bottom"/>
            <w:hideMark/>
          </w:tcPr>
          <w:p w14:paraId="56CAA2AE" w14:textId="77777777" w:rsidR="00F240E7" w:rsidRPr="00F240E7" w:rsidRDefault="00F240E7" w:rsidP="00F240E7">
            <w:pPr>
              <w:rPr>
                <w:rFonts w:ascii="Calibri" w:hAnsi="Calibri"/>
                <w:b/>
                <w:bCs/>
                <w:color w:val="FFFFFF"/>
              </w:rPr>
            </w:pPr>
            <w:r w:rsidRPr="00F240E7">
              <w:rPr>
                <w:rFonts w:ascii="Calibri" w:hAnsi="Calibri"/>
                <w:b/>
                <w:bCs/>
                <w:color w:val="FFFFFF"/>
              </w:rPr>
              <w:t>Std. Error</w:t>
            </w:r>
          </w:p>
        </w:tc>
        <w:tc>
          <w:tcPr>
            <w:tcW w:w="1650" w:type="dxa"/>
            <w:tcBorders>
              <w:top w:val="single" w:sz="4" w:space="0" w:color="8EA9DB"/>
              <w:left w:val="nil"/>
              <w:bottom w:val="single" w:sz="4" w:space="0" w:color="8EA9DB"/>
              <w:right w:val="nil"/>
            </w:tcBorders>
            <w:shd w:val="clear" w:color="4472C4" w:fill="4472C4"/>
            <w:noWrap/>
            <w:vAlign w:val="bottom"/>
            <w:hideMark/>
          </w:tcPr>
          <w:p w14:paraId="36CFDAAF" w14:textId="77777777" w:rsidR="00F240E7" w:rsidRPr="00F240E7" w:rsidRDefault="00F240E7" w:rsidP="00F240E7">
            <w:pPr>
              <w:rPr>
                <w:rFonts w:ascii="Calibri" w:hAnsi="Calibri"/>
                <w:b/>
                <w:bCs/>
                <w:color w:val="FFFFFF"/>
              </w:rPr>
            </w:pPr>
            <w:r w:rsidRPr="00F240E7">
              <w:rPr>
                <w:rFonts w:ascii="Calibri" w:hAnsi="Calibri"/>
                <w:b/>
                <w:bCs/>
                <w:color w:val="FFFFFF"/>
              </w:rPr>
              <w:t>t value</w:t>
            </w:r>
          </w:p>
        </w:tc>
        <w:tc>
          <w:tcPr>
            <w:tcW w:w="1650" w:type="dxa"/>
            <w:tcBorders>
              <w:top w:val="single" w:sz="4" w:space="0" w:color="8EA9DB"/>
              <w:left w:val="nil"/>
              <w:bottom w:val="single" w:sz="4" w:space="0" w:color="8EA9DB"/>
              <w:right w:val="single" w:sz="4" w:space="0" w:color="8EA9DB"/>
            </w:tcBorders>
            <w:shd w:val="clear" w:color="4472C4" w:fill="4472C4"/>
            <w:noWrap/>
            <w:vAlign w:val="bottom"/>
            <w:hideMark/>
          </w:tcPr>
          <w:p w14:paraId="5F052D82" w14:textId="77777777" w:rsidR="00F240E7" w:rsidRPr="00F240E7" w:rsidRDefault="00F240E7" w:rsidP="00F240E7">
            <w:pPr>
              <w:rPr>
                <w:rFonts w:ascii="Calibri" w:hAnsi="Calibri"/>
                <w:b/>
                <w:bCs/>
                <w:color w:val="FFFFFF"/>
              </w:rPr>
            </w:pPr>
            <w:proofErr w:type="spellStart"/>
            <w:r w:rsidRPr="00F240E7">
              <w:rPr>
                <w:rFonts w:ascii="Calibri" w:hAnsi="Calibri"/>
                <w:b/>
                <w:bCs/>
                <w:color w:val="FFFFFF"/>
              </w:rPr>
              <w:t>Pr</w:t>
            </w:r>
            <w:proofErr w:type="spellEnd"/>
            <w:r w:rsidRPr="00F240E7">
              <w:rPr>
                <w:rFonts w:ascii="Calibri" w:hAnsi="Calibri"/>
                <w:b/>
                <w:bCs/>
                <w:color w:val="FFFFFF"/>
              </w:rPr>
              <w:t>(&gt;|t|)</w:t>
            </w:r>
          </w:p>
        </w:tc>
      </w:tr>
      <w:tr w:rsidR="00F240E7" w:rsidRPr="00F240E7" w14:paraId="6C421AA1"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D9E1F2" w:fill="D9E1F2"/>
            <w:noWrap/>
            <w:vAlign w:val="bottom"/>
            <w:hideMark/>
          </w:tcPr>
          <w:p w14:paraId="478F5BFB" w14:textId="77777777" w:rsidR="00F240E7" w:rsidRPr="00F240E7" w:rsidRDefault="00F240E7" w:rsidP="00F240E7">
            <w:pPr>
              <w:rPr>
                <w:rFonts w:ascii="Calibri" w:hAnsi="Calibri"/>
                <w:color w:val="000000"/>
              </w:rPr>
            </w:pPr>
            <w:r w:rsidRPr="00F240E7">
              <w:rPr>
                <w:rFonts w:ascii="Calibri" w:hAnsi="Calibri"/>
                <w:color w:val="000000"/>
              </w:rPr>
              <w:t>(Intercept)</w:t>
            </w:r>
          </w:p>
        </w:tc>
        <w:tc>
          <w:tcPr>
            <w:tcW w:w="2323" w:type="dxa"/>
            <w:tcBorders>
              <w:top w:val="single" w:sz="4" w:space="0" w:color="8EA9DB"/>
              <w:left w:val="nil"/>
              <w:bottom w:val="single" w:sz="4" w:space="0" w:color="8EA9DB"/>
              <w:right w:val="nil"/>
            </w:tcBorders>
            <w:shd w:val="clear" w:color="D9E1F2" w:fill="D9E1F2"/>
            <w:noWrap/>
            <w:vAlign w:val="bottom"/>
            <w:hideMark/>
          </w:tcPr>
          <w:p w14:paraId="61C875FC" w14:textId="77777777" w:rsidR="00F240E7" w:rsidRPr="00F240E7" w:rsidRDefault="00F240E7" w:rsidP="00F240E7">
            <w:pPr>
              <w:jc w:val="right"/>
              <w:rPr>
                <w:rFonts w:ascii="Calibri" w:hAnsi="Calibri"/>
                <w:color w:val="000000"/>
              </w:rPr>
            </w:pPr>
            <w:r w:rsidRPr="00F240E7">
              <w:rPr>
                <w:rFonts w:ascii="Calibri" w:hAnsi="Calibri"/>
                <w:color w:val="000000"/>
              </w:rPr>
              <w:t>-8571000000.00</w:t>
            </w:r>
          </w:p>
        </w:tc>
        <w:tc>
          <w:tcPr>
            <w:tcW w:w="2019" w:type="dxa"/>
            <w:tcBorders>
              <w:top w:val="single" w:sz="4" w:space="0" w:color="8EA9DB"/>
              <w:left w:val="nil"/>
              <w:bottom w:val="single" w:sz="4" w:space="0" w:color="8EA9DB"/>
              <w:right w:val="nil"/>
            </w:tcBorders>
            <w:shd w:val="clear" w:color="D9E1F2" w:fill="D9E1F2"/>
            <w:noWrap/>
            <w:vAlign w:val="bottom"/>
            <w:hideMark/>
          </w:tcPr>
          <w:p w14:paraId="62634187" w14:textId="17C50661" w:rsidR="00F240E7" w:rsidRPr="00F240E7" w:rsidRDefault="00EA2970" w:rsidP="00F240E7">
            <w:pPr>
              <w:jc w:val="center"/>
              <w:rPr>
                <w:rFonts w:ascii="Calibri" w:hAnsi="Calibri"/>
                <w:color w:val="000000"/>
              </w:rPr>
            </w:pPr>
            <w:r>
              <w:rPr>
                <w:rFonts w:ascii="Calibri" w:hAnsi="Calibri"/>
                <w:color w:val="000000"/>
              </w:rPr>
              <w:t xml:space="preserve">          </w:t>
            </w:r>
            <w:r w:rsidRPr="00EA2970">
              <w:rPr>
                <w:rFonts w:ascii="Calibri" w:hAnsi="Calibri"/>
                <w:color w:val="000000"/>
              </w:rPr>
              <w:t>3153000000</w:t>
            </w:r>
          </w:p>
        </w:tc>
        <w:tc>
          <w:tcPr>
            <w:tcW w:w="1650" w:type="dxa"/>
            <w:tcBorders>
              <w:top w:val="single" w:sz="4" w:space="0" w:color="8EA9DB"/>
              <w:left w:val="nil"/>
              <w:bottom w:val="single" w:sz="4" w:space="0" w:color="8EA9DB"/>
              <w:right w:val="nil"/>
            </w:tcBorders>
            <w:shd w:val="clear" w:color="D9E1F2" w:fill="D9E1F2"/>
            <w:noWrap/>
            <w:vAlign w:val="bottom"/>
            <w:hideMark/>
          </w:tcPr>
          <w:p w14:paraId="14D5B0FC" w14:textId="77777777" w:rsidR="00F240E7" w:rsidRPr="00F240E7" w:rsidRDefault="00F240E7" w:rsidP="00F240E7">
            <w:pPr>
              <w:jc w:val="right"/>
              <w:rPr>
                <w:rFonts w:ascii="Calibri" w:hAnsi="Calibri"/>
                <w:color w:val="000000"/>
              </w:rPr>
            </w:pPr>
            <w:r w:rsidRPr="00F240E7">
              <w:rPr>
                <w:rFonts w:ascii="Calibri" w:hAnsi="Calibri"/>
                <w:color w:val="000000"/>
              </w:rPr>
              <w:t>-2.72</w:t>
            </w:r>
          </w:p>
        </w:tc>
        <w:tc>
          <w:tcPr>
            <w:tcW w:w="1650" w:type="dxa"/>
            <w:tcBorders>
              <w:top w:val="single" w:sz="4" w:space="0" w:color="8EA9DB"/>
              <w:left w:val="nil"/>
              <w:bottom w:val="single" w:sz="4" w:space="0" w:color="8EA9DB"/>
              <w:right w:val="single" w:sz="4" w:space="0" w:color="8EA9DB"/>
            </w:tcBorders>
            <w:shd w:val="clear" w:color="D9E1F2" w:fill="D9E1F2"/>
            <w:noWrap/>
            <w:vAlign w:val="bottom"/>
            <w:hideMark/>
          </w:tcPr>
          <w:p w14:paraId="64F37E53" w14:textId="77777777" w:rsidR="00F240E7" w:rsidRPr="00F240E7" w:rsidRDefault="00F240E7" w:rsidP="00F240E7">
            <w:pPr>
              <w:jc w:val="right"/>
              <w:rPr>
                <w:rFonts w:ascii="Calibri" w:hAnsi="Calibri"/>
                <w:color w:val="000000"/>
              </w:rPr>
            </w:pPr>
            <w:r w:rsidRPr="00F240E7">
              <w:rPr>
                <w:rFonts w:ascii="Calibri" w:hAnsi="Calibri"/>
                <w:color w:val="000000"/>
              </w:rPr>
              <w:t>0.01</w:t>
            </w:r>
          </w:p>
        </w:tc>
      </w:tr>
      <w:tr w:rsidR="00F240E7" w:rsidRPr="00F240E7" w14:paraId="67C06DDA"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auto" w:fill="auto"/>
            <w:noWrap/>
            <w:vAlign w:val="bottom"/>
            <w:hideMark/>
          </w:tcPr>
          <w:p w14:paraId="3F048295" w14:textId="77777777" w:rsidR="00F240E7" w:rsidRPr="00F240E7" w:rsidRDefault="00F240E7" w:rsidP="00F240E7">
            <w:pPr>
              <w:rPr>
                <w:rFonts w:ascii="Calibri" w:hAnsi="Calibri"/>
                <w:color w:val="000000"/>
              </w:rPr>
            </w:pPr>
            <w:r w:rsidRPr="00F240E7">
              <w:rPr>
                <w:rFonts w:ascii="Calibri" w:hAnsi="Calibri"/>
                <w:color w:val="000000"/>
              </w:rPr>
              <w:t>epi</w:t>
            </w:r>
          </w:p>
        </w:tc>
        <w:tc>
          <w:tcPr>
            <w:tcW w:w="2323" w:type="dxa"/>
            <w:tcBorders>
              <w:top w:val="single" w:sz="4" w:space="0" w:color="8EA9DB"/>
              <w:left w:val="nil"/>
              <w:bottom w:val="single" w:sz="4" w:space="0" w:color="8EA9DB"/>
              <w:right w:val="nil"/>
            </w:tcBorders>
            <w:shd w:val="clear" w:color="auto" w:fill="auto"/>
            <w:noWrap/>
            <w:vAlign w:val="bottom"/>
            <w:hideMark/>
          </w:tcPr>
          <w:p w14:paraId="2B125DC7" w14:textId="77777777" w:rsidR="00F240E7" w:rsidRPr="00F240E7" w:rsidRDefault="00F240E7" w:rsidP="00F240E7">
            <w:pPr>
              <w:jc w:val="right"/>
              <w:rPr>
                <w:rFonts w:ascii="Calibri" w:hAnsi="Calibri"/>
                <w:color w:val="000000"/>
              </w:rPr>
            </w:pPr>
            <w:r w:rsidRPr="00F240E7">
              <w:rPr>
                <w:rFonts w:ascii="Calibri" w:hAnsi="Calibri"/>
                <w:color w:val="000000"/>
              </w:rPr>
              <w:t>-78470.00</w:t>
            </w:r>
          </w:p>
        </w:tc>
        <w:tc>
          <w:tcPr>
            <w:tcW w:w="2019" w:type="dxa"/>
            <w:tcBorders>
              <w:top w:val="single" w:sz="4" w:space="0" w:color="8EA9DB"/>
              <w:left w:val="nil"/>
              <w:bottom w:val="single" w:sz="4" w:space="0" w:color="8EA9DB"/>
              <w:right w:val="nil"/>
            </w:tcBorders>
            <w:shd w:val="clear" w:color="auto" w:fill="auto"/>
            <w:noWrap/>
            <w:vAlign w:val="bottom"/>
            <w:hideMark/>
          </w:tcPr>
          <w:p w14:paraId="7AA4785A" w14:textId="77777777" w:rsidR="00F240E7" w:rsidRPr="00F240E7" w:rsidRDefault="00F240E7" w:rsidP="00F240E7">
            <w:pPr>
              <w:jc w:val="right"/>
              <w:rPr>
                <w:rFonts w:ascii="Calibri" w:hAnsi="Calibri"/>
                <w:color w:val="000000"/>
              </w:rPr>
            </w:pPr>
            <w:r w:rsidRPr="00F240E7">
              <w:rPr>
                <w:rFonts w:ascii="Calibri" w:hAnsi="Calibri"/>
                <w:color w:val="000000"/>
              </w:rPr>
              <w:t>76410.00</w:t>
            </w:r>
          </w:p>
        </w:tc>
        <w:tc>
          <w:tcPr>
            <w:tcW w:w="1650" w:type="dxa"/>
            <w:tcBorders>
              <w:top w:val="single" w:sz="4" w:space="0" w:color="8EA9DB"/>
              <w:left w:val="nil"/>
              <w:bottom w:val="single" w:sz="4" w:space="0" w:color="8EA9DB"/>
              <w:right w:val="nil"/>
            </w:tcBorders>
            <w:shd w:val="clear" w:color="auto" w:fill="auto"/>
            <w:noWrap/>
            <w:vAlign w:val="bottom"/>
            <w:hideMark/>
          </w:tcPr>
          <w:p w14:paraId="12AA0577" w14:textId="77777777" w:rsidR="00F240E7" w:rsidRPr="00F240E7" w:rsidRDefault="00F240E7" w:rsidP="00F240E7">
            <w:pPr>
              <w:jc w:val="right"/>
              <w:rPr>
                <w:rFonts w:ascii="Calibri" w:hAnsi="Calibri"/>
                <w:color w:val="000000"/>
              </w:rPr>
            </w:pPr>
            <w:r w:rsidRPr="00F240E7">
              <w:rPr>
                <w:rFonts w:ascii="Calibri" w:hAnsi="Calibri"/>
                <w:color w:val="000000"/>
              </w:rPr>
              <w:t>-1.03</w:t>
            </w:r>
          </w:p>
        </w:tc>
        <w:tc>
          <w:tcPr>
            <w:tcW w:w="1650" w:type="dxa"/>
            <w:tcBorders>
              <w:top w:val="single" w:sz="4" w:space="0" w:color="8EA9DB"/>
              <w:left w:val="nil"/>
              <w:bottom w:val="single" w:sz="4" w:space="0" w:color="8EA9DB"/>
              <w:right w:val="single" w:sz="4" w:space="0" w:color="8EA9DB"/>
            </w:tcBorders>
            <w:shd w:val="clear" w:color="auto" w:fill="auto"/>
            <w:noWrap/>
            <w:vAlign w:val="bottom"/>
            <w:hideMark/>
          </w:tcPr>
          <w:p w14:paraId="1FA067F2" w14:textId="77777777" w:rsidR="00F240E7" w:rsidRPr="00F240E7" w:rsidRDefault="00F240E7" w:rsidP="00F240E7">
            <w:pPr>
              <w:jc w:val="right"/>
              <w:rPr>
                <w:rFonts w:ascii="Calibri" w:hAnsi="Calibri"/>
                <w:color w:val="000000"/>
              </w:rPr>
            </w:pPr>
            <w:r w:rsidRPr="00F240E7">
              <w:rPr>
                <w:rFonts w:ascii="Calibri" w:hAnsi="Calibri"/>
                <w:color w:val="000000"/>
              </w:rPr>
              <w:t>0.31</w:t>
            </w:r>
          </w:p>
        </w:tc>
      </w:tr>
      <w:tr w:rsidR="00F240E7" w:rsidRPr="00F240E7" w14:paraId="7AE8BBA4"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D9E1F2" w:fill="D9E1F2"/>
            <w:noWrap/>
            <w:vAlign w:val="bottom"/>
            <w:hideMark/>
          </w:tcPr>
          <w:p w14:paraId="5C433436" w14:textId="77777777" w:rsidR="00F240E7" w:rsidRPr="00F240E7" w:rsidRDefault="00F240E7" w:rsidP="00F240E7">
            <w:pPr>
              <w:rPr>
                <w:rFonts w:ascii="Calibri" w:hAnsi="Calibri"/>
                <w:color w:val="000000"/>
              </w:rPr>
            </w:pPr>
            <w:proofErr w:type="spellStart"/>
            <w:r w:rsidRPr="00F240E7">
              <w:rPr>
                <w:rFonts w:ascii="Calibri" w:hAnsi="Calibri"/>
                <w:color w:val="000000"/>
              </w:rPr>
              <w:t>gdp</w:t>
            </w:r>
            <w:proofErr w:type="spellEnd"/>
          </w:p>
        </w:tc>
        <w:tc>
          <w:tcPr>
            <w:tcW w:w="2323" w:type="dxa"/>
            <w:tcBorders>
              <w:top w:val="single" w:sz="4" w:space="0" w:color="8EA9DB"/>
              <w:left w:val="nil"/>
              <w:bottom w:val="single" w:sz="4" w:space="0" w:color="8EA9DB"/>
              <w:right w:val="nil"/>
            </w:tcBorders>
            <w:shd w:val="clear" w:color="D9E1F2" w:fill="D9E1F2"/>
            <w:noWrap/>
            <w:vAlign w:val="bottom"/>
            <w:hideMark/>
          </w:tcPr>
          <w:p w14:paraId="1936EAAA"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2019" w:type="dxa"/>
            <w:tcBorders>
              <w:top w:val="single" w:sz="4" w:space="0" w:color="8EA9DB"/>
              <w:left w:val="nil"/>
              <w:bottom w:val="single" w:sz="4" w:space="0" w:color="8EA9DB"/>
              <w:right w:val="nil"/>
            </w:tcBorders>
            <w:shd w:val="clear" w:color="D9E1F2" w:fill="D9E1F2"/>
            <w:noWrap/>
            <w:vAlign w:val="bottom"/>
            <w:hideMark/>
          </w:tcPr>
          <w:p w14:paraId="6AD53693"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650" w:type="dxa"/>
            <w:tcBorders>
              <w:top w:val="single" w:sz="4" w:space="0" w:color="8EA9DB"/>
              <w:left w:val="nil"/>
              <w:bottom w:val="single" w:sz="4" w:space="0" w:color="8EA9DB"/>
              <w:right w:val="nil"/>
            </w:tcBorders>
            <w:shd w:val="clear" w:color="D9E1F2" w:fill="D9E1F2"/>
            <w:noWrap/>
            <w:vAlign w:val="bottom"/>
            <w:hideMark/>
          </w:tcPr>
          <w:p w14:paraId="109B95CC" w14:textId="77777777" w:rsidR="00F240E7" w:rsidRPr="00F240E7" w:rsidRDefault="00F240E7" w:rsidP="00F240E7">
            <w:pPr>
              <w:jc w:val="right"/>
              <w:rPr>
                <w:rFonts w:ascii="Calibri" w:hAnsi="Calibri"/>
                <w:color w:val="000000"/>
              </w:rPr>
            </w:pPr>
            <w:r w:rsidRPr="00F240E7">
              <w:rPr>
                <w:rFonts w:ascii="Calibri" w:hAnsi="Calibri"/>
                <w:color w:val="000000"/>
              </w:rPr>
              <w:t>-0.64</w:t>
            </w:r>
          </w:p>
        </w:tc>
        <w:tc>
          <w:tcPr>
            <w:tcW w:w="1650" w:type="dxa"/>
            <w:tcBorders>
              <w:top w:val="single" w:sz="4" w:space="0" w:color="8EA9DB"/>
              <w:left w:val="nil"/>
              <w:bottom w:val="single" w:sz="4" w:space="0" w:color="8EA9DB"/>
              <w:right w:val="single" w:sz="4" w:space="0" w:color="8EA9DB"/>
            </w:tcBorders>
            <w:shd w:val="clear" w:color="D9E1F2" w:fill="D9E1F2"/>
            <w:noWrap/>
            <w:vAlign w:val="bottom"/>
            <w:hideMark/>
          </w:tcPr>
          <w:p w14:paraId="3BCE7845" w14:textId="77777777" w:rsidR="00F240E7" w:rsidRPr="00F240E7" w:rsidRDefault="00F240E7" w:rsidP="00F240E7">
            <w:pPr>
              <w:jc w:val="right"/>
              <w:rPr>
                <w:rFonts w:ascii="Calibri" w:hAnsi="Calibri"/>
                <w:color w:val="000000"/>
              </w:rPr>
            </w:pPr>
            <w:r w:rsidRPr="00F240E7">
              <w:rPr>
                <w:rFonts w:ascii="Calibri" w:hAnsi="Calibri"/>
                <w:color w:val="000000"/>
              </w:rPr>
              <w:t>0.52</w:t>
            </w:r>
          </w:p>
        </w:tc>
      </w:tr>
      <w:tr w:rsidR="00F240E7" w:rsidRPr="00F240E7" w14:paraId="7D9B22EE"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auto" w:fill="auto"/>
            <w:noWrap/>
            <w:vAlign w:val="bottom"/>
            <w:hideMark/>
          </w:tcPr>
          <w:p w14:paraId="4D7374D8" w14:textId="77777777" w:rsidR="00F240E7" w:rsidRPr="00F240E7" w:rsidRDefault="00F240E7" w:rsidP="00F240E7">
            <w:pPr>
              <w:rPr>
                <w:rFonts w:ascii="Calibri" w:hAnsi="Calibri"/>
                <w:color w:val="000000"/>
              </w:rPr>
            </w:pPr>
            <w:proofErr w:type="spellStart"/>
            <w:r w:rsidRPr="00F240E7">
              <w:rPr>
                <w:rFonts w:ascii="Calibri" w:hAnsi="Calibri"/>
                <w:color w:val="000000"/>
              </w:rPr>
              <w:t>govSpend</w:t>
            </w:r>
            <w:proofErr w:type="spellEnd"/>
          </w:p>
        </w:tc>
        <w:tc>
          <w:tcPr>
            <w:tcW w:w="2323" w:type="dxa"/>
            <w:tcBorders>
              <w:top w:val="single" w:sz="4" w:space="0" w:color="8EA9DB"/>
              <w:left w:val="nil"/>
              <w:bottom w:val="single" w:sz="4" w:space="0" w:color="8EA9DB"/>
              <w:right w:val="nil"/>
            </w:tcBorders>
            <w:shd w:val="clear" w:color="auto" w:fill="auto"/>
            <w:noWrap/>
            <w:vAlign w:val="bottom"/>
            <w:hideMark/>
          </w:tcPr>
          <w:p w14:paraId="61565C75" w14:textId="77777777" w:rsidR="00F240E7" w:rsidRPr="00F240E7" w:rsidRDefault="00F240E7" w:rsidP="00F240E7">
            <w:pPr>
              <w:jc w:val="right"/>
              <w:rPr>
                <w:rFonts w:ascii="Calibri" w:hAnsi="Calibri"/>
                <w:color w:val="000000"/>
              </w:rPr>
            </w:pPr>
            <w:r w:rsidRPr="00F240E7">
              <w:rPr>
                <w:rFonts w:ascii="Calibri" w:hAnsi="Calibri"/>
                <w:color w:val="000000"/>
              </w:rPr>
              <w:t>0.01</w:t>
            </w:r>
          </w:p>
        </w:tc>
        <w:tc>
          <w:tcPr>
            <w:tcW w:w="2019" w:type="dxa"/>
            <w:tcBorders>
              <w:top w:val="single" w:sz="4" w:space="0" w:color="8EA9DB"/>
              <w:left w:val="nil"/>
              <w:bottom w:val="single" w:sz="4" w:space="0" w:color="8EA9DB"/>
              <w:right w:val="nil"/>
            </w:tcBorders>
            <w:shd w:val="clear" w:color="auto" w:fill="auto"/>
            <w:noWrap/>
            <w:vAlign w:val="bottom"/>
            <w:hideMark/>
          </w:tcPr>
          <w:p w14:paraId="4925D41D"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c>
          <w:tcPr>
            <w:tcW w:w="1650" w:type="dxa"/>
            <w:tcBorders>
              <w:top w:val="single" w:sz="4" w:space="0" w:color="8EA9DB"/>
              <w:left w:val="nil"/>
              <w:bottom w:val="single" w:sz="4" w:space="0" w:color="8EA9DB"/>
              <w:right w:val="nil"/>
            </w:tcBorders>
            <w:shd w:val="clear" w:color="auto" w:fill="auto"/>
            <w:noWrap/>
            <w:vAlign w:val="bottom"/>
            <w:hideMark/>
          </w:tcPr>
          <w:p w14:paraId="4B472DAF" w14:textId="77777777" w:rsidR="00F240E7" w:rsidRPr="00F240E7" w:rsidRDefault="00F240E7" w:rsidP="00F240E7">
            <w:pPr>
              <w:jc w:val="right"/>
              <w:rPr>
                <w:rFonts w:ascii="Calibri" w:hAnsi="Calibri"/>
                <w:color w:val="000000"/>
              </w:rPr>
            </w:pPr>
            <w:r w:rsidRPr="00F240E7">
              <w:rPr>
                <w:rFonts w:ascii="Calibri" w:hAnsi="Calibri"/>
                <w:color w:val="000000"/>
              </w:rPr>
              <w:t>6.17</w:t>
            </w:r>
          </w:p>
        </w:tc>
        <w:tc>
          <w:tcPr>
            <w:tcW w:w="1650" w:type="dxa"/>
            <w:tcBorders>
              <w:top w:val="single" w:sz="4" w:space="0" w:color="8EA9DB"/>
              <w:left w:val="nil"/>
              <w:bottom w:val="single" w:sz="4" w:space="0" w:color="8EA9DB"/>
              <w:right w:val="single" w:sz="4" w:space="0" w:color="8EA9DB"/>
            </w:tcBorders>
            <w:shd w:val="clear" w:color="auto" w:fill="auto"/>
            <w:noWrap/>
            <w:vAlign w:val="bottom"/>
            <w:hideMark/>
          </w:tcPr>
          <w:p w14:paraId="04B0618D"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r>
      <w:tr w:rsidR="00F240E7" w:rsidRPr="00F240E7" w14:paraId="58FCD640"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D9E1F2" w:fill="D9E1F2"/>
            <w:noWrap/>
            <w:vAlign w:val="bottom"/>
            <w:hideMark/>
          </w:tcPr>
          <w:p w14:paraId="4397F3F4" w14:textId="77777777" w:rsidR="00F240E7" w:rsidRPr="00F240E7" w:rsidRDefault="00F240E7" w:rsidP="00F240E7">
            <w:pPr>
              <w:rPr>
                <w:rFonts w:ascii="Calibri" w:hAnsi="Calibri"/>
                <w:color w:val="000000"/>
              </w:rPr>
            </w:pPr>
            <w:proofErr w:type="spellStart"/>
            <w:r w:rsidRPr="00F240E7">
              <w:rPr>
                <w:rFonts w:ascii="Calibri" w:hAnsi="Calibri"/>
                <w:color w:val="000000"/>
              </w:rPr>
              <w:t>urbPop</w:t>
            </w:r>
            <w:proofErr w:type="spellEnd"/>
          </w:p>
        </w:tc>
        <w:tc>
          <w:tcPr>
            <w:tcW w:w="2323" w:type="dxa"/>
            <w:tcBorders>
              <w:top w:val="single" w:sz="4" w:space="0" w:color="8EA9DB"/>
              <w:left w:val="nil"/>
              <w:bottom w:val="single" w:sz="4" w:space="0" w:color="8EA9DB"/>
              <w:right w:val="nil"/>
            </w:tcBorders>
            <w:shd w:val="clear" w:color="D9E1F2" w:fill="D9E1F2"/>
            <w:noWrap/>
            <w:vAlign w:val="bottom"/>
            <w:hideMark/>
          </w:tcPr>
          <w:p w14:paraId="3776BC45" w14:textId="77777777" w:rsidR="00F240E7" w:rsidRPr="00F240E7" w:rsidRDefault="00F240E7" w:rsidP="00F240E7">
            <w:pPr>
              <w:jc w:val="right"/>
              <w:rPr>
                <w:rFonts w:ascii="Calibri" w:hAnsi="Calibri"/>
                <w:color w:val="000000"/>
              </w:rPr>
            </w:pPr>
            <w:r w:rsidRPr="00F240E7">
              <w:rPr>
                <w:rFonts w:ascii="Calibri" w:hAnsi="Calibri"/>
                <w:color w:val="000000"/>
              </w:rPr>
              <w:t>23260000.00</w:t>
            </w:r>
          </w:p>
        </w:tc>
        <w:tc>
          <w:tcPr>
            <w:tcW w:w="2019" w:type="dxa"/>
            <w:tcBorders>
              <w:top w:val="single" w:sz="4" w:space="0" w:color="8EA9DB"/>
              <w:left w:val="nil"/>
              <w:bottom w:val="single" w:sz="4" w:space="0" w:color="8EA9DB"/>
              <w:right w:val="nil"/>
            </w:tcBorders>
            <w:shd w:val="clear" w:color="D9E1F2" w:fill="D9E1F2"/>
            <w:noWrap/>
            <w:vAlign w:val="bottom"/>
            <w:hideMark/>
          </w:tcPr>
          <w:p w14:paraId="61217ABB" w14:textId="77777777" w:rsidR="00F240E7" w:rsidRPr="00F240E7" w:rsidRDefault="00F240E7" w:rsidP="00F240E7">
            <w:pPr>
              <w:jc w:val="right"/>
              <w:rPr>
                <w:rFonts w:ascii="Calibri" w:hAnsi="Calibri"/>
                <w:color w:val="000000"/>
              </w:rPr>
            </w:pPr>
            <w:r w:rsidRPr="00F240E7">
              <w:rPr>
                <w:rFonts w:ascii="Calibri" w:hAnsi="Calibri"/>
                <w:color w:val="000000"/>
              </w:rPr>
              <w:t>9689000.00</w:t>
            </w:r>
          </w:p>
        </w:tc>
        <w:tc>
          <w:tcPr>
            <w:tcW w:w="1650" w:type="dxa"/>
            <w:tcBorders>
              <w:top w:val="single" w:sz="4" w:space="0" w:color="8EA9DB"/>
              <w:left w:val="nil"/>
              <w:bottom w:val="single" w:sz="4" w:space="0" w:color="8EA9DB"/>
              <w:right w:val="nil"/>
            </w:tcBorders>
            <w:shd w:val="clear" w:color="D9E1F2" w:fill="D9E1F2"/>
            <w:noWrap/>
            <w:vAlign w:val="bottom"/>
            <w:hideMark/>
          </w:tcPr>
          <w:p w14:paraId="5C6E45B4" w14:textId="77777777" w:rsidR="00F240E7" w:rsidRPr="00F240E7" w:rsidRDefault="00F240E7" w:rsidP="00F240E7">
            <w:pPr>
              <w:jc w:val="right"/>
              <w:rPr>
                <w:rFonts w:ascii="Calibri" w:hAnsi="Calibri"/>
                <w:color w:val="000000"/>
              </w:rPr>
            </w:pPr>
            <w:r w:rsidRPr="00F240E7">
              <w:rPr>
                <w:rFonts w:ascii="Calibri" w:hAnsi="Calibri"/>
                <w:color w:val="000000"/>
              </w:rPr>
              <w:t>2.40</w:t>
            </w:r>
          </w:p>
        </w:tc>
        <w:tc>
          <w:tcPr>
            <w:tcW w:w="1650" w:type="dxa"/>
            <w:tcBorders>
              <w:top w:val="single" w:sz="4" w:space="0" w:color="8EA9DB"/>
              <w:left w:val="nil"/>
              <w:bottom w:val="single" w:sz="4" w:space="0" w:color="8EA9DB"/>
              <w:right w:val="single" w:sz="4" w:space="0" w:color="8EA9DB"/>
            </w:tcBorders>
            <w:shd w:val="clear" w:color="D9E1F2" w:fill="D9E1F2"/>
            <w:noWrap/>
            <w:vAlign w:val="bottom"/>
            <w:hideMark/>
          </w:tcPr>
          <w:p w14:paraId="0D74E834" w14:textId="77777777" w:rsidR="00F240E7" w:rsidRPr="00F240E7" w:rsidRDefault="00F240E7" w:rsidP="00F240E7">
            <w:pPr>
              <w:jc w:val="right"/>
              <w:rPr>
                <w:rFonts w:ascii="Calibri" w:hAnsi="Calibri"/>
                <w:color w:val="000000"/>
              </w:rPr>
            </w:pPr>
            <w:r w:rsidRPr="00F240E7">
              <w:rPr>
                <w:rFonts w:ascii="Calibri" w:hAnsi="Calibri"/>
                <w:color w:val="000000"/>
              </w:rPr>
              <w:t>0.02</w:t>
            </w:r>
          </w:p>
        </w:tc>
      </w:tr>
      <w:tr w:rsidR="00F240E7" w:rsidRPr="00F240E7" w14:paraId="1346A244"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auto" w:fill="auto"/>
            <w:noWrap/>
            <w:vAlign w:val="bottom"/>
            <w:hideMark/>
          </w:tcPr>
          <w:p w14:paraId="76B43A66" w14:textId="77777777" w:rsidR="00F240E7" w:rsidRPr="00F240E7" w:rsidRDefault="00F240E7" w:rsidP="00F240E7">
            <w:pPr>
              <w:rPr>
                <w:rFonts w:ascii="Calibri" w:hAnsi="Calibri"/>
                <w:color w:val="000000"/>
              </w:rPr>
            </w:pPr>
            <w:proofErr w:type="spellStart"/>
            <w:r w:rsidRPr="00F240E7">
              <w:rPr>
                <w:rFonts w:ascii="Calibri" w:hAnsi="Calibri"/>
                <w:color w:val="000000"/>
              </w:rPr>
              <w:t>unemploy</w:t>
            </w:r>
            <w:proofErr w:type="spellEnd"/>
          </w:p>
        </w:tc>
        <w:tc>
          <w:tcPr>
            <w:tcW w:w="2323" w:type="dxa"/>
            <w:tcBorders>
              <w:top w:val="single" w:sz="4" w:space="0" w:color="8EA9DB"/>
              <w:left w:val="nil"/>
              <w:bottom w:val="single" w:sz="4" w:space="0" w:color="8EA9DB"/>
              <w:right w:val="nil"/>
            </w:tcBorders>
            <w:shd w:val="clear" w:color="auto" w:fill="auto"/>
            <w:noWrap/>
            <w:vAlign w:val="bottom"/>
            <w:hideMark/>
          </w:tcPr>
          <w:p w14:paraId="7B31637F" w14:textId="77777777" w:rsidR="00F240E7" w:rsidRPr="00F240E7" w:rsidRDefault="00F240E7" w:rsidP="00F240E7">
            <w:pPr>
              <w:jc w:val="right"/>
              <w:rPr>
                <w:rFonts w:ascii="Calibri" w:hAnsi="Calibri"/>
                <w:color w:val="000000"/>
              </w:rPr>
            </w:pPr>
            <w:r w:rsidRPr="00F240E7">
              <w:rPr>
                <w:rFonts w:ascii="Calibri" w:hAnsi="Calibri"/>
                <w:color w:val="000000"/>
              </w:rPr>
              <w:t>-140500000.00</w:t>
            </w:r>
          </w:p>
        </w:tc>
        <w:tc>
          <w:tcPr>
            <w:tcW w:w="2019" w:type="dxa"/>
            <w:tcBorders>
              <w:top w:val="single" w:sz="4" w:space="0" w:color="8EA9DB"/>
              <w:left w:val="nil"/>
              <w:bottom w:val="single" w:sz="4" w:space="0" w:color="8EA9DB"/>
              <w:right w:val="nil"/>
            </w:tcBorders>
            <w:shd w:val="clear" w:color="auto" w:fill="auto"/>
            <w:noWrap/>
            <w:vAlign w:val="bottom"/>
            <w:hideMark/>
          </w:tcPr>
          <w:p w14:paraId="30C2F680" w14:textId="77777777" w:rsidR="00F240E7" w:rsidRPr="00F240E7" w:rsidRDefault="00F240E7" w:rsidP="00F240E7">
            <w:pPr>
              <w:jc w:val="right"/>
              <w:rPr>
                <w:rFonts w:ascii="Calibri" w:hAnsi="Calibri"/>
                <w:color w:val="000000"/>
              </w:rPr>
            </w:pPr>
            <w:r w:rsidRPr="00F240E7">
              <w:rPr>
                <w:rFonts w:ascii="Calibri" w:hAnsi="Calibri"/>
                <w:color w:val="000000"/>
              </w:rPr>
              <w:t>38440000.00</w:t>
            </w:r>
          </w:p>
        </w:tc>
        <w:tc>
          <w:tcPr>
            <w:tcW w:w="1650" w:type="dxa"/>
            <w:tcBorders>
              <w:top w:val="single" w:sz="4" w:space="0" w:color="8EA9DB"/>
              <w:left w:val="nil"/>
              <w:bottom w:val="single" w:sz="4" w:space="0" w:color="8EA9DB"/>
              <w:right w:val="nil"/>
            </w:tcBorders>
            <w:shd w:val="clear" w:color="auto" w:fill="auto"/>
            <w:noWrap/>
            <w:vAlign w:val="bottom"/>
            <w:hideMark/>
          </w:tcPr>
          <w:p w14:paraId="42774D9D" w14:textId="77777777" w:rsidR="00F240E7" w:rsidRPr="00F240E7" w:rsidRDefault="00F240E7" w:rsidP="00F240E7">
            <w:pPr>
              <w:jc w:val="right"/>
              <w:rPr>
                <w:rFonts w:ascii="Calibri" w:hAnsi="Calibri"/>
                <w:color w:val="000000"/>
              </w:rPr>
            </w:pPr>
            <w:r w:rsidRPr="00F240E7">
              <w:rPr>
                <w:rFonts w:ascii="Calibri" w:hAnsi="Calibri"/>
                <w:color w:val="000000"/>
              </w:rPr>
              <w:t>-3.65</w:t>
            </w:r>
          </w:p>
        </w:tc>
        <w:tc>
          <w:tcPr>
            <w:tcW w:w="1650" w:type="dxa"/>
            <w:tcBorders>
              <w:top w:val="single" w:sz="4" w:space="0" w:color="8EA9DB"/>
              <w:left w:val="nil"/>
              <w:bottom w:val="single" w:sz="4" w:space="0" w:color="8EA9DB"/>
              <w:right w:val="single" w:sz="4" w:space="0" w:color="8EA9DB"/>
            </w:tcBorders>
            <w:shd w:val="clear" w:color="auto" w:fill="auto"/>
            <w:noWrap/>
            <w:vAlign w:val="bottom"/>
            <w:hideMark/>
          </w:tcPr>
          <w:p w14:paraId="75E953F4"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r>
      <w:tr w:rsidR="00F240E7" w:rsidRPr="00F240E7" w14:paraId="79185EF9"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D9E1F2" w:fill="D9E1F2"/>
            <w:noWrap/>
            <w:vAlign w:val="bottom"/>
            <w:hideMark/>
          </w:tcPr>
          <w:p w14:paraId="17CBD077" w14:textId="77777777" w:rsidR="00F240E7" w:rsidRPr="00F240E7" w:rsidRDefault="00F240E7" w:rsidP="00F240E7">
            <w:pPr>
              <w:rPr>
                <w:rFonts w:ascii="Calibri" w:hAnsi="Calibri"/>
                <w:color w:val="000000"/>
              </w:rPr>
            </w:pPr>
            <w:proofErr w:type="spellStart"/>
            <w:r w:rsidRPr="00F240E7">
              <w:rPr>
                <w:rFonts w:ascii="Calibri" w:hAnsi="Calibri"/>
                <w:color w:val="000000"/>
              </w:rPr>
              <w:t>gini</w:t>
            </w:r>
            <w:proofErr w:type="spellEnd"/>
          </w:p>
        </w:tc>
        <w:tc>
          <w:tcPr>
            <w:tcW w:w="2323" w:type="dxa"/>
            <w:tcBorders>
              <w:top w:val="single" w:sz="4" w:space="0" w:color="8EA9DB"/>
              <w:left w:val="nil"/>
              <w:bottom w:val="single" w:sz="4" w:space="0" w:color="8EA9DB"/>
              <w:right w:val="nil"/>
            </w:tcBorders>
            <w:shd w:val="clear" w:color="D9E1F2" w:fill="D9E1F2"/>
            <w:noWrap/>
            <w:vAlign w:val="bottom"/>
            <w:hideMark/>
          </w:tcPr>
          <w:p w14:paraId="01091CD5" w14:textId="77777777" w:rsidR="00F240E7" w:rsidRPr="00F240E7" w:rsidRDefault="00F240E7" w:rsidP="00F240E7">
            <w:pPr>
              <w:jc w:val="right"/>
              <w:rPr>
                <w:rFonts w:ascii="Calibri" w:hAnsi="Calibri"/>
                <w:color w:val="000000"/>
              </w:rPr>
            </w:pPr>
            <w:r w:rsidRPr="00F240E7">
              <w:rPr>
                <w:rFonts w:ascii="Calibri" w:hAnsi="Calibri"/>
                <w:color w:val="000000"/>
              </w:rPr>
              <w:t>24390000000.00</w:t>
            </w:r>
          </w:p>
        </w:tc>
        <w:tc>
          <w:tcPr>
            <w:tcW w:w="2019" w:type="dxa"/>
            <w:tcBorders>
              <w:top w:val="single" w:sz="4" w:space="0" w:color="8EA9DB"/>
              <w:left w:val="nil"/>
              <w:bottom w:val="single" w:sz="4" w:space="0" w:color="8EA9DB"/>
              <w:right w:val="nil"/>
            </w:tcBorders>
            <w:shd w:val="clear" w:color="D9E1F2" w:fill="D9E1F2"/>
            <w:noWrap/>
            <w:vAlign w:val="bottom"/>
            <w:hideMark/>
          </w:tcPr>
          <w:p w14:paraId="55A3C250" w14:textId="5B9C9168" w:rsidR="00F240E7" w:rsidRPr="00F240E7" w:rsidRDefault="00EA2970" w:rsidP="00F240E7">
            <w:pPr>
              <w:jc w:val="center"/>
              <w:rPr>
                <w:rFonts w:ascii="Calibri" w:hAnsi="Calibri"/>
                <w:color w:val="000000"/>
              </w:rPr>
            </w:pPr>
            <w:r>
              <w:rPr>
                <w:rFonts w:ascii="Calibri" w:hAnsi="Calibri"/>
                <w:color w:val="000000"/>
              </w:rPr>
              <w:t xml:space="preserve">          </w:t>
            </w:r>
            <w:r w:rsidRPr="00EA2970">
              <w:rPr>
                <w:rFonts w:ascii="Calibri" w:hAnsi="Calibri"/>
                <w:color w:val="000000"/>
              </w:rPr>
              <w:t>8094000000</w:t>
            </w:r>
          </w:p>
        </w:tc>
        <w:tc>
          <w:tcPr>
            <w:tcW w:w="1650" w:type="dxa"/>
            <w:tcBorders>
              <w:top w:val="single" w:sz="4" w:space="0" w:color="8EA9DB"/>
              <w:left w:val="nil"/>
              <w:bottom w:val="single" w:sz="4" w:space="0" w:color="8EA9DB"/>
              <w:right w:val="nil"/>
            </w:tcBorders>
            <w:shd w:val="clear" w:color="D9E1F2" w:fill="D9E1F2"/>
            <w:noWrap/>
            <w:vAlign w:val="bottom"/>
            <w:hideMark/>
          </w:tcPr>
          <w:p w14:paraId="066253FB" w14:textId="77777777" w:rsidR="00F240E7" w:rsidRPr="00F240E7" w:rsidRDefault="00F240E7" w:rsidP="00F240E7">
            <w:pPr>
              <w:jc w:val="right"/>
              <w:rPr>
                <w:rFonts w:ascii="Calibri" w:hAnsi="Calibri"/>
                <w:color w:val="000000"/>
              </w:rPr>
            </w:pPr>
            <w:r w:rsidRPr="00F240E7">
              <w:rPr>
                <w:rFonts w:ascii="Calibri" w:hAnsi="Calibri"/>
                <w:color w:val="000000"/>
              </w:rPr>
              <w:t>3.01</w:t>
            </w:r>
          </w:p>
        </w:tc>
        <w:tc>
          <w:tcPr>
            <w:tcW w:w="1650" w:type="dxa"/>
            <w:tcBorders>
              <w:top w:val="single" w:sz="4" w:space="0" w:color="8EA9DB"/>
              <w:left w:val="nil"/>
              <w:bottom w:val="single" w:sz="4" w:space="0" w:color="8EA9DB"/>
              <w:right w:val="single" w:sz="4" w:space="0" w:color="8EA9DB"/>
            </w:tcBorders>
            <w:shd w:val="clear" w:color="D9E1F2" w:fill="D9E1F2"/>
            <w:noWrap/>
            <w:vAlign w:val="bottom"/>
            <w:hideMark/>
          </w:tcPr>
          <w:p w14:paraId="053C65C1"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r>
      <w:tr w:rsidR="00F240E7" w:rsidRPr="00F240E7" w14:paraId="4FF26362"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auto" w:fill="auto"/>
            <w:noWrap/>
            <w:vAlign w:val="bottom"/>
            <w:hideMark/>
          </w:tcPr>
          <w:p w14:paraId="370069B3" w14:textId="77777777" w:rsidR="00F240E7" w:rsidRPr="00F240E7" w:rsidRDefault="00F240E7" w:rsidP="00F240E7">
            <w:pPr>
              <w:rPr>
                <w:rFonts w:ascii="Calibri" w:hAnsi="Calibri"/>
                <w:color w:val="000000"/>
              </w:rPr>
            </w:pPr>
            <w:proofErr w:type="spellStart"/>
            <w:r w:rsidRPr="00F240E7">
              <w:rPr>
                <w:rFonts w:ascii="Calibri" w:hAnsi="Calibri"/>
                <w:color w:val="000000"/>
              </w:rPr>
              <w:t>palma</w:t>
            </w:r>
            <w:proofErr w:type="spellEnd"/>
          </w:p>
        </w:tc>
        <w:tc>
          <w:tcPr>
            <w:tcW w:w="2323" w:type="dxa"/>
            <w:tcBorders>
              <w:top w:val="single" w:sz="4" w:space="0" w:color="8EA9DB"/>
              <w:left w:val="nil"/>
              <w:bottom w:val="single" w:sz="4" w:space="0" w:color="8EA9DB"/>
              <w:right w:val="nil"/>
            </w:tcBorders>
            <w:shd w:val="clear" w:color="auto" w:fill="auto"/>
            <w:noWrap/>
            <w:vAlign w:val="bottom"/>
            <w:hideMark/>
          </w:tcPr>
          <w:p w14:paraId="25E3B997" w14:textId="77777777" w:rsidR="00F240E7" w:rsidRPr="00F240E7" w:rsidRDefault="00F240E7" w:rsidP="00F240E7">
            <w:pPr>
              <w:jc w:val="right"/>
              <w:rPr>
                <w:rFonts w:ascii="Calibri" w:hAnsi="Calibri"/>
                <w:color w:val="000000"/>
              </w:rPr>
            </w:pPr>
            <w:r w:rsidRPr="00F240E7">
              <w:rPr>
                <w:rFonts w:ascii="Calibri" w:hAnsi="Calibri"/>
                <w:color w:val="000000"/>
              </w:rPr>
              <w:t>-373600000.00</w:t>
            </w:r>
          </w:p>
        </w:tc>
        <w:tc>
          <w:tcPr>
            <w:tcW w:w="2019" w:type="dxa"/>
            <w:tcBorders>
              <w:top w:val="single" w:sz="4" w:space="0" w:color="8EA9DB"/>
              <w:left w:val="nil"/>
              <w:bottom w:val="single" w:sz="4" w:space="0" w:color="8EA9DB"/>
              <w:right w:val="nil"/>
            </w:tcBorders>
            <w:shd w:val="clear" w:color="auto" w:fill="auto"/>
            <w:noWrap/>
            <w:vAlign w:val="bottom"/>
            <w:hideMark/>
          </w:tcPr>
          <w:p w14:paraId="2C53AD39" w14:textId="77777777" w:rsidR="00F240E7" w:rsidRPr="00F240E7" w:rsidRDefault="00F240E7" w:rsidP="00F240E7">
            <w:pPr>
              <w:jc w:val="right"/>
              <w:rPr>
                <w:rFonts w:ascii="Calibri" w:hAnsi="Calibri"/>
                <w:color w:val="000000"/>
              </w:rPr>
            </w:pPr>
            <w:r w:rsidRPr="00F240E7">
              <w:rPr>
                <w:rFonts w:ascii="Calibri" w:hAnsi="Calibri"/>
                <w:color w:val="000000"/>
              </w:rPr>
              <w:t>108500000.00</w:t>
            </w:r>
          </w:p>
        </w:tc>
        <w:tc>
          <w:tcPr>
            <w:tcW w:w="1650" w:type="dxa"/>
            <w:tcBorders>
              <w:top w:val="single" w:sz="4" w:space="0" w:color="8EA9DB"/>
              <w:left w:val="nil"/>
              <w:bottom w:val="single" w:sz="4" w:space="0" w:color="8EA9DB"/>
              <w:right w:val="nil"/>
            </w:tcBorders>
            <w:shd w:val="clear" w:color="auto" w:fill="auto"/>
            <w:noWrap/>
            <w:vAlign w:val="bottom"/>
            <w:hideMark/>
          </w:tcPr>
          <w:p w14:paraId="2129359B" w14:textId="77777777" w:rsidR="00F240E7" w:rsidRPr="00F240E7" w:rsidRDefault="00F240E7" w:rsidP="00F240E7">
            <w:pPr>
              <w:jc w:val="right"/>
              <w:rPr>
                <w:rFonts w:ascii="Calibri" w:hAnsi="Calibri"/>
                <w:color w:val="000000"/>
              </w:rPr>
            </w:pPr>
            <w:r w:rsidRPr="00F240E7">
              <w:rPr>
                <w:rFonts w:ascii="Calibri" w:hAnsi="Calibri"/>
                <w:color w:val="000000"/>
              </w:rPr>
              <w:t>-3.44</w:t>
            </w:r>
          </w:p>
        </w:tc>
        <w:tc>
          <w:tcPr>
            <w:tcW w:w="1650" w:type="dxa"/>
            <w:tcBorders>
              <w:top w:val="single" w:sz="4" w:space="0" w:color="8EA9DB"/>
              <w:left w:val="nil"/>
              <w:bottom w:val="single" w:sz="4" w:space="0" w:color="8EA9DB"/>
              <w:right w:val="single" w:sz="4" w:space="0" w:color="8EA9DB"/>
            </w:tcBorders>
            <w:shd w:val="clear" w:color="auto" w:fill="auto"/>
            <w:noWrap/>
            <w:vAlign w:val="bottom"/>
            <w:hideMark/>
          </w:tcPr>
          <w:p w14:paraId="44FA433D" w14:textId="77777777" w:rsidR="00F240E7" w:rsidRPr="00F240E7" w:rsidRDefault="00F240E7" w:rsidP="00F240E7">
            <w:pPr>
              <w:jc w:val="right"/>
              <w:rPr>
                <w:rFonts w:ascii="Calibri" w:hAnsi="Calibri"/>
                <w:color w:val="000000"/>
              </w:rPr>
            </w:pPr>
            <w:r w:rsidRPr="00F240E7">
              <w:rPr>
                <w:rFonts w:ascii="Calibri" w:hAnsi="Calibri"/>
                <w:color w:val="000000"/>
              </w:rPr>
              <w:t>0.00</w:t>
            </w:r>
          </w:p>
        </w:tc>
      </w:tr>
      <w:tr w:rsidR="00F240E7" w:rsidRPr="00F240E7" w14:paraId="39F4908E" w14:textId="77777777" w:rsidTr="00995B17">
        <w:trPr>
          <w:trHeight w:val="343"/>
        </w:trPr>
        <w:tc>
          <w:tcPr>
            <w:tcW w:w="1625" w:type="dxa"/>
            <w:tcBorders>
              <w:top w:val="single" w:sz="4" w:space="0" w:color="8EA9DB"/>
              <w:left w:val="single" w:sz="4" w:space="0" w:color="8EA9DB"/>
              <w:bottom w:val="single" w:sz="4" w:space="0" w:color="8EA9DB"/>
              <w:right w:val="nil"/>
            </w:tcBorders>
            <w:shd w:val="clear" w:color="auto" w:fill="D9E2F3" w:themeFill="accent1" w:themeFillTint="33"/>
            <w:noWrap/>
            <w:vAlign w:val="bottom"/>
          </w:tcPr>
          <w:p w14:paraId="5C636663" w14:textId="320218B2" w:rsidR="00F240E7" w:rsidRPr="00F240E7" w:rsidRDefault="00F240E7" w:rsidP="00F240E7">
            <w:pPr>
              <w:rPr>
                <w:rFonts w:ascii="Calibri" w:hAnsi="Calibri"/>
                <w:color w:val="000000"/>
              </w:rPr>
            </w:pPr>
            <w:r>
              <w:rPr>
                <w:rFonts w:ascii="Calibri" w:hAnsi="Calibri"/>
                <w:color w:val="000000"/>
              </w:rPr>
              <w:t>R-squared</w:t>
            </w:r>
          </w:p>
        </w:tc>
        <w:tc>
          <w:tcPr>
            <w:tcW w:w="2323" w:type="dxa"/>
            <w:tcBorders>
              <w:top w:val="single" w:sz="4" w:space="0" w:color="8EA9DB"/>
              <w:left w:val="nil"/>
              <w:bottom w:val="single" w:sz="4" w:space="0" w:color="8EA9DB"/>
              <w:right w:val="nil"/>
            </w:tcBorders>
            <w:shd w:val="clear" w:color="auto" w:fill="D9E2F3" w:themeFill="accent1" w:themeFillTint="33"/>
            <w:noWrap/>
            <w:vAlign w:val="bottom"/>
          </w:tcPr>
          <w:p w14:paraId="6C5BD16F" w14:textId="5C282D7B" w:rsidR="00F240E7" w:rsidRPr="00F240E7" w:rsidRDefault="00F240E7" w:rsidP="00F240E7">
            <w:pPr>
              <w:jc w:val="right"/>
              <w:rPr>
                <w:rFonts w:ascii="Calibri" w:hAnsi="Calibri"/>
                <w:color w:val="000000"/>
              </w:rPr>
            </w:pPr>
            <w:r>
              <w:rPr>
                <w:rFonts w:ascii="Calibri" w:hAnsi="Calibri"/>
                <w:color w:val="000000"/>
              </w:rPr>
              <w:t>0.53</w:t>
            </w:r>
          </w:p>
        </w:tc>
        <w:tc>
          <w:tcPr>
            <w:tcW w:w="2019" w:type="dxa"/>
            <w:tcBorders>
              <w:top w:val="single" w:sz="4" w:space="0" w:color="8EA9DB"/>
              <w:left w:val="nil"/>
              <w:bottom w:val="single" w:sz="4" w:space="0" w:color="8EA9DB"/>
              <w:right w:val="nil"/>
            </w:tcBorders>
            <w:shd w:val="clear" w:color="auto" w:fill="D9E2F3" w:themeFill="accent1" w:themeFillTint="33"/>
            <w:noWrap/>
            <w:vAlign w:val="bottom"/>
          </w:tcPr>
          <w:p w14:paraId="197E77A1" w14:textId="77777777" w:rsidR="00F240E7" w:rsidRPr="00F240E7" w:rsidRDefault="00F240E7" w:rsidP="00F240E7">
            <w:pPr>
              <w:jc w:val="right"/>
              <w:rPr>
                <w:rFonts w:ascii="Calibri" w:hAnsi="Calibri"/>
                <w:color w:val="000000"/>
              </w:rPr>
            </w:pPr>
          </w:p>
        </w:tc>
        <w:tc>
          <w:tcPr>
            <w:tcW w:w="1650" w:type="dxa"/>
            <w:tcBorders>
              <w:top w:val="single" w:sz="4" w:space="0" w:color="8EA9DB"/>
              <w:left w:val="nil"/>
              <w:bottom w:val="single" w:sz="4" w:space="0" w:color="8EA9DB"/>
              <w:right w:val="nil"/>
            </w:tcBorders>
            <w:shd w:val="clear" w:color="auto" w:fill="D9E2F3" w:themeFill="accent1" w:themeFillTint="33"/>
            <w:noWrap/>
            <w:vAlign w:val="bottom"/>
          </w:tcPr>
          <w:p w14:paraId="23C008F9" w14:textId="77777777" w:rsidR="00F240E7" w:rsidRPr="00F240E7" w:rsidRDefault="00F240E7" w:rsidP="00F240E7">
            <w:pPr>
              <w:jc w:val="right"/>
              <w:rPr>
                <w:rFonts w:ascii="Calibri" w:hAnsi="Calibri"/>
                <w:color w:val="000000"/>
              </w:rPr>
            </w:pPr>
          </w:p>
        </w:tc>
        <w:tc>
          <w:tcPr>
            <w:tcW w:w="1650" w:type="dxa"/>
            <w:tcBorders>
              <w:top w:val="single" w:sz="4" w:space="0" w:color="8EA9DB"/>
              <w:left w:val="nil"/>
              <w:bottom w:val="single" w:sz="4" w:space="0" w:color="8EA9DB"/>
              <w:right w:val="single" w:sz="4" w:space="0" w:color="8EA9DB"/>
            </w:tcBorders>
            <w:shd w:val="clear" w:color="auto" w:fill="D9E2F3" w:themeFill="accent1" w:themeFillTint="33"/>
            <w:noWrap/>
            <w:vAlign w:val="bottom"/>
          </w:tcPr>
          <w:p w14:paraId="1924F5C0" w14:textId="77777777" w:rsidR="00F240E7" w:rsidRPr="00F240E7" w:rsidRDefault="00F240E7" w:rsidP="00F240E7">
            <w:pPr>
              <w:jc w:val="right"/>
              <w:rPr>
                <w:rFonts w:ascii="Calibri" w:hAnsi="Calibri"/>
                <w:color w:val="000000"/>
              </w:rPr>
            </w:pPr>
          </w:p>
        </w:tc>
      </w:tr>
    </w:tbl>
    <w:p w14:paraId="28864174" w14:textId="6C4503F8" w:rsidR="00AA4071" w:rsidRPr="000B60DD" w:rsidRDefault="000B60DD" w:rsidP="007250AB">
      <w:pPr>
        <w:rPr>
          <w:i/>
          <w:iCs/>
          <w:sz w:val="22"/>
          <w:szCs w:val="22"/>
        </w:rPr>
      </w:pPr>
      <w:r>
        <w:rPr>
          <w:i/>
          <w:iCs/>
          <w:sz w:val="22"/>
          <w:szCs w:val="22"/>
        </w:rPr>
        <w:t>Table 5: Model 3 estimates</w:t>
      </w:r>
    </w:p>
    <w:p w14:paraId="5C08F863" w14:textId="77777777" w:rsidR="00AA4071" w:rsidRDefault="00AA4071" w:rsidP="007250AB">
      <w:pPr>
        <w:rPr>
          <w:sz w:val="22"/>
          <w:szCs w:val="22"/>
        </w:rPr>
      </w:pPr>
    </w:p>
    <w:p w14:paraId="7B1792D7" w14:textId="0EDC408E" w:rsidR="00AA4071" w:rsidRDefault="00B53025" w:rsidP="007250AB">
      <w:pPr>
        <w:rPr>
          <w:sz w:val="22"/>
          <w:szCs w:val="22"/>
        </w:rPr>
      </w:pPr>
      <w:r>
        <w:rPr>
          <w:sz w:val="22"/>
          <w:szCs w:val="22"/>
        </w:rPr>
        <w:tab/>
        <w:t xml:space="preserve">The third model doesn’t find a statistically significant relationship between the infection rate and foreign direct investment. However, of the three models, it explains the most random variation. The urban population, unemployment percentage, and both inequality measures show a significant statistical significance. </w:t>
      </w:r>
      <w:r w:rsidR="00CB409B">
        <w:rPr>
          <w:sz w:val="22"/>
          <w:szCs w:val="22"/>
        </w:rPr>
        <w:t xml:space="preserve">Interestingly, </w:t>
      </w:r>
      <w:r w:rsidR="00D45D5F" w:rsidRPr="00D45D5F">
        <w:rPr>
          <w:sz w:val="22"/>
          <w:szCs w:val="22"/>
        </w:rPr>
        <w:t>Gini’s</w:t>
      </w:r>
      <w:r w:rsidR="00CB409B" w:rsidRPr="00D45D5F">
        <w:rPr>
          <w:sz w:val="22"/>
          <w:szCs w:val="22"/>
        </w:rPr>
        <w:t xml:space="preserve"> </w:t>
      </w:r>
      <w:r w:rsidR="00CB409B">
        <w:rPr>
          <w:sz w:val="22"/>
          <w:szCs w:val="22"/>
        </w:rPr>
        <w:t>relationship to foreign direct investment is positive while the</w:t>
      </w:r>
      <w:r w:rsidR="00CB409B" w:rsidRPr="00F32BB5">
        <w:rPr>
          <w:i/>
          <w:iCs/>
          <w:sz w:val="22"/>
          <w:szCs w:val="22"/>
        </w:rPr>
        <w:t xml:space="preserve"> </w:t>
      </w:r>
      <w:r w:rsidR="00D45D5F" w:rsidRPr="00D45D5F">
        <w:rPr>
          <w:sz w:val="22"/>
          <w:szCs w:val="22"/>
        </w:rPr>
        <w:t>Palma</w:t>
      </w:r>
      <w:r w:rsidR="00CB409B" w:rsidRPr="00D45D5F">
        <w:rPr>
          <w:sz w:val="22"/>
          <w:szCs w:val="22"/>
        </w:rPr>
        <w:t xml:space="preserve"> </w:t>
      </w:r>
      <w:r w:rsidR="00CB409B">
        <w:rPr>
          <w:sz w:val="22"/>
          <w:szCs w:val="22"/>
        </w:rPr>
        <w:t>ratio’s is negative</w:t>
      </w:r>
      <w:r w:rsidR="009B4C96">
        <w:rPr>
          <w:sz w:val="22"/>
          <w:szCs w:val="22"/>
        </w:rPr>
        <w:t xml:space="preserve">. </w:t>
      </w:r>
      <w:r w:rsidR="00D60DD3">
        <w:rPr>
          <w:sz w:val="22"/>
          <w:szCs w:val="22"/>
        </w:rPr>
        <w:t>Model 3 did indicate that there is an inverse relationship between foreign direct investment and unemployment</w:t>
      </w:r>
    </w:p>
    <w:p w14:paraId="6878D271" w14:textId="77777777" w:rsidR="00AA4071" w:rsidRDefault="00AA4071" w:rsidP="007250AB">
      <w:pPr>
        <w:rPr>
          <w:sz w:val="22"/>
          <w:szCs w:val="22"/>
        </w:rPr>
      </w:pPr>
    </w:p>
    <w:p w14:paraId="2C579FAE" w14:textId="51771BCC" w:rsidR="007250AB" w:rsidRPr="000B60DD" w:rsidRDefault="007250AB" w:rsidP="000B60DD">
      <w:pPr>
        <w:pStyle w:val="ListParagraph"/>
        <w:numPr>
          <w:ilvl w:val="0"/>
          <w:numId w:val="3"/>
        </w:numPr>
        <w:rPr>
          <w:b/>
          <w:bCs/>
          <w:sz w:val="28"/>
          <w:szCs w:val="28"/>
        </w:rPr>
      </w:pPr>
      <w:r w:rsidRPr="000B60DD">
        <w:rPr>
          <w:b/>
          <w:bCs/>
          <w:sz w:val="28"/>
          <w:szCs w:val="28"/>
        </w:rPr>
        <w:t>Discussion:</w:t>
      </w:r>
    </w:p>
    <w:p w14:paraId="6A1B504B" w14:textId="25D6413D" w:rsidR="007250AB" w:rsidRDefault="007250AB" w:rsidP="00BA182F">
      <w:pPr>
        <w:ind w:left="360"/>
        <w:rPr>
          <w:sz w:val="22"/>
          <w:szCs w:val="22"/>
        </w:rPr>
      </w:pPr>
    </w:p>
    <w:p w14:paraId="08240DB9" w14:textId="54735652" w:rsidR="00175988" w:rsidRDefault="009C3FEE" w:rsidP="00DD7EB5">
      <w:pPr>
        <w:ind w:firstLine="360"/>
        <w:rPr>
          <w:sz w:val="22"/>
          <w:szCs w:val="22"/>
        </w:rPr>
      </w:pPr>
      <w:r>
        <w:rPr>
          <w:sz w:val="22"/>
          <w:szCs w:val="22"/>
        </w:rPr>
        <w:t>Only</w:t>
      </w:r>
      <w:r w:rsidR="00B648BE">
        <w:rPr>
          <w:sz w:val="22"/>
          <w:szCs w:val="22"/>
        </w:rPr>
        <w:t xml:space="preserve"> </w:t>
      </w:r>
      <w:r w:rsidR="00201A18">
        <w:rPr>
          <w:sz w:val="22"/>
          <w:szCs w:val="22"/>
        </w:rPr>
        <w:t xml:space="preserve">one </w:t>
      </w:r>
      <w:r w:rsidR="00B648BE">
        <w:rPr>
          <w:sz w:val="22"/>
          <w:szCs w:val="22"/>
        </w:rPr>
        <w:t>of the three models showed a statistically significant result from the infection rate of EVD in</w:t>
      </w:r>
      <w:r w:rsidR="008A3D22">
        <w:rPr>
          <w:sz w:val="22"/>
          <w:szCs w:val="22"/>
        </w:rPr>
        <w:t xml:space="preserve"> </w:t>
      </w:r>
      <w:r w:rsidR="00B648BE">
        <w:rPr>
          <w:sz w:val="22"/>
          <w:szCs w:val="22"/>
        </w:rPr>
        <w:t>West Africa.</w:t>
      </w:r>
      <w:r w:rsidR="00164D01">
        <w:rPr>
          <w:sz w:val="22"/>
          <w:szCs w:val="22"/>
        </w:rPr>
        <w:t xml:space="preserve"> </w:t>
      </w:r>
      <w:r w:rsidR="006B1F60">
        <w:rPr>
          <w:sz w:val="22"/>
          <w:szCs w:val="22"/>
        </w:rPr>
        <w:t xml:space="preserve">Model 1 doesn’t provide strong evidence that the Ebola epidemic affected income inequality. Due to the size of the p-value, the null hypothesis </w:t>
      </w:r>
      <w:r w:rsidR="002D0DBC">
        <w:rPr>
          <w:sz w:val="22"/>
          <w:szCs w:val="22"/>
        </w:rPr>
        <w:t>cannot</w:t>
      </w:r>
      <w:r w:rsidR="006B1F60">
        <w:rPr>
          <w:sz w:val="22"/>
          <w:szCs w:val="22"/>
        </w:rPr>
        <w:t xml:space="preserve"> be rejected, but this cannot be interpreted as evidence that income inequality decreased as a result of the Ebola Epidemic</w:t>
      </w:r>
      <w:r w:rsidR="00175988">
        <w:rPr>
          <w:sz w:val="22"/>
          <w:szCs w:val="22"/>
        </w:rPr>
        <w:t xml:space="preserve">. </w:t>
      </w:r>
      <w:r w:rsidR="006B1F60">
        <w:rPr>
          <w:sz w:val="22"/>
          <w:szCs w:val="22"/>
        </w:rPr>
        <w:t>Model 2</w:t>
      </w:r>
      <w:r w:rsidR="00175988">
        <w:rPr>
          <w:sz w:val="22"/>
          <w:szCs w:val="22"/>
        </w:rPr>
        <w:t>, however,</w:t>
      </w:r>
      <w:r w:rsidR="006B1F60">
        <w:rPr>
          <w:sz w:val="22"/>
          <w:szCs w:val="22"/>
        </w:rPr>
        <w:t xml:space="preserve"> does provide evidence that EVD did not affect income inequality. </w:t>
      </w:r>
      <w:r w:rsidR="00175988">
        <w:rPr>
          <w:sz w:val="22"/>
          <w:szCs w:val="22"/>
        </w:rPr>
        <w:t xml:space="preserve">Through changing the measure of inequality to the </w:t>
      </w:r>
      <w:r w:rsidR="00F32BB5">
        <w:rPr>
          <w:sz w:val="22"/>
          <w:szCs w:val="22"/>
        </w:rPr>
        <w:t>Palma</w:t>
      </w:r>
      <w:r w:rsidR="00175988">
        <w:rPr>
          <w:sz w:val="22"/>
          <w:szCs w:val="22"/>
        </w:rPr>
        <w:t xml:space="preserve"> ratio, the p-value dropped from 0.42 to 0.05. The </w:t>
      </w:r>
      <w:r w:rsidR="00F32BB5">
        <w:rPr>
          <w:sz w:val="22"/>
          <w:szCs w:val="22"/>
        </w:rPr>
        <w:t>Gini</w:t>
      </w:r>
      <w:r w:rsidR="00175988">
        <w:rPr>
          <w:sz w:val="22"/>
          <w:szCs w:val="22"/>
        </w:rPr>
        <w:t xml:space="preserve"> is known to be insensitive at the tails and overly sensitive to changes in the middle of the distribution. The </w:t>
      </w:r>
      <w:proofErr w:type="gramStart"/>
      <w:r w:rsidR="00175988">
        <w:rPr>
          <w:sz w:val="22"/>
          <w:szCs w:val="22"/>
        </w:rPr>
        <w:t>drop in</w:t>
      </w:r>
      <w:proofErr w:type="gramEnd"/>
      <w:r w:rsidR="00175988">
        <w:rPr>
          <w:sz w:val="22"/>
          <w:szCs w:val="22"/>
        </w:rPr>
        <w:t xml:space="preserve"> p-value</w:t>
      </w:r>
      <w:r w:rsidR="00B57FCC">
        <w:rPr>
          <w:sz w:val="22"/>
          <w:szCs w:val="22"/>
        </w:rPr>
        <w:t xml:space="preserve">s of </w:t>
      </w:r>
      <w:r w:rsidR="00B57FCC">
        <w:rPr>
          <w:i/>
          <w:iCs/>
          <w:sz w:val="22"/>
          <w:szCs w:val="22"/>
        </w:rPr>
        <w:t>epi</w:t>
      </w:r>
      <w:r w:rsidR="00175988">
        <w:rPr>
          <w:sz w:val="22"/>
          <w:szCs w:val="22"/>
        </w:rPr>
        <w:t xml:space="preserve"> between the two models suggests that the </w:t>
      </w:r>
      <w:r w:rsidR="00F32BB5">
        <w:rPr>
          <w:sz w:val="22"/>
          <w:szCs w:val="22"/>
        </w:rPr>
        <w:t>Palma</w:t>
      </w:r>
      <w:r w:rsidR="00175988">
        <w:rPr>
          <w:sz w:val="22"/>
          <w:szCs w:val="22"/>
        </w:rPr>
        <w:t xml:space="preserve"> ratio is better suited to study developing regions like West Africa which already face high inequality.</w:t>
      </w:r>
      <w:r w:rsidR="00B57FCC">
        <w:rPr>
          <w:sz w:val="22"/>
          <w:szCs w:val="22"/>
        </w:rPr>
        <w:t xml:space="preserve"> The </w:t>
      </w:r>
      <w:r w:rsidR="00F32BB5">
        <w:rPr>
          <w:sz w:val="22"/>
          <w:szCs w:val="22"/>
        </w:rPr>
        <w:t>Palma</w:t>
      </w:r>
      <w:r w:rsidR="00B57FCC">
        <w:rPr>
          <w:sz w:val="22"/>
          <w:szCs w:val="22"/>
        </w:rPr>
        <w:t xml:space="preserve"> ratio is especially suited to shocks like the Ebola epidemic which disproportionately affect the poorest groups. The middle of the distribution likely has a stronger safety net through savings or access to credit. </w:t>
      </w:r>
    </w:p>
    <w:p w14:paraId="08AE2261" w14:textId="32D7A9E9" w:rsidR="009074FE" w:rsidRDefault="006B1F60" w:rsidP="009074FE">
      <w:pPr>
        <w:ind w:firstLine="360"/>
        <w:rPr>
          <w:sz w:val="22"/>
          <w:szCs w:val="22"/>
        </w:rPr>
      </w:pPr>
      <w:r>
        <w:rPr>
          <w:sz w:val="22"/>
          <w:szCs w:val="22"/>
        </w:rPr>
        <w:lastRenderedPageBreak/>
        <w:t>Model 3 did not find strong evidence that EVD affected the net inflows of foreign direct investment.</w:t>
      </w:r>
      <w:r w:rsidR="00DD7EB5">
        <w:rPr>
          <w:sz w:val="22"/>
          <w:szCs w:val="22"/>
        </w:rPr>
        <w:t xml:space="preserve"> </w:t>
      </w:r>
      <w:r w:rsidR="002D0DBC">
        <w:rPr>
          <w:sz w:val="22"/>
          <w:szCs w:val="22"/>
        </w:rPr>
        <w:t>Instead, m</w:t>
      </w:r>
      <w:r w:rsidR="00DD7EB5">
        <w:rPr>
          <w:sz w:val="22"/>
          <w:szCs w:val="22"/>
        </w:rPr>
        <w:t xml:space="preserve">odel 3 did support the </w:t>
      </w:r>
      <w:r w:rsidR="002D0DBC">
        <w:rPr>
          <w:sz w:val="22"/>
          <w:szCs w:val="22"/>
        </w:rPr>
        <w:t xml:space="preserve">claim that </w:t>
      </w:r>
      <w:r w:rsidR="00DD7EB5">
        <w:rPr>
          <w:sz w:val="22"/>
          <w:szCs w:val="22"/>
        </w:rPr>
        <w:t>unemployment and foreign direct investment</w:t>
      </w:r>
      <w:r w:rsidR="002D0DBC">
        <w:rPr>
          <w:sz w:val="22"/>
          <w:szCs w:val="22"/>
        </w:rPr>
        <w:t xml:space="preserve"> are inversely related</w:t>
      </w:r>
      <w:r w:rsidR="00DD7EB5">
        <w:rPr>
          <w:sz w:val="22"/>
          <w:szCs w:val="22"/>
        </w:rPr>
        <w:t xml:space="preserve">. Unemployment’s large negative association with foreign direct investment can be </w:t>
      </w:r>
      <w:r w:rsidR="009074FE">
        <w:rPr>
          <w:sz w:val="22"/>
          <w:szCs w:val="22"/>
        </w:rPr>
        <w:t>exemplified</w:t>
      </w:r>
      <w:r w:rsidR="00DD7EB5">
        <w:rPr>
          <w:sz w:val="22"/>
          <w:szCs w:val="22"/>
        </w:rPr>
        <w:t xml:space="preserve"> in the mining operations in Liberia. When the initial mining operations began with foreign funding, job opportunities were created for both skilled and unskilled workers. As the E</w:t>
      </w:r>
      <w:r w:rsidR="009074FE">
        <w:rPr>
          <w:sz w:val="22"/>
          <w:szCs w:val="22"/>
        </w:rPr>
        <w:t>bola</w:t>
      </w:r>
      <w:r w:rsidR="00DD7EB5">
        <w:rPr>
          <w:sz w:val="22"/>
          <w:szCs w:val="22"/>
        </w:rPr>
        <w:t xml:space="preserve"> epidemic began, the foreign funding for the projects declined, causing unemployment to increase</w:t>
      </w:r>
      <w:r w:rsidR="009074FE">
        <w:rPr>
          <w:sz w:val="22"/>
          <w:szCs w:val="22"/>
        </w:rPr>
        <w:t xml:space="preserve">. </w:t>
      </w:r>
      <w:r w:rsidR="00D45D5F">
        <w:rPr>
          <w:sz w:val="22"/>
          <w:szCs w:val="22"/>
        </w:rPr>
        <w:t xml:space="preserve">Model 3 also supports the claim that the urban population is an indicator of economic activity in cities. </w:t>
      </w:r>
    </w:p>
    <w:p w14:paraId="4807F066" w14:textId="39E59E89" w:rsidR="00BA182F" w:rsidRDefault="009074FE" w:rsidP="009074FE">
      <w:pPr>
        <w:ind w:firstLine="360"/>
        <w:rPr>
          <w:sz w:val="22"/>
          <w:szCs w:val="22"/>
        </w:rPr>
      </w:pPr>
      <w:r>
        <w:rPr>
          <w:sz w:val="22"/>
          <w:szCs w:val="22"/>
        </w:rPr>
        <w:t xml:space="preserve">This paper’s flaws are archetypal flaws in inequality research. The first is omitted variable bias. Inequality measures such as the Gini and the Palma Ratio are highly complex in their components. An incredible number of factors determine the result of those variables. The omissions of proper controls will cause an overestimation of the effect of my dependent variable, the number of Ebola cases. Some of the controls in these models </w:t>
      </w:r>
      <w:r w:rsidR="008078CF">
        <w:rPr>
          <w:sz w:val="22"/>
          <w:szCs w:val="22"/>
        </w:rPr>
        <w:t xml:space="preserve">are not sufficient as well. The </w:t>
      </w:r>
      <w:r w:rsidR="008078CF">
        <w:rPr>
          <w:i/>
          <w:iCs/>
          <w:sz w:val="22"/>
          <w:szCs w:val="22"/>
        </w:rPr>
        <w:t>conflict</w:t>
      </w:r>
      <w:r w:rsidR="008078CF">
        <w:rPr>
          <w:sz w:val="22"/>
          <w:szCs w:val="22"/>
        </w:rPr>
        <w:t xml:space="preserve"> variable is simply a dummy for the presence of wars, revolutions and military coups. Controlling for the effects of these events would be arduous with suitable data, and infeasible with sparse data.</w:t>
      </w:r>
      <w:r w:rsidR="00914A91">
        <w:rPr>
          <w:sz w:val="22"/>
          <w:szCs w:val="22"/>
        </w:rPr>
        <w:t xml:space="preserve"> Conflict will also have a large effect on the political economy of a region, and these models do not control for differing policies which may affect </w:t>
      </w:r>
      <w:r w:rsidR="00CB35CE">
        <w:rPr>
          <w:sz w:val="22"/>
          <w:szCs w:val="22"/>
        </w:rPr>
        <w:t xml:space="preserve">income </w:t>
      </w:r>
      <w:r w:rsidR="00914A91">
        <w:rPr>
          <w:sz w:val="22"/>
          <w:szCs w:val="22"/>
        </w:rPr>
        <w:t xml:space="preserve">inequality and Ebola. </w:t>
      </w:r>
      <w:r w:rsidR="008078CF">
        <w:rPr>
          <w:sz w:val="22"/>
          <w:szCs w:val="22"/>
        </w:rPr>
        <w:t xml:space="preserve"> Another control that is insufficient is </w:t>
      </w:r>
      <w:proofErr w:type="spellStart"/>
      <w:r w:rsidR="008078CF">
        <w:rPr>
          <w:i/>
          <w:iCs/>
          <w:sz w:val="22"/>
          <w:szCs w:val="22"/>
        </w:rPr>
        <w:t>govSpend</w:t>
      </w:r>
      <w:proofErr w:type="spellEnd"/>
      <w:r w:rsidR="008078CF">
        <w:rPr>
          <w:sz w:val="22"/>
          <w:szCs w:val="22"/>
        </w:rPr>
        <w:t xml:space="preserve">, but there is a lack of data on healthcare spending in West Africa. </w:t>
      </w:r>
    </w:p>
    <w:p w14:paraId="43075ACF" w14:textId="671329BA" w:rsidR="009256E8" w:rsidRPr="005F236A" w:rsidRDefault="009256E8" w:rsidP="009074FE">
      <w:pPr>
        <w:ind w:firstLine="360"/>
        <w:rPr>
          <w:sz w:val="22"/>
          <w:szCs w:val="22"/>
        </w:rPr>
      </w:pPr>
      <w:r>
        <w:rPr>
          <w:sz w:val="22"/>
          <w:szCs w:val="22"/>
        </w:rPr>
        <w:t xml:space="preserve">The second archetypal flaw present in this paper is that of simultaneity bias. Without a suitable instrument for </w:t>
      </w:r>
      <w:r w:rsidR="000E7B81">
        <w:rPr>
          <w:sz w:val="22"/>
          <w:szCs w:val="22"/>
        </w:rPr>
        <w:t>the intensity of the Ebola Epidemic, my coefficients will be biased. It wouldn’t be an issue if disease outbreaks were random, but they are not. Regions with poorer healthcare infrastructure and sanitation will generally be more prone to disease. Regions that have large inequality may be more prone to poorer healthcare infrastructure and sanitation, as the presence of inequality indicates that there are impoverished groups who may not have access to health services or proper sanitation.</w:t>
      </w:r>
      <w:r w:rsidR="005F236A">
        <w:rPr>
          <w:sz w:val="22"/>
          <w:szCs w:val="22"/>
        </w:rPr>
        <w:t xml:space="preserve"> Simultaneity </w:t>
      </w:r>
      <w:r w:rsidR="00D20753">
        <w:rPr>
          <w:sz w:val="22"/>
          <w:szCs w:val="22"/>
        </w:rPr>
        <w:t>will</w:t>
      </w:r>
      <w:r w:rsidR="005F236A">
        <w:rPr>
          <w:sz w:val="22"/>
          <w:szCs w:val="22"/>
        </w:rPr>
        <w:t xml:space="preserve"> also bias the coefficients for </w:t>
      </w:r>
      <w:proofErr w:type="spellStart"/>
      <w:r w:rsidR="005F236A">
        <w:rPr>
          <w:i/>
          <w:iCs/>
          <w:sz w:val="22"/>
          <w:szCs w:val="22"/>
        </w:rPr>
        <w:t>unemploy</w:t>
      </w:r>
      <w:proofErr w:type="spellEnd"/>
      <w:r w:rsidR="005F236A">
        <w:rPr>
          <w:sz w:val="22"/>
          <w:szCs w:val="22"/>
        </w:rPr>
        <w:t xml:space="preserve"> as change in wealth inequality may directly affect unemployment</w:t>
      </w:r>
      <w:r w:rsidR="00793973">
        <w:rPr>
          <w:sz w:val="22"/>
          <w:szCs w:val="22"/>
        </w:rPr>
        <w:t>.</w:t>
      </w:r>
    </w:p>
    <w:p w14:paraId="3BD8C33D" w14:textId="132ED0E9" w:rsidR="000D69E6" w:rsidRDefault="00236256" w:rsidP="00F32BB5">
      <w:pPr>
        <w:ind w:firstLine="360"/>
        <w:rPr>
          <w:sz w:val="22"/>
          <w:szCs w:val="22"/>
        </w:rPr>
      </w:pPr>
      <w:r>
        <w:rPr>
          <w:sz w:val="22"/>
          <w:szCs w:val="22"/>
        </w:rPr>
        <w:t xml:space="preserve">The World Bank estimates paired with the World Inequality Database estimates uncover a few non-intuitive relationships such as the relationship between unemployment and inequality measures. In both Models 1 and 2, unemployment’s p-value is statistically significant and inversely associated with income inequality. </w:t>
      </w:r>
      <w:r w:rsidR="00610AAE">
        <w:rPr>
          <w:sz w:val="22"/>
          <w:szCs w:val="22"/>
        </w:rPr>
        <w:t xml:space="preserve">Respectively, </w:t>
      </w:r>
      <w:proofErr w:type="spellStart"/>
      <w:r w:rsidR="00610AAE">
        <w:rPr>
          <w:i/>
          <w:iCs/>
          <w:sz w:val="22"/>
          <w:szCs w:val="22"/>
        </w:rPr>
        <w:t>unemploy</w:t>
      </w:r>
      <w:r w:rsidR="00610AAE">
        <w:rPr>
          <w:sz w:val="22"/>
          <w:szCs w:val="22"/>
        </w:rPr>
        <w:t>’s</w:t>
      </w:r>
      <w:proofErr w:type="spellEnd"/>
      <w:r w:rsidR="00610AAE">
        <w:rPr>
          <w:sz w:val="22"/>
          <w:szCs w:val="22"/>
        </w:rPr>
        <w:t xml:space="preserve"> beta coefficients were -0.38 and -0.40. These are large influences on </w:t>
      </w:r>
      <w:r w:rsidR="006E2C96">
        <w:rPr>
          <w:sz w:val="22"/>
          <w:szCs w:val="22"/>
        </w:rPr>
        <w:t>both</w:t>
      </w:r>
      <w:r w:rsidR="00610AAE">
        <w:rPr>
          <w:sz w:val="22"/>
          <w:szCs w:val="22"/>
        </w:rPr>
        <w:t xml:space="preserve"> inequality measures, but they are a direct contradiction to the unemployment mechanism used in this model. Supposedly, as unemployment rises, inequality will rise as the poorest groups become worse off. This relation is not seen in the data. </w:t>
      </w:r>
      <w:r w:rsidR="00161530">
        <w:rPr>
          <w:sz w:val="22"/>
          <w:szCs w:val="22"/>
        </w:rPr>
        <w:t>The data shows that unemployment is declining in the face of rising income inequality</w:t>
      </w:r>
      <w:r w:rsidR="00610AAE">
        <w:rPr>
          <w:sz w:val="22"/>
          <w:szCs w:val="22"/>
        </w:rPr>
        <w:t xml:space="preserve">. </w:t>
      </w:r>
      <w:r w:rsidR="00EA3DD7">
        <w:rPr>
          <w:sz w:val="22"/>
          <w:szCs w:val="22"/>
        </w:rPr>
        <w:t>First,</w:t>
      </w:r>
      <w:r w:rsidR="00192E18">
        <w:rPr>
          <w:sz w:val="22"/>
          <w:szCs w:val="22"/>
        </w:rPr>
        <w:t xml:space="preserve"> we should look at the inequality trends. Figure 2 shows that both the </w:t>
      </w:r>
      <w:r w:rsidR="00B572F2">
        <w:rPr>
          <w:sz w:val="22"/>
          <w:szCs w:val="22"/>
        </w:rPr>
        <w:t>Gini coefficient</w:t>
      </w:r>
      <w:r w:rsidR="00192E18">
        <w:rPr>
          <w:sz w:val="22"/>
          <w:szCs w:val="22"/>
        </w:rPr>
        <w:t xml:space="preserve"> and the </w:t>
      </w:r>
      <w:r w:rsidR="00B572F2">
        <w:rPr>
          <w:sz w:val="22"/>
          <w:szCs w:val="22"/>
        </w:rPr>
        <w:t>Palma ratio</w:t>
      </w:r>
      <w:r w:rsidR="00192E18">
        <w:rPr>
          <w:sz w:val="22"/>
          <w:szCs w:val="22"/>
        </w:rPr>
        <w:t xml:space="preserve"> are declining, despite a large body of literature </w:t>
      </w:r>
      <w:r w:rsidR="00793973">
        <w:rPr>
          <w:sz w:val="22"/>
          <w:szCs w:val="22"/>
        </w:rPr>
        <w:t xml:space="preserve">describing </w:t>
      </w:r>
      <w:r w:rsidR="00192E18">
        <w:rPr>
          <w:sz w:val="22"/>
          <w:szCs w:val="22"/>
        </w:rPr>
        <w:t>West Africa’s inequality a</w:t>
      </w:r>
      <w:r w:rsidR="00914A91">
        <w:rPr>
          <w:sz w:val="22"/>
          <w:szCs w:val="22"/>
        </w:rPr>
        <w:t>t</w:t>
      </w:r>
      <w:r w:rsidR="00192E18">
        <w:rPr>
          <w:sz w:val="22"/>
          <w:szCs w:val="22"/>
        </w:rPr>
        <w:t xml:space="preserve"> crisis levels.</w:t>
      </w:r>
      <w:r w:rsidR="00EA3DD7">
        <w:rPr>
          <w:sz w:val="22"/>
          <w:szCs w:val="22"/>
        </w:rPr>
        <w:t xml:space="preserve"> The relation</w:t>
      </w:r>
      <w:r w:rsidR="00793973">
        <w:rPr>
          <w:sz w:val="22"/>
          <w:szCs w:val="22"/>
        </w:rPr>
        <w:t>ship between the unemployment rate and the inequality measures</w:t>
      </w:r>
      <w:r w:rsidR="00EA3DD7">
        <w:rPr>
          <w:sz w:val="22"/>
          <w:szCs w:val="22"/>
        </w:rPr>
        <w:t xml:space="preserve"> seen in models 1 and 2 may be the result of the natural rate theory on unemployment. Natural rate theory predicts that the distortion of markets through institutional organizations will create a unique economic equilibrium. Unemployment </w:t>
      </w:r>
      <w:r w:rsidR="00161530">
        <w:rPr>
          <w:noProof/>
        </w:rPr>
        <mc:AlternateContent>
          <mc:Choice Requires="wps">
            <w:drawing>
              <wp:anchor distT="0" distB="0" distL="114300" distR="114300" simplePos="0" relativeHeight="251662336" behindDoc="0" locked="0" layoutInCell="1" allowOverlap="1" wp14:anchorId="3D3B4B7C" wp14:editId="1323D7DD">
                <wp:simplePos x="0" y="0"/>
                <wp:positionH relativeFrom="column">
                  <wp:posOffset>0</wp:posOffset>
                </wp:positionH>
                <wp:positionV relativeFrom="paragraph">
                  <wp:posOffset>2355850</wp:posOffset>
                </wp:positionV>
                <wp:extent cx="342900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789A9934" w14:textId="5F45A175" w:rsidR="00465A30" w:rsidRPr="003443D9" w:rsidRDefault="00465A30" w:rsidP="00161530">
                            <w:pPr>
                              <w:pStyle w:val="Caption"/>
                              <w:rPr>
                                <w:sz w:val="22"/>
                                <w:szCs w:val="22"/>
                              </w:rPr>
                            </w:pPr>
                            <w:r>
                              <w:t xml:space="preserve">Figure </w:t>
                            </w:r>
                            <w:fldSimple w:instr=" SEQ Figure \* ARABIC ">
                              <w:r>
                                <w:rPr>
                                  <w:noProof/>
                                </w:rPr>
                                <w:t>2</w:t>
                              </w:r>
                            </w:fldSimple>
                            <w:r>
                              <w:t>: Average Palma Ratio 1990-2017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B4B7C" id="Text Box 6" o:spid="_x0000_s1027" type="#_x0000_t202" style="position:absolute;left:0;text-align:left;margin-left:0;margin-top:185.5pt;width:27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" stroked="f">
                <v:textbox style="mso-fit-shape-to-text:t" inset="0,0,0,0">
                  <w:txbxContent>
                    <w:p w14:paraId="789A9934" w14:textId="5F45A175" w:rsidR="00465A30" w:rsidRPr="003443D9" w:rsidRDefault="00465A30" w:rsidP="00161530">
                      <w:pPr>
                        <w:pStyle w:val="Caption"/>
                        <w:rPr>
                          <w:sz w:val="22"/>
                          <w:szCs w:val="22"/>
                        </w:rPr>
                      </w:pPr>
                      <w:r>
                        <w:t xml:space="preserve">Figure </w:t>
                      </w:r>
                      <w:fldSimple w:instr=" SEQ Figure \* ARABIC ">
                        <w:r>
                          <w:rPr>
                            <w:noProof/>
                          </w:rPr>
                          <w:t>2</w:t>
                        </w:r>
                      </w:fldSimple>
                      <w:r>
                        <w:t>: Average Palma Ratio 1990-2017</w:t>
                      </w:r>
                    </w:p>
                  </w:txbxContent>
                </v:textbox>
                <w10:wrap type="square"/>
              </v:shape>
            </w:pict>
          </mc:Fallback>
        </mc:AlternateContent>
      </w:r>
      <w:r w:rsidR="00161530">
        <w:rPr>
          <w:noProof/>
        </w:rPr>
        <w:drawing>
          <wp:anchor distT="0" distB="0" distL="114300" distR="114300" simplePos="0" relativeHeight="251660288" behindDoc="0" locked="0" layoutInCell="1" allowOverlap="1" wp14:anchorId="73CB18A2" wp14:editId="2DD20F61">
            <wp:simplePos x="0" y="0"/>
            <wp:positionH relativeFrom="column">
              <wp:posOffset>0</wp:posOffset>
            </wp:positionH>
            <wp:positionV relativeFrom="paragraph">
              <wp:posOffset>165100</wp:posOffset>
            </wp:positionV>
            <wp:extent cx="3429000" cy="2133600"/>
            <wp:effectExtent l="0" t="0" r="12700" b="12700"/>
            <wp:wrapSquare wrapText="bothSides"/>
            <wp:docPr id="5" name="Chart 5">
              <a:extLst xmlns:a="http://schemas.openxmlformats.org/drawingml/2006/main">
                <a:ext uri="{FF2B5EF4-FFF2-40B4-BE49-F238E27FC236}">
                  <a16:creationId xmlns:a16="http://schemas.microsoft.com/office/drawing/2014/main" id="{B6754CD0-FC01-CA4C-AD06-11B863E791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EA3DD7">
        <w:rPr>
          <w:sz w:val="22"/>
          <w:szCs w:val="22"/>
        </w:rPr>
        <w:t>will always return to this equilibrium. Friedman argued that def</w:t>
      </w:r>
      <w:r w:rsidR="00161530">
        <w:rPr>
          <w:sz w:val="22"/>
          <w:szCs w:val="22"/>
        </w:rPr>
        <w:t>ining unemployment as natural means that monetary policy cannot reduce unemployment below the equilibrium in the long run and that the natural rate of unemployment is determined by the incentive structure of economic agents</w:t>
      </w:r>
      <w:r w:rsidR="000C048D">
        <w:rPr>
          <w:sz w:val="22"/>
          <w:szCs w:val="22"/>
        </w:rPr>
        <w:t xml:space="preserve"> (Friedman, 7)</w:t>
      </w:r>
      <w:r w:rsidR="00161530">
        <w:rPr>
          <w:sz w:val="22"/>
          <w:szCs w:val="22"/>
        </w:rPr>
        <w:t xml:space="preserve">. In the case of West Africa, unemployment may be returning to its natural unemployment rate from below while simultaneously income inequality is in decline. </w:t>
      </w:r>
      <w:r w:rsidR="00DD3FBB">
        <w:rPr>
          <w:sz w:val="22"/>
          <w:szCs w:val="22"/>
        </w:rPr>
        <w:lastRenderedPageBreak/>
        <w:t>However</w:t>
      </w:r>
      <w:r w:rsidR="00161530">
        <w:rPr>
          <w:sz w:val="22"/>
          <w:szCs w:val="22"/>
        </w:rPr>
        <w:t xml:space="preserve">, the literature wouldn’t support this theory as inequality is generally recognized to be </w:t>
      </w:r>
      <w:r w:rsidR="00177C4D">
        <w:rPr>
          <w:sz w:val="22"/>
          <w:szCs w:val="22"/>
        </w:rPr>
        <w:t>rapidly increasing</w:t>
      </w:r>
      <w:r w:rsidR="00161530">
        <w:rPr>
          <w:sz w:val="22"/>
          <w:szCs w:val="22"/>
        </w:rPr>
        <w:t xml:space="preserve">. </w:t>
      </w:r>
      <w:r w:rsidR="00225788">
        <w:rPr>
          <w:sz w:val="22"/>
          <w:szCs w:val="22"/>
        </w:rPr>
        <w:t xml:space="preserve">Ronald </w:t>
      </w:r>
      <w:proofErr w:type="spellStart"/>
      <w:r w:rsidR="001A4D1D">
        <w:rPr>
          <w:sz w:val="22"/>
          <w:szCs w:val="22"/>
        </w:rPr>
        <w:t>Schettkat</w:t>
      </w:r>
      <w:proofErr w:type="spellEnd"/>
      <w:r w:rsidR="001A4D1D">
        <w:rPr>
          <w:sz w:val="22"/>
          <w:szCs w:val="22"/>
        </w:rPr>
        <w:t>,</w:t>
      </w:r>
      <w:r w:rsidR="00225788">
        <w:rPr>
          <w:sz w:val="22"/>
          <w:szCs w:val="22"/>
        </w:rPr>
        <w:t xml:space="preserve"> whose work was seen in the Literature Review, supports the theory that there are multiple equilibria which depend on the arrangements between institutions.</w:t>
      </w:r>
    </w:p>
    <w:p w14:paraId="1CE76902" w14:textId="19E1393A" w:rsidR="00935C5F" w:rsidRPr="00BD746F" w:rsidRDefault="000D69E6" w:rsidP="00BD746F">
      <w:pPr>
        <w:ind w:firstLine="360"/>
        <w:rPr>
          <w:sz w:val="22"/>
          <w:szCs w:val="22"/>
        </w:rPr>
      </w:pPr>
      <w:r>
        <w:rPr>
          <w:sz w:val="22"/>
          <w:szCs w:val="22"/>
        </w:rPr>
        <w:t xml:space="preserve">Another </w:t>
      </w:r>
      <w:r w:rsidR="00BB2043">
        <w:rPr>
          <w:sz w:val="22"/>
          <w:szCs w:val="22"/>
        </w:rPr>
        <w:t>notable</w:t>
      </w:r>
      <w:r>
        <w:rPr>
          <w:sz w:val="22"/>
          <w:szCs w:val="22"/>
        </w:rPr>
        <w:t xml:space="preserve"> insight that this pairing of databases showed was in model 3. The Palma ratio had a strong negative association with </w:t>
      </w:r>
      <w:r w:rsidR="00793973">
        <w:rPr>
          <w:sz w:val="22"/>
          <w:szCs w:val="22"/>
        </w:rPr>
        <w:t xml:space="preserve">foreign direct investment </w:t>
      </w:r>
      <w:r>
        <w:rPr>
          <w:sz w:val="22"/>
          <w:szCs w:val="22"/>
        </w:rPr>
        <w:t xml:space="preserve">while the Gini had a strong positive association, and both were statistically significant. The Palma coefficient supports foreign direct investment as a proper mechanism in this model, but the </w:t>
      </w:r>
      <w:r w:rsidR="00B572F2">
        <w:rPr>
          <w:sz w:val="22"/>
          <w:szCs w:val="22"/>
        </w:rPr>
        <w:t>Gini</w:t>
      </w:r>
      <w:r>
        <w:rPr>
          <w:sz w:val="22"/>
          <w:szCs w:val="22"/>
        </w:rPr>
        <w:t xml:space="preserve"> coefficient does not. Additionally, model 3 highlights how different the outcomes can </w:t>
      </w:r>
      <w:r w:rsidRPr="00BD746F">
        <w:rPr>
          <w:sz w:val="22"/>
          <w:szCs w:val="22"/>
        </w:rPr>
        <w:t>be</w:t>
      </w:r>
      <w:r w:rsidRPr="00BD746F">
        <w:rPr>
          <w:noProof/>
          <w:sz w:val="22"/>
          <w:szCs w:val="22"/>
        </w:rPr>
        <w:t xml:space="preserve"> </w:t>
      </w:r>
      <w:r w:rsidR="00F32BB5" w:rsidRPr="00BD746F">
        <w:rPr>
          <w:noProof/>
          <w:sz w:val="22"/>
          <w:szCs w:val="22"/>
        </w:rPr>
        <mc:AlternateContent>
          <mc:Choice Requires="wps">
            <w:drawing>
              <wp:anchor distT="0" distB="0" distL="114300" distR="114300" simplePos="0" relativeHeight="251665408" behindDoc="0" locked="0" layoutInCell="1" allowOverlap="1" wp14:anchorId="146CFDC0" wp14:editId="0314B527">
                <wp:simplePos x="0" y="0"/>
                <wp:positionH relativeFrom="column">
                  <wp:posOffset>0</wp:posOffset>
                </wp:positionH>
                <wp:positionV relativeFrom="paragraph">
                  <wp:posOffset>2393950</wp:posOffset>
                </wp:positionV>
                <wp:extent cx="342900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0AF31975" w14:textId="69FB5ACE" w:rsidR="00465A30" w:rsidRPr="003302C4" w:rsidRDefault="00465A30" w:rsidP="00F32BB5">
                            <w:pPr>
                              <w:pStyle w:val="Caption"/>
                              <w:rPr>
                                <w:sz w:val="22"/>
                                <w:szCs w:val="22"/>
                              </w:rPr>
                            </w:pPr>
                            <w:r>
                              <w:t xml:space="preserve">Figure </w:t>
                            </w:r>
                            <w:fldSimple w:instr=" SEQ Figure \* ARABIC ">
                              <w:r>
                                <w:rPr>
                                  <w:noProof/>
                                </w:rPr>
                                <w:t>3</w:t>
                              </w:r>
                            </w:fldSimple>
                            <w:r>
                              <w:t xml:space="preserve">: The average </w:t>
                            </w:r>
                            <w:proofErr w:type="spellStart"/>
                            <w:r>
                              <w:t>gini</w:t>
                            </w:r>
                            <w:proofErr w:type="spellEnd"/>
                            <w:r>
                              <w:t xml:space="preserve"> estimate 1990-2017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CFDC0" id="Text Box 7" o:spid="_x0000_s1028" type="#_x0000_t202" style="position:absolute;left:0;text-align:left;margin-left:0;margin-top:188.5pt;width:27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" stroked="f">
                <v:textbox style="mso-fit-shape-to-text:t" inset="0,0,0,0">
                  <w:txbxContent>
                    <w:p w14:paraId="0AF31975" w14:textId="69FB5ACE" w:rsidR="00465A30" w:rsidRPr="003302C4" w:rsidRDefault="00465A30" w:rsidP="00F32BB5">
                      <w:pPr>
                        <w:pStyle w:val="Caption"/>
                        <w:rPr>
                          <w:sz w:val="22"/>
                          <w:szCs w:val="22"/>
                        </w:rPr>
                      </w:pPr>
                      <w:r>
                        <w:t xml:space="preserve">Figure </w:t>
                      </w:r>
                      <w:fldSimple w:instr=" SEQ Figure \* ARABIC ">
                        <w:r>
                          <w:rPr>
                            <w:noProof/>
                          </w:rPr>
                          <w:t>3</w:t>
                        </w:r>
                      </w:fldSimple>
                      <w:r>
                        <w:t xml:space="preserve">: The average </w:t>
                      </w:r>
                      <w:proofErr w:type="spellStart"/>
                      <w:r>
                        <w:t>gini</w:t>
                      </w:r>
                      <w:proofErr w:type="spellEnd"/>
                      <w:r>
                        <w:t xml:space="preserve"> estimate 1990-2017</w:t>
                      </w:r>
                    </w:p>
                  </w:txbxContent>
                </v:textbox>
                <w10:wrap type="square"/>
              </v:shape>
            </w:pict>
          </mc:Fallback>
        </mc:AlternateContent>
      </w:r>
      <w:r w:rsidR="00192E18" w:rsidRPr="00BD746F">
        <w:rPr>
          <w:noProof/>
          <w:sz w:val="22"/>
          <w:szCs w:val="22"/>
        </w:rPr>
        <w:drawing>
          <wp:anchor distT="0" distB="0" distL="114300" distR="114300" simplePos="0" relativeHeight="251663360" behindDoc="0" locked="0" layoutInCell="1" allowOverlap="1" wp14:anchorId="3C095169" wp14:editId="66D83DF2">
            <wp:simplePos x="0" y="0"/>
            <wp:positionH relativeFrom="column">
              <wp:posOffset>0</wp:posOffset>
            </wp:positionH>
            <wp:positionV relativeFrom="paragraph">
              <wp:posOffset>0</wp:posOffset>
            </wp:positionV>
            <wp:extent cx="3429000" cy="2336800"/>
            <wp:effectExtent l="0" t="0" r="12700" b="12700"/>
            <wp:wrapSquare wrapText="bothSides"/>
            <wp:docPr id="4" name="Chart 4">
              <a:extLst xmlns:a="http://schemas.openxmlformats.org/drawingml/2006/main">
                <a:ext uri="{FF2B5EF4-FFF2-40B4-BE49-F238E27FC236}">
                  <a16:creationId xmlns:a16="http://schemas.microsoft.com/office/drawing/2014/main" id="{4A44F564-2048-9147-BA7F-BDCDE1945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BD746F">
        <w:rPr>
          <w:noProof/>
          <w:sz w:val="22"/>
          <w:szCs w:val="22"/>
        </w:rPr>
        <w:t xml:space="preserve">given differing </w:t>
      </w:r>
      <w:r w:rsidRPr="00BD746F">
        <w:rPr>
          <w:sz w:val="22"/>
          <w:szCs w:val="22"/>
        </w:rPr>
        <w:t xml:space="preserve">measures of inequality. Using the Palma interpretation, foreign direct investment may increase the income share of the bottom 40% by increasing the number of unskilled jobs available without increasing the income share of the top 10%, because the </w:t>
      </w:r>
      <w:r w:rsidR="002E0963" w:rsidRPr="00BD746F">
        <w:rPr>
          <w:sz w:val="22"/>
          <w:szCs w:val="22"/>
        </w:rPr>
        <w:t xml:space="preserve">groups benefiting the most are the foreign investment suppliers. </w:t>
      </w:r>
      <w:r w:rsidR="00F32BB5" w:rsidRPr="00BD746F">
        <w:rPr>
          <w:sz w:val="22"/>
          <w:szCs w:val="22"/>
        </w:rPr>
        <w:t xml:space="preserve">Under the Gini interpretation, </w:t>
      </w:r>
      <w:r w:rsidR="00793973" w:rsidRPr="00BD746F">
        <w:rPr>
          <w:sz w:val="22"/>
          <w:szCs w:val="22"/>
        </w:rPr>
        <w:t>foreign</w:t>
      </w:r>
      <w:r w:rsidR="00F32BB5" w:rsidRPr="00BD746F">
        <w:rPr>
          <w:sz w:val="22"/>
          <w:szCs w:val="22"/>
        </w:rPr>
        <w:t xml:space="preserve"> inflows widen inequality by supplying the top of the distribution capital, and the bottom of the distribution receive income through “trickle down” effects</w:t>
      </w:r>
      <w:r w:rsidR="00F32BB5">
        <w:t xml:space="preserve">. </w:t>
      </w:r>
    </w:p>
    <w:p w14:paraId="32F27FCD" w14:textId="518C5CC0" w:rsidR="000D69E6" w:rsidRPr="00BD746F" w:rsidRDefault="00935C5F" w:rsidP="00DE286C">
      <w:pPr>
        <w:rPr>
          <w:sz w:val="22"/>
          <w:szCs w:val="22"/>
        </w:rPr>
      </w:pPr>
      <w:r>
        <w:tab/>
        <w:t>A</w:t>
      </w:r>
      <w:r w:rsidRPr="00BD746F">
        <w:rPr>
          <w:sz w:val="22"/>
          <w:szCs w:val="22"/>
        </w:rPr>
        <w:t xml:space="preserve"> third weakness in this paper is the proximity of the Ebola epidemic to the end of the data. The last reported case was in 2016, and the study extends only a year after. Any effects that manifest in a term longer than a year will not be accounted for by this model. As the Gini coefficient and the Palma ratio are comprised of so many other variables, it </w:t>
      </w:r>
      <w:r w:rsidR="00793973" w:rsidRPr="00BD746F">
        <w:rPr>
          <w:sz w:val="22"/>
          <w:szCs w:val="22"/>
        </w:rPr>
        <w:t xml:space="preserve">is possible that the true effect of the epidemic on West Africa has yet to be revealed. </w:t>
      </w:r>
    </w:p>
    <w:p w14:paraId="4E506F80" w14:textId="77777777" w:rsidR="00BB2043" w:rsidRPr="00DE286C" w:rsidRDefault="00BB2043" w:rsidP="00DE286C">
      <w:pPr>
        <w:rPr>
          <w:sz w:val="22"/>
          <w:szCs w:val="22"/>
        </w:rPr>
      </w:pPr>
    </w:p>
    <w:p w14:paraId="32378C16" w14:textId="4D44CE46" w:rsidR="007250AB" w:rsidRPr="000D69E6" w:rsidRDefault="007250AB" w:rsidP="000D69E6">
      <w:pPr>
        <w:pStyle w:val="ListParagraph"/>
        <w:numPr>
          <w:ilvl w:val="0"/>
          <w:numId w:val="3"/>
        </w:numPr>
        <w:rPr>
          <w:b/>
          <w:bCs/>
          <w:sz w:val="28"/>
          <w:szCs w:val="28"/>
        </w:rPr>
      </w:pPr>
      <w:r w:rsidRPr="000D69E6">
        <w:rPr>
          <w:b/>
          <w:bCs/>
          <w:sz w:val="28"/>
          <w:szCs w:val="28"/>
        </w:rPr>
        <w:t>Conclusion:</w:t>
      </w:r>
    </w:p>
    <w:p w14:paraId="00699D51" w14:textId="77777777" w:rsidR="00DF2A6E" w:rsidRDefault="00DF2A6E" w:rsidP="00DF2A6E">
      <w:pPr>
        <w:ind w:firstLine="360"/>
        <w:rPr>
          <w:sz w:val="22"/>
          <w:szCs w:val="22"/>
        </w:rPr>
      </w:pPr>
    </w:p>
    <w:p w14:paraId="584DDEDC" w14:textId="01E0BA7D" w:rsidR="00804B04" w:rsidRDefault="00DF2A6E" w:rsidP="00804B04">
      <w:pPr>
        <w:ind w:firstLine="360"/>
        <w:rPr>
          <w:sz w:val="22"/>
          <w:szCs w:val="22"/>
        </w:rPr>
      </w:pPr>
      <w:r>
        <w:rPr>
          <w:sz w:val="22"/>
          <w:szCs w:val="22"/>
        </w:rPr>
        <w:t xml:space="preserve">The </w:t>
      </w:r>
      <w:r w:rsidR="009D2E98">
        <w:rPr>
          <w:sz w:val="22"/>
          <w:szCs w:val="22"/>
        </w:rPr>
        <w:t>data</w:t>
      </w:r>
      <w:r>
        <w:rPr>
          <w:sz w:val="22"/>
          <w:szCs w:val="22"/>
        </w:rPr>
        <w:t xml:space="preserve"> o</w:t>
      </w:r>
      <w:r w:rsidR="009D2E98">
        <w:rPr>
          <w:sz w:val="22"/>
          <w:szCs w:val="22"/>
        </w:rPr>
        <w:t>n</w:t>
      </w:r>
      <w:r>
        <w:rPr>
          <w:sz w:val="22"/>
          <w:szCs w:val="22"/>
        </w:rPr>
        <w:t xml:space="preserve"> the Ebola epidemic in West Africa </w:t>
      </w:r>
      <w:r w:rsidR="009D2E98">
        <w:rPr>
          <w:sz w:val="22"/>
          <w:szCs w:val="22"/>
        </w:rPr>
        <w:t xml:space="preserve">have presented interesting contradictions. </w:t>
      </w:r>
      <w:r>
        <w:rPr>
          <w:sz w:val="22"/>
          <w:szCs w:val="22"/>
        </w:rPr>
        <w:t xml:space="preserve"> I posited that income inequality worsened through unemployment rising from disruptions </w:t>
      </w:r>
      <w:r w:rsidR="00804B04">
        <w:rPr>
          <w:sz w:val="22"/>
          <w:szCs w:val="22"/>
        </w:rPr>
        <w:t>due to</w:t>
      </w:r>
      <w:r>
        <w:rPr>
          <w:sz w:val="22"/>
          <w:szCs w:val="22"/>
        </w:rPr>
        <w:t xml:space="preserve"> the </w:t>
      </w:r>
      <w:r w:rsidR="00804B04">
        <w:rPr>
          <w:sz w:val="22"/>
          <w:szCs w:val="22"/>
        </w:rPr>
        <w:t xml:space="preserve">epidemic </w:t>
      </w:r>
      <w:r>
        <w:rPr>
          <w:sz w:val="22"/>
          <w:szCs w:val="22"/>
        </w:rPr>
        <w:t xml:space="preserve">and through foreign investors halting their funds to the region. However, </w:t>
      </w:r>
      <w:r w:rsidR="00804B04">
        <w:rPr>
          <w:sz w:val="22"/>
          <w:szCs w:val="22"/>
        </w:rPr>
        <w:t>the data shows that there was little to no effect on inequality</w:t>
      </w:r>
      <w:r>
        <w:rPr>
          <w:sz w:val="22"/>
          <w:szCs w:val="22"/>
        </w:rPr>
        <w:t>.</w:t>
      </w:r>
      <w:r w:rsidR="009D2E98">
        <w:rPr>
          <w:sz w:val="22"/>
          <w:szCs w:val="22"/>
        </w:rPr>
        <w:t xml:space="preserve"> A significant statistical relationship was found </w:t>
      </w:r>
      <w:r w:rsidR="009026A0">
        <w:rPr>
          <w:sz w:val="22"/>
          <w:szCs w:val="22"/>
        </w:rPr>
        <w:t xml:space="preserve">between inequality and the number of EVD cases </w:t>
      </w:r>
      <w:r w:rsidR="009D2E98">
        <w:rPr>
          <w:sz w:val="22"/>
          <w:szCs w:val="22"/>
        </w:rPr>
        <w:t xml:space="preserve">when using the Palma ratio as opposed to the Gini, </w:t>
      </w:r>
      <w:r w:rsidR="009026A0">
        <w:rPr>
          <w:sz w:val="22"/>
          <w:szCs w:val="22"/>
        </w:rPr>
        <w:t xml:space="preserve">but that relation was that </w:t>
      </w:r>
      <w:r w:rsidR="009D2E98">
        <w:rPr>
          <w:sz w:val="22"/>
          <w:szCs w:val="22"/>
        </w:rPr>
        <w:t>the number of EVD cases had no effect on the income shares of the top 10% and the bottom 40%.</w:t>
      </w:r>
      <w:r>
        <w:rPr>
          <w:sz w:val="22"/>
          <w:szCs w:val="22"/>
        </w:rPr>
        <w:t xml:space="preserve"> </w:t>
      </w:r>
      <w:r w:rsidR="00804B04">
        <w:rPr>
          <w:sz w:val="22"/>
          <w:szCs w:val="22"/>
        </w:rPr>
        <w:t>My data also contradicts the theory that unemployment and inequality have a positive association</w:t>
      </w:r>
      <w:r w:rsidR="000C0E8D">
        <w:rPr>
          <w:sz w:val="22"/>
          <w:szCs w:val="22"/>
        </w:rPr>
        <w:t xml:space="preserve">, which was a key theory in developing causality. </w:t>
      </w:r>
    </w:p>
    <w:p w14:paraId="3CF8547F" w14:textId="04A42DCD" w:rsidR="00022DF3" w:rsidRPr="00804B04" w:rsidRDefault="00DF2A6E" w:rsidP="00804B04">
      <w:pPr>
        <w:ind w:firstLine="360"/>
        <w:rPr>
          <w:sz w:val="22"/>
          <w:szCs w:val="22"/>
        </w:rPr>
      </w:pPr>
      <w:r>
        <w:rPr>
          <w:sz w:val="22"/>
          <w:szCs w:val="22"/>
        </w:rPr>
        <w:t xml:space="preserve">Future inequality studies pertaining to developing countries with </w:t>
      </w:r>
      <w:r w:rsidR="009D2E98">
        <w:rPr>
          <w:sz w:val="22"/>
          <w:szCs w:val="22"/>
        </w:rPr>
        <w:t xml:space="preserve">large inequalities ought to use the Palma Ratio in the Gini’s stead. </w:t>
      </w:r>
      <w:r w:rsidR="00804B04">
        <w:rPr>
          <w:sz w:val="22"/>
          <w:szCs w:val="22"/>
        </w:rPr>
        <w:t xml:space="preserve">Additionally, a multiple regression model without proper instruments </w:t>
      </w:r>
      <w:r w:rsidR="005C2DF0">
        <w:rPr>
          <w:sz w:val="22"/>
          <w:szCs w:val="22"/>
        </w:rPr>
        <w:t xml:space="preserve">may not be suitable to causally establishing the </w:t>
      </w:r>
      <w:r w:rsidR="00804B04">
        <w:rPr>
          <w:sz w:val="22"/>
          <w:szCs w:val="22"/>
        </w:rPr>
        <w:t xml:space="preserve">effect of </w:t>
      </w:r>
      <w:r w:rsidR="005C2DF0">
        <w:rPr>
          <w:sz w:val="22"/>
          <w:szCs w:val="22"/>
        </w:rPr>
        <w:t>a disease</w:t>
      </w:r>
      <w:r w:rsidR="00804B04">
        <w:rPr>
          <w:sz w:val="22"/>
          <w:szCs w:val="22"/>
        </w:rPr>
        <w:t xml:space="preserve"> on </w:t>
      </w:r>
      <w:r w:rsidR="005C2DF0">
        <w:rPr>
          <w:sz w:val="22"/>
          <w:szCs w:val="22"/>
        </w:rPr>
        <w:t xml:space="preserve">a region’s </w:t>
      </w:r>
      <w:r w:rsidR="00804B04">
        <w:rPr>
          <w:sz w:val="22"/>
          <w:szCs w:val="22"/>
        </w:rPr>
        <w:t xml:space="preserve">income inequality due to the inherit endogeneity issues. </w:t>
      </w:r>
      <w:r w:rsidR="005C2DF0">
        <w:rPr>
          <w:sz w:val="22"/>
          <w:szCs w:val="22"/>
        </w:rPr>
        <w:t>This paper will contribute to a literature</w:t>
      </w:r>
      <w:r w:rsidR="00225E4F">
        <w:rPr>
          <w:sz w:val="22"/>
          <w:szCs w:val="22"/>
        </w:rPr>
        <w:t xml:space="preserve"> that is quickly gaining importance</w:t>
      </w:r>
      <w:r w:rsidR="005C2DF0">
        <w:rPr>
          <w:sz w:val="22"/>
          <w:szCs w:val="22"/>
        </w:rPr>
        <w:t xml:space="preserve"> in the past few months as COVID-19 has racked contemporary society. </w:t>
      </w:r>
    </w:p>
    <w:p w14:paraId="108D0C1E" w14:textId="0E169FE9" w:rsidR="00022DF3" w:rsidRPr="00022DF3" w:rsidRDefault="00022DF3" w:rsidP="00022DF3">
      <w:pPr>
        <w:rPr>
          <w:b/>
          <w:bCs/>
          <w:sz w:val="28"/>
          <w:szCs w:val="28"/>
        </w:rPr>
      </w:pPr>
    </w:p>
    <w:p w14:paraId="15016C4A" w14:textId="1591A851" w:rsidR="00022DF3" w:rsidRDefault="00022DF3" w:rsidP="00022DF3">
      <w:pPr>
        <w:rPr>
          <w:b/>
          <w:bCs/>
          <w:sz w:val="28"/>
          <w:szCs w:val="28"/>
        </w:rPr>
      </w:pPr>
    </w:p>
    <w:p w14:paraId="0FF2DEC1" w14:textId="735855D8" w:rsidR="000C0E8D" w:rsidRDefault="000C0E8D" w:rsidP="00022DF3">
      <w:pPr>
        <w:rPr>
          <w:b/>
          <w:bCs/>
          <w:sz w:val="28"/>
          <w:szCs w:val="28"/>
        </w:rPr>
      </w:pPr>
    </w:p>
    <w:p w14:paraId="1EE24777" w14:textId="69DC6DC7" w:rsidR="000C0E8D" w:rsidRDefault="000C0E8D" w:rsidP="00022DF3">
      <w:pPr>
        <w:rPr>
          <w:b/>
          <w:bCs/>
          <w:sz w:val="28"/>
          <w:szCs w:val="28"/>
        </w:rPr>
      </w:pPr>
    </w:p>
    <w:p w14:paraId="4C4064F7" w14:textId="77777777" w:rsidR="009955F5" w:rsidRDefault="009955F5" w:rsidP="00C04AA2">
      <w:pPr>
        <w:rPr>
          <w:b/>
          <w:bCs/>
          <w:sz w:val="28"/>
          <w:szCs w:val="28"/>
        </w:rPr>
      </w:pPr>
    </w:p>
    <w:p w14:paraId="7CE7DB18" w14:textId="1341A9C9" w:rsidR="00CA7722" w:rsidRPr="00CA7722" w:rsidRDefault="00022DF3" w:rsidP="00CA7722">
      <w:pPr>
        <w:ind w:firstLine="720"/>
        <w:rPr>
          <w:b/>
          <w:bCs/>
          <w:sz w:val="28"/>
          <w:szCs w:val="28"/>
        </w:rPr>
      </w:pPr>
      <w:r w:rsidRPr="00465A30">
        <w:rPr>
          <w:b/>
          <w:bCs/>
          <w:sz w:val="28"/>
          <w:szCs w:val="28"/>
        </w:rPr>
        <w:lastRenderedPageBreak/>
        <w:t>References:</w:t>
      </w:r>
    </w:p>
    <w:p w14:paraId="65CD334F" w14:textId="77777777" w:rsidR="00CA7722" w:rsidRPr="00357E17" w:rsidRDefault="00CA7722" w:rsidP="00357E17">
      <w:pPr>
        <w:rPr>
          <w:sz w:val="22"/>
          <w:szCs w:val="22"/>
        </w:rPr>
      </w:pPr>
    </w:p>
    <w:p w14:paraId="0C3646D4" w14:textId="7586A724" w:rsidR="00CA7722" w:rsidRDefault="00CA7722" w:rsidP="00357E17">
      <w:pPr>
        <w:rPr>
          <w:sz w:val="22"/>
          <w:szCs w:val="22"/>
        </w:rPr>
      </w:pPr>
      <w:r w:rsidRPr="00357E17">
        <w:rPr>
          <w:sz w:val="22"/>
          <w:szCs w:val="22"/>
        </w:rPr>
        <w:t xml:space="preserve">“2014-2015 West Africa Ebola Crisis: Impact Update.” World Bank, </w:t>
      </w:r>
      <w:hyperlink r:id="rId11" w:history="1">
        <w:r w:rsidRPr="006E3F11">
          <w:rPr>
            <w:rStyle w:val="Hyperlink"/>
            <w:sz w:val="22"/>
            <w:szCs w:val="22"/>
          </w:rPr>
          <w:t>www.worldbank.org/en/topic/macroeconomics/publication/2014-2015-west-africa-ebola-crisis-impact-update</w:t>
        </w:r>
      </w:hyperlink>
      <w:r w:rsidRPr="00357E17">
        <w:rPr>
          <w:sz w:val="22"/>
          <w:szCs w:val="22"/>
        </w:rPr>
        <w:t>.</w:t>
      </w:r>
    </w:p>
    <w:p w14:paraId="068599C9" w14:textId="77777777" w:rsidR="00CA7722" w:rsidRPr="00357E17" w:rsidRDefault="00CA7722" w:rsidP="00357E17">
      <w:pPr>
        <w:rPr>
          <w:sz w:val="22"/>
          <w:szCs w:val="22"/>
        </w:rPr>
      </w:pPr>
    </w:p>
    <w:p w14:paraId="1947E06D" w14:textId="1DE0D532" w:rsidR="00CA7722" w:rsidRDefault="00CA7722" w:rsidP="00357E17">
      <w:pPr>
        <w:rPr>
          <w:sz w:val="22"/>
          <w:szCs w:val="22"/>
        </w:rPr>
      </w:pPr>
      <w:r w:rsidRPr="00357E17">
        <w:rPr>
          <w:sz w:val="22"/>
          <w:szCs w:val="22"/>
        </w:rPr>
        <w:t xml:space="preserve">“Ebola Response in Sierra Leone.” Centers for Disease Control and Prevention, Centers for Disease Control and Prevention, 23 July 2018, </w:t>
      </w:r>
      <w:hyperlink r:id="rId12" w:history="1">
        <w:r w:rsidRPr="006E3F11">
          <w:rPr>
            <w:rStyle w:val="Hyperlink"/>
            <w:sz w:val="22"/>
            <w:szCs w:val="22"/>
          </w:rPr>
          <w:t>www.cdc.gov/ncezid/stories-features/global-stories/ebola-response-sierra-leone.html</w:t>
        </w:r>
      </w:hyperlink>
      <w:r w:rsidRPr="00357E17">
        <w:rPr>
          <w:sz w:val="22"/>
          <w:szCs w:val="22"/>
        </w:rPr>
        <w:t>.</w:t>
      </w:r>
    </w:p>
    <w:p w14:paraId="73B19885" w14:textId="77777777" w:rsidR="00CA7722" w:rsidRDefault="00CA7722" w:rsidP="00357E17">
      <w:pPr>
        <w:rPr>
          <w:sz w:val="22"/>
          <w:szCs w:val="22"/>
        </w:rPr>
      </w:pPr>
    </w:p>
    <w:p w14:paraId="75796BEB" w14:textId="555F908A" w:rsidR="00CA7722" w:rsidRDefault="00CA7722" w:rsidP="00357E17">
      <w:pPr>
        <w:rPr>
          <w:sz w:val="22"/>
          <w:szCs w:val="22"/>
        </w:rPr>
      </w:pPr>
      <w:r>
        <w:rPr>
          <w:sz w:val="22"/>
          <w:szCs w:val="22"/>
        </w:rPr>
        <w:t>“</w:t>
      </w:r>
      <w:r w:rsidRPr="00357E17">
        <w:rPr>
          <w:sz w:val="22"/>
          <w:szCs w:val="22"/>
        </w:rPr>
        <w:t>Guinea | Global Ebola Response.” United Nations, United Nations, ebolaresponse.un.org/guinea.</w:t>
      </w:r>
    </w:p>
    <w:p w14:paraId="4E38F2DF" w14:textId="77777777" w:rsidR="00CA7722" w:rsidRDefault="00CA7722" w:rsidP="00357E17">
      <w:pPr>
        <w:rPr>
          <w:sz w:val="22"/>
          <w:szCs w:val="22"/>
        </w:rPr>
      </w:pPr>
    </w:p>
    <w:p w14:paraId="4E2E0AA9" w14:textId="79CA2EB3" w:rsidR="00CA7722" w:rsidRDefault="00CA7722" w:rsidP="00357E17">
      <w:pPr>
        <w:rPr>
          <w:sz w:val="22"/>
          <w:szCs w:val="22"/>
        </w:rPr>
      </w:pPr>
      <w:r w:rsidRPr="00357E17">
        <w:rPr>
          <w:sz w:val="22"/>
          <w:szCs w:val="22"/>
        </w:rPr>
        <w:t>“Liberia | Global Ebola Response.” United Nations, United Nations, ebolaresponse.un.org/</w:t>
      </w:r>
      <w:proofErr w:type="spellStart"/>
      <w:r w:rsidRPr="00357E17">
        <w:rPr>
          <w:sz w:val="22"/>
          <w:szCs w:val="22"/>
        </w:rPr>
        <w:t>liberia</w:t>
      </w:r>
      <w:proofErr w:type="spellEnd"/>
      <w:r w:rsidRPr="00357E17">
        <w:rPr>
          <w:sz w:val="22"/>
          <w:szCs w:val="22"/>
        </w:rPr>
        <w:t>.</w:t>
      </w:r>
    </w:p>
    <w:p w14:paraId="5C6E7320" w14:textId="77777777" w:rsidR="00CA7722" w:rsidRDefault="00CA7722" w:rsidP="00357E17">
      <w:pPr>
        <w:rPr>
          <w:sz w:val="22"/>
          <w:szCs w:val="22"/>
        </w:rPr>
      </w:pPr>
    </w:p>
    <w:p w14:paraId="575BCBA3" w14:textId="6100C05E" w:rsidR="00CA7722" w:rsidRDefault="00CA7722" w:rsidP="00357E17">
      <w:pPr>
        <w:rPr>
          <w:sz w:val="22"/>
          <w:szCs w:val="22"/>
        </w:rPr>
      </w:pPr>
      <w:r w:rsidRPr="00357E17">
        <w:rPr>
          <w:sz w:val="22"/>
          <w:szCs w:val="22"/>
        </w:rPr>
        <w:t xml:space="preserve">African Development Bank Group 2019 Regional Economic Outlook Retrieved from </w:t>
      </w:r>
      <w:r>
        <w:rPr>
          <w:sz w:val="22"/>
          <w:szCs w:val="22"/>
        </w:rPr>
        <w:fldChar w:fldCharType="begin"/>
      </w:r>
      <w:r>
        <w:rPr>
          <w:sz w:val="22"/>
          <w:szCs w:val="22"/>
        </w:rPr>
        <w:instrText xml:space="preserve"> HYPERLINK "</w:instrText>
      </w:r>
      <w:r w:rsidRPr="00357E17">
        <w:rPr>
          <w:sz w:val="22"/>
          <w:szCs w:val="22"/>
        </w:rPr>
        <w:instrText>https://www.afdb.org/en/documents/document/regional-economic-outlook-2019-west-africa-108624</w:instrText>
      </w:r>
      <w:r>
        <w:rPr>
          <w:sz w:val="22"/>
          <w:szCs w:val="22"/>
        </w:rPr>
        <w:instrText xml:space="preserve">" </w:instrText>
      </w:r>
      <w:r>
        <w:rPr>
          <w:sz w:val="22"/>
          <w:szCs w:val="22"/>
        </w:rPr>
        <w:fldChar w:fldCharType="separate"/>
      </w:r>
      <w:r w:rsidRPr="006E3F11">
        <w:rPr>
          <w:rStyle w:val="Hyperlink"/>
          <w:sz w:val="22"/>
          <w:szCs w:val="22"/>
        </w:rPr>
        <w:t>https://www.afdb.org/en/documents/document/regional-economic-outlook-2019-west-africa-108624</w:t>
      </w:r>
      <w:r>
        <w:rPr>
          <w:sz w:val="22"/>
          <w:szCs w:val="22"/>
        </w:rPr>
        <w:fldChar w:fldCharType="end"/>
      </w:r>
    </w:p>
    <w:p w14:paraId="7ACFD573" w14:textId="77777777" w:rsidR="00CA7722" w:rsidRPr="00357E17" w:rsidRDefault="00CA7722" w:rsidP="00357E17">
      <w:pPr>
        <w:rPr>
          <w:sz w:val="22"/>
          <w:szCs w:val="22"/>
        </w:rPr>
      </w:pPr>
    </w:p>
    <w:p w14:paraId="77A008AC" w14:textId="74E0B95A" w:rsidR="00CA7722" w:rsidRDefault="00CA7722" w:rsidP="00357E17">
      <w:pPr>
        <w:rPr>
          <w:sz w:val="22"/>
          <w:szCs w:val="22"/>
        </w:rPr>
      </w:pPr>
      <w:r w:rsidRPr="008942F4">
        <w:rPr>
          <w:sz w:val="22"/>
          <w:szCs w:val="22"/>
        </w:rPr>
        <w:t>African</w:t>
      </w:r>
      <w:r w:rsidRPr="00357E17">
        <w:rPr>
          <w:sz w:val="22"/>
          <w:szCs w:val="22"/>
        </w:rPr>
        <w:t xml:space="preserve"> Development Bank Group America Economic Brief 2012</w:t>
      </w:r>
    </w:p>
    <w:p w14:paraId="6C339E6A" w14:textId="77777777" w:rsidR="00CA7722" w:rsidRDefault="00CA7722" w:rsidP="00357E17">
      <w:pPr>
        <w:rPr>
          <w:sz w:val="22"/>
          <w:szCs w:val="22"/>
        </w:rPr>
      </w:pPr>
    </w:p>
    <w:p w14:paraId="5179B43B" w14:textId="135137EE" w:rsidR="00CA7722" w:rsidRDefault="00CA7722" w:rsidP="00357E17">
      <w:pPr>
        <w:rPr>
          <w:sz w:val="22"/>
          <w:szCs w:val="22"/>
        </w:rPr>
      </w:pPr>
      <w:r w:rsidRPr="00357E17">
        <w:rPr>
          <w:sz w:val="22"/>
          <w:szCs w:val="22"/>
        </w:rPr>
        <w:t xml:space="preserve">Alexander, Kathleen A et al. “What factors might have led to the emergence of Ebola in West </w:t>
      </w:r>
      <w:proofErr w:type="gramStart"/>
      <w:r w:rsidRPr="00357E17">
        <w:rPr>
          <w:sz w:val="22"/>
          <w:szCs w:val="22"/>
        </w:rPr>
        <w:t>Africa?.</w:t>
      </w:r>
      <w:proofErr w:type="gramEnd"/>
      <w:r w:rsidRPr="00357E17">
        <w:rPr>
          <w:sz w:val="22"/>
          <w:szCs w:val="22"/>
        </w:rPr>
        <w:t>” </w:t>
      </w:r>
      <w:proofErr w:type="spellStart"/>
      <w:r w:rsidRPr="00357E17">
        <w:rPr>
          <w:sz w:val="22"/>
          <w:szCs w:val="22"/>
        </w:rPr>
        <w:t>PLoS</w:t>
      </w:r>
      <w:proofErr w:type="spellEnd"/>
      <w:r w:rsidRPr="00357E17">
        <w:rPr>
          <w:sz w:val="22"/>
          <w:szCs w:val="22"/>
        </w:rPr>
        <w:t xml:space="preserve"> neglected tropical diseases vol. 9,6 e0003652. 4 Jun. 2015, </w:t>
      </w:r>
      <w:proofErr w:type="gramStart"/>
      <w:r w:rsidRPr="00357E17">
        <w:rPr>
          <w:sz w:val="22"/>
          <w:szCs w:val="22"/>
        </w:rPr>
        <w:t>doi:10.1371/journal.pntd</w:t>
      </w:r>
      <w:proofErr w:type="gramEnd"/>
      <w:r w:rsidRPr="00357E17">
        <w:rPr>
          <w:sz w:val="22"/>
          <w:szCs w:val="22"/>
        </w:rPr>
        <w:t>.0003652</w:t>
      </w:r>
    </w:p>
    <w:p w14:paraId="2DDB5CD6" w14:textId="77777777" w:rsidR="00CA7722" w:rsidRDefault="00CA7722" w:rsidP="00357E17">
      <w:pPr>
        <w:rPr>
          <w:sz w:val="22"/>
          <w:szCs w:val="22"/>
        </w:rPr>
      </w:pPr>
    </w:p>
    <w:p w14:paraId="45041E1D" w14:textId="53853A22" w:rsidR="00CA7722" w:rsidRDefault="00CA7722" w:rsidP="00357E17">
      <w:pPr>
        <w:rPr>
          <w:sz w:val="22"/>
          <w:szCs w:val="22"/>
        </w:rPr>
      </w:pPr>
      <w:r w:rsidRPr="00357E17">
        <w:rPr>
          <w:sz w:val="22"/>
          <w:szCs w:val="22"/>
        </w:rPr>
        <w:t xml:space="preserve">Bhandari, </w:t>
      </w:r>
      <w:proofErr w:type="spellStart"/>
      <w:r w:rsidRPr="00357E17">
        <w:rPr>
          <w:sz w:val="22"/>
          <w:szCs w:val="22"/>
        </w:rPr>
        <w:t>Bornali</w:t>
      </w:r>
      <w:proofErr w:type="spellEnd"/>
      <w:r w:rsidRPr="00357E17">
        <w:rPr>
          <w:sz w:val="22"/>
          <w:szCs w:val="22"/>
        </w:rPr>
        <w:t>. “Effect of Inward Foreign Direct Investment on Income Inequality in Transition Countries.” Journal of Economic Integration, vol. 22, no. 4, 2007, pp. 888–928., doi:10.11130/jei.2007.22.4.888.</w:t>
      </w:r>
    </w:p>
    <w:p w14:paraId="391413A0" w14:textId="77777777" w:rsidR="00CA7722" w:rsidRDefault="00CA7722" w:rsidP="00357E17">
      <w:pPr>
        <w:rPr>
          <w:sz w:val="22"/>
          <w:szCs w:val="22"/>
        </w:rPr>
      </w:pPr>
    </w:p>
    <w:p w14:paraId="4A0420D7" w14:textId="5241C2D5" w:rsidR="00CA7722" w:rsidRDefault="00CA7722" w:rsidP="00357E17">
      <w:pPr>
        <w:rPr>
          <w:sz w:val="22"/>
          <w:szCs w:val="22"/>
        </w:rPr>
      </w:pPr>
      <w:r w:rsidRPr="00357E17">
        <w:rPr>
          <w:sz w:val="22"/>
          <w:szCs w:val="22"/>
        </w:rPr>
        <w:t>Bowles, Jeremy, et al. “Ebola, Jobs and Economic Activity in Liberia.” Journal of Epidemiology and Community Health, vol. 70, no. 3, 2015, pp. 271–277., doi:10.1136/jech-2015-205959.</w:t>
      </w:r>
    </w:p>
    <w:p w14:paraId="3FDC39D3" w14:textId="77777777" w:rsidR="00CA7722" w:rsidRDefault="00CA7722" w:rsidP="00357E17">
      <w:pPr>
        <w:rPr>
          <w:sz w:val="22"/>
          <w:szCs w:val="22"/>
        </w:rPr>
      </w:pPr>
    </w:p>
    <w:p w14:paraId="1B6CBDF0" w14:textId="7EA32253" w:rsidR="00CA7722" w:rsidRDefault="00CA7722" w:rsidP="00357E17">
      <w:pPr>
        <w:rPr>
          <w:sz w:val="22"/>
          <w:szCs w:val="22"/>
        </w:rPr>
      </w:pPr>
      <w:r w:rsidRPr="00357E17">
        <w:rPr>
          <w:sz w:val="22"/>
          <w:szCs w:val="22"/>
        </w:rPr>
        <w:t xml:space="preserve">Chan, Margaret, et al. “Ebola Virus Disease in West Africa - No Early End to the Outbreak: NEJM.” New England Journal of Medicine, 28 Apr. 2020, </w:t>
      </w:r>
      <w:hyperlink r:id="rId13" w:history="1">
        <w:r w:rsidRPr="006E3F11">
          <w:rPr>
            <w:rStyle w:val="Hyperlink"/>
            <w:sz w:val="22"/>
            <w:szCs w:val="22"/>
          </w:rPr>
          <w:t>www.nejm.org/doi/full/10.1056/NEJMp1409859</w:t>
        </w:r>
      </w:hyperlink>
      <w:r w:rsidRPr="00357E17">
        <w:rPr>
          <w:sz w:val="22"/>
          <w:szCs w:val="22"/>
        </w:rPr>
        <w:t>.</w:t>
      </w:r>
    </w:p>
    <w:p w14:paraId="5368BFB7" w14:textId="77777777" w:rsidR="00CA7722" w:rsidRDefault="00CA7722" w:rsidP="00357E17">
      <w:pPr>
        <w:rPr>
          <w:sz w:val="22"/>
          <w:szCs w:val="22"/>
        </w:rPr>
      </w:pPr>
    </w:p>
    <w:p w14:paraId="35BF4DE5" w14:textId="60AFB670" w:rsidR="00CA7722" w:rsidRDefault="00CA7722" w:rsidP="00357E17">
      <w:pPr>
        <w:rPr>
          <w:sz w:val="22"/>
          <w:szCs w:val="22"/>
        </w:rPr>
      </w:pPr>
      <w:r w:rsidRPr="00357E17">
        <w:rPr>
          <w:sz w:val="22"/>
          <w:szCs w:val="22"/>
        </w:rPr>
        <w:t xml:space="preserve">Coulibaly, </w:t>
      </w:r>
      <w:proofErr w:type="spellStart"/>
      <w:r w:rsidRPr="00357E17">
        <w:rPr>
          <w:sz w:val="22"/>
          <w:szCs w:val="22"/>
        </w:rPr>
        <w:t>Brahima</w:t>
      </w:r>
      <w:proofErr w:type="spellEnd"/>
      <w:r w:rsidRPr="00357E17">
        <w:rPr>
          <w:sz w:val="22"/>
          <w:szCs w:val="22"/>
        </w:rPr>
        <w:t>. “Reconciling Financing Needs and Rising Debt Levels.” Brookings, Bro</w:t>
      </w:r>
      <w:r>
        <w:rPr>
          <w:sz w:val="22"/>
          <w:szCs w:val="22"/>
        </w:rPr>
        <w:t>o</w:t>
      </w:r>
      <w:r w:rsidRPr="00357E17">
        <w:rPr>
          <w:sz w:val="22"/>
          <w:szCs w:val="22"/>
        </w:rPr>
        <w:t xml:space="preserve">kings, 11 Jan. 2019, </w:t>
      </w:r>
      <w:hyperlink r:id="rId14" w:history="1">
        <w:r w:rsidRPr="006E3F11">
          <w:rPr>
            <w:rStyle w:val="Hyperlink"/>
            <w:sz w:val="22"/>
            <w:szCs w:val="22"/>
          </w:rPr>
          <w:t>www.brookings.edu/research/reconciling-financing-needs-and-rising-debt-levels/</w:t>
        </w:r>
      </w:hyperlink>
      <w:r w:rsidRPr="00357E17">
        <w:rPr>
          <w:sz w:val="22"/>
          <w:szCs w:val="22"/>
        </w:rPr>
        <w:t>.</w:t>
      </w:r>
    </w:p>
    <w:p w14:paraId="4659C0B8" w14:textId="77777777" w:rsidR="00CA7722" w:rsidRDefault="00CA7722" w:rsidP="00357E17">
      <w:pPr>
        <w:rPr>
          <w:sz w:val="22"/>
          <w:szCs w:val="22"/>
        </w:rPr>
      </w:pPr>
    </w:p>
    <w:p w14:paraId="071C1C64" w14:textId="4FF6C0E7" w:rsidR="00CA7722" w:rsidRDefault="00CA7722" w:rsidP="00357E17">
      <w:pPr>
        <w:rPr>
          <w:sz w:val="22"/>
          <w:szCs w:val="22"/>
        </w:rPr>
      </w:pPr>
      <w:r w:rsidRPr="00357E17">
        <w:rPr>
          <w:sz w:val="22"/>
          <w:szCs w:val="22"/>
        </w:rPr>
        <w:t>Couto, Vivian Does Foreign Direct Investment Lower Income Inequality? Duke, 2018</w:t>
      </w:r>
    </w:p>
    <w:p w14:paraId="48532C11" w14:textId="77777777" w:rsidR="00CA7722" w:rsidRDefault="00CA7722" w:rsidP="00357E17">
      <w:pPr>
        <w:rPr>
          <w:sz w:val="22"/>
          <w:szCs w:val="22"/>
        </w:rPr>
      </w:pPr>
    </w:p>
    <w:p w14:paraId="5C79E5C5" w14:textId="39CE7353" w:rsidR="00CA7722" w:rsidRDefault="00CA7722" w:rsidP="00357E17">
      <w:pPr>
        <w:rPr>
          <w:sz w:val="22"/>
          <w:szCs w:val="22"/>
        </w:rPr>
      </w:pPr>
      <w:r w:rsidRPr="00357E17">
        <w:rPr>
          <w:sz w:val="22"/>
          <w:szCs w:val="22"/>
        </w:rPr>
        <w:t xml:space="preserve">Food and Agriculture Organizations of the United Nations. “Impact of the </w:t>
      </w:r>
      <w:proofErr w:type="spellStart"/>
      <w:r w:rsidRPr="00357E17">
        <w:rPr>
          <w:sz w:val="22"/>
          <w:szCs w:val="22"/>
        </w:rPr>
        <w:t>ebola</w:t>
      </w:r>
      <w:proofErr w:type="spellEnd"/>
      <w:r w:rsidRPr="00357E17">
        <w:rPr>
          <w:sz w:val="22"/>
          <w:szCs w:val="22"/>
        </w:rPr>
        <w:t xml:space="preserve"> virus disease outbreak on market chains and trade of agricultural products in West Africa”</w:t>
      </w:r>
    </w:p>
    <w:p w14:paraId="402B0740" w14:textId="77777777" w:rsidR="00CA7722" w:rsidRDefault="00CA7722" w:rsidP="00357E17">
      <w:pPr>
        <w:rPr>
          <w:sz w:val="22"/>
          <w:szCs w:val="22"/>
        </w:rPr>
      </w:pPr>
    </w:p>
    <w:p w14:paraId="4B708E4F" w14:textId="4DC202C2" w:rsidR="00CA7722" w:rsidRDefault="00CA7722" w:rsidP="00357E17">
      <w:pPr>
        <w:rPr>
          <w:sz w:val="22"/>
          <w:szCs w:val="22"/>
        </w:rPr>
      </w:pPr>
      <w:r w:rsidRPr="00357E17">
        <w:rPr>
          <w:sz w:val="22"/>
          <w:szCs w:val="22"/>
        </w:rPr>
        <w:t>Friedman, Milton. The Role of Monetary Policy. American Economic Association, 1968.</w:t>
      </w:r>
    </w:p>
    <w:p w14:paraId="26F0A485" w14:textId="77777777" w:rsidR="00CA7722" w:rsidRDefault="00CA7722" w:rsidP="00357E17">
      <w:pPr>
        <w:rPr>
          <w:sz w:val="22"/>
          <w:szCs w:val="22"/>
        </w:rPr>
      </w:pPr>
    </w:p>
    <w:p w14:paraId="38103B13" w14:textId="78E44633" w:rsidR="00CA7722" w:rsidRDefault="00CA7722" w:rsidP="00357E17">
      <w:pPr>
        <w:rPr>
          <w:sz w:val="22"/>
          <w:szCs w:val="22"/>
        </w:rPr>
      </w:pPr>
      <w:r w:rsidRPr="00357E17">
        <w:rPr>
          <w:sz w:val="22"/>
          <w:szCs w:val="22"/>
        </w:rPr>
        <w:t>Ghana Statistical Service. Ghana Demographic and Health Survey 2014.</w:t>
      </w:r>
    </w:p>
    <w:p w14:paraId="68660218" w14:textId="77777777" w:rsidR="00CA7722" w:rsidRDefault="00CA7722" w:rsidP="00357E17">
      <w:pPr>
        <w:rPr>
          <w:sz w:val="22"/>
          <w:szCs w:val="22"/>
        </w:rPr>
      </w:pPr>
    </w:p>
    <w:p w14:paraId="61B72197" w14:textId="2C6B3E64" w:rsidR="00CA7722" w:rsidRDefault="00CA7722" w:rsidP="00357E17">
      <w:pPr>
        <w:rPr>
          <w:sz w:val="22"/>
          <w:szCs w:val="22"/>
        </w:rPr>
      </w:pPr>
      <w:proofErr w:type="spellStart"/>
      <w:r w:rsidRPr="008942F4">
        <w:rPr>
          <w:sz w:val="22"/>
          <w:szCs w:val="22"/>
        </w:rPr>
        <w:t>G</w:t>
      </w:r>
      <w:r w:rsidRPr="008942F4">
        <w:rPr>
          <w:sz w:val="22"/>
          <w:szCs w:val="22"/>
        </w:rPr>
        <w:t>o</w:t>
      </w:r>
      <w:r w:rsidRPr="008942F4">
        <w:rPr>
          <w:sz w:val="22"/>
          <w:szCs w:val="22"/>
        </w:rPr>
        <w:t>rg</w:t>
      </w:r>
      <w:proofErr w:type="spellEnd"/>
      <w:r w:rsidRPr="008942F4">
        <w:rPr>
          <w:sz w:val="22"/>
          <w:szCs w:val="22"/>
        </w:rPr>
        <w:t>,</w:t>
      </w:r>
      <w:r w:rsidRPr="00357E17">
        <w:rPr>
          <w:sz w:val="22"/>
          <w:szCs w:val="22"/>
        </w:rPr>
        <w:t xml:space="preserve"> Holger and </w:t>
      </w:r>
      <w:proofErr w:type="spellStart"/>
      <w:r w:rsidRPr="00357E17">
        <w:rPr>
          <w:sz w:val="22"/>
          <w:szCs w:val="22"/>
        </w:rPr>
        <w:t>Figini</w:t>
      </w:r>
      <w:proofErr w:type="spellEnd"/>
      <w:r w:rsidRPr="00357E17">
        <w:rPr>
          <w:sz w:val="22"/>
          <w:szCs w:val="22"/>
        </w:rPr>
        <w:t>, Paolo Does Foreign Direct Investment Affect Wage Inequality? IZA, 2006</w:t>
      </w:r>
    </w:p>
    <w:p w14:paraId="29455CD8" w14:textId="77777777" w:rsidR="00CA7722" w:rsidRDefault="00CA7722" w:rsidP="00357E17">
      <w:pPr>
        <w:rPr>
          <w:sz w:val="22"/>
          <w:szCs w:val="22"/>
        </w:rPr>
      </w:pPr>
    </w:p>
    <w:p w14:paraId="499087F4" w14:textId="77777777" w:rsidR="00CA7722" w:rsidRDefault="00CA7722" w:rsidP="00357E17">
      <w:pPr>
        <w:rPr>
          <w:sz w:val="22"/>
          <w:szCs w:val="22"/>
        </w:rPr>
      </w:pPr>
      <w:r w:rsidRPr="00357E17">
        <w:rPr>
          <w:sz w:val="22"/>
          <w:szCs w:val="22"/>
        </w:rPr>
        <w:t xml:space="preserve">H. Naci </w:t>
      </w:r>
      <w:proofErr w:type="spellStart"/>
      <w:r w:rsidRPr="00357E17">
        <w:rPr>
          <w:sz w:val="22"/>
          <w:szCs w:val="22"/>
        </w:rPr>
        <w:t>Mocan</w:t>
      </w:r>
      <w:proofErr w:type="spellEnd"/>
      <w:r w:rsidRPr="00357E17">
        <w:rPr>
          <w:sz w:val="22"/>
          <w:szCs w:val="22"/>
        </w:rPr>
        <w:t>, 1999. "</w:t>
      </w:r>
      <w:r w:rsidRPr="008942F4">
        <w:rPr>
          <w:sz w:val="22"/>
          <w:szCs w:val="22"/>
        </w:rPr>
        <w:t>Structural Unemployment, Cyclical Unemployment, and Income Inequality</w:t>
      </w:r>
      <w:r w:rsidRPr="00357E17">
        <w:rPr>
          <w:sz w:val="22"/>
          <w:szCs w:val="22"/>
        </w:rPr>
        <w:t>," </w:t>
      </w:r>
      <w:r w:rsidRPr="008942F4">
        <w:rPr>
          <w:sz w:val="22"/>
          <w:szCs w:val="22"/>
        </w:rPr>
        <w:t>The Review of Economics and Statistics</w:t>
      </w:r>
      <w:r w:rsidRPr="00357E17">
        <w:rPr>
          <w:sz w:val="22"/>
          <w:szCs w:val="22"/>
        </w:rPr>
        <w:t>, MIT Press, vol. 81(1), pages 122-134, February.</w:t>
      </w:r>
    </w:p>
    <w:p w14:paraId="48BC7D46" w14:textId="65078E21" w:rsidR="00CA7722" w:rsidRDefault="00CA7722" w:rsidP="00357E17">
      <w:pPr>
        <w:rPr>
          <w:sz w:val="22"/>
          <w:szCs w:val="22"/>
        </w:rPr>
      </w:pPr>
      <w:proofErr w:type="spellStart"/>
      <w:r w:rsidRPr="00357E17">
        <w:rPr>
          <w:sz w:val="22"/>
          <w:szCs w:val="22"/>
        </w:rPr>
        <w:lastRenderedPageBreak/>
        <w:t>Jantti</w:t>
      </w:r>
      <w:proofErr w:type="spellEnd"/>
      <w:r w:rsidRPr="00357E17">
        <w:rPr>
          <w:sz w:val="22"/>
          <w:szCs w:val="22"/>
        </w:rPr>
        <w:t>, Markus, 1994. "</w:t>
      </w:r>
      <w:r w:rsidRPr="008942F4">
        <w:rPr>
          <w:sz w:val="22"/>
          <w:szCs w:val="22"/>
        </w:rPr>
        <w:t>A More Efficient Estimate of the Effects of Macroeconomic Activity on the Distribution of Income</w:t>
      </w:r>
      <w:r w:rsidRPr="00357E17">
        <w:rPr>
          <w:sz w:val="22"/>
          <w:szCs w:val="22"/>
        </w:rPr>
        <w:t>," </w:t>
      </w:r>
      <w:r w:rsidRPr="008942F4">
        <w:rPr>
          <w:sz w:val="22"/>
          <w:szCs w:val="22"/>
        </w:rPr>
        <w:t>The Review of Economics and Statistics</w:t>
      </w:r>
      <w:r w:rsidRPr="00357E17">
        <w:rPr>
          <w:sz w:val="22"/>
          <w:szCs w:val="22"/>
        </w:rPr>
        <w:t>, MIT Press, vol. 76(2), pages 372-378, May.</w:t>
      </w:r>
    </w:p>
    <w:p w14:paraId="6DE462A6" w14:textId="77777777" w:rsidR="00CA7722" w:rsidRDefault="00CA7722" w:rsidP="00357E17">
      <w:pPr>
        <w:rPr>
          <w:sz w:val="22"/>
          <w:szCs w:val="22"/>
        </w:rPr>
      </w:pPr>
    </w:p>
    <w:p w14:paraId="021EB3E9" w14:textId="74A18D0E" w:rsidR="00CA7722" w:rsidRDefault="00CA7722" w:rsidP="00357E17">
      <w:pPr>
        <w:rPr>
          <w:sz w:val="22"/>
          <w:szCs w:val="22"/>
        </w:rPr>
      </w:pPr>
      <w:r w:rsidRPr="00357E17">
        <w:rPr>
          <w:sz w:val="22"/>
          <w:szCs w:val="22"/>
        </w:rPr>
        <w:t xml:space="preserve">McGroarty, Patrick, et al. “West African Mining Projects Take Hit </w:t>
      </w:r>
      <w:proofErr w:type="gramStart"/>
      <w:r w:rsidRPr="00357E17">
        <w:rPr>
          <w:sz w:val="22"/>
          <w:szCs w:val="22"/>
        </w:rPr>
        <w:t>From</w:t>
      </w:r>
      <w:proofErr w:type="gramEnd"/>
      <w:r w:rsidRPr="00357E17">
        <w:rPr>
          <w:sz w:val="22"/>
          <w:szCs w:val="22"/>
        </w:rPr>
        <w:t xml:space="preserve"> Ebola Crisis.” The Wall Street Journal, Dow Jones &amp; Company, 18 Nov. 2014, </w:t>
      </w:r>
      <w:hyperlink r:id="rId15" w:history="1">
        <w:r w:rsidRPr="006E3F11">
          <w:rPr>
            <w:rStyle w:val="Hyperlink"/>
            <w:sz w:val="22"/>
            <w:szCs w:val="22"/>
          </w:rPr>
          <w:t>www.wsj.com/articles/west-african-mining-projects-take-hit-from-ebola-crisis-1416346636</w:t>
        </w:r>
      </w:hyperlink>
      <w:r w:rsidRPr="00357E17">
        <w:rPr>
          <w:sz w:val="22"/>
          <w:szCs w:val="22"/>
        </w:rPr>
        <w:t>.</w:t>
      </w:r>
    </w:p>
    <w:p w14:paraId="18916D34" w14:textId="11C2B323" w:rsidR="00CA7722" w:rsidRDefault="00CA7722" w:rsidP="00357E17">
      <w:pPr>
        <w:rPr>
          <w:sz w:val="22"/>
          <w:szCs w:val="22"/>
        </w:rPr>
      </w:pPr>
    </w:p>
    <w:p w14:paraId="755F12D0" w14:textId="378714DE" w:rsidR="00CD576C" w:rsidRPr="00CD576C" w:rsidRDefault="00CD576C" w:rsidP="00357E17">
      <w:pPr>
        <w:rPr>
          <w:sz w:val="22"/>
          <w:szCs w:val="22"/>
        </w:rPr>
      </w:pPr>
      <w:r>
        <w:rPr>
          <w:sz w:val="22"/>
          <w:szCs w:val="22"/>
        </w:rPr>
        <w:t xml:space="preserve">Menendez, Alicia and Gonzalez, Martin. </w:t>
      </w:r>
      <w:r>
        <w:rPr>
          <w:i/>
          <w:iCs/>
          <w:sz w:val="22"/>
          <w:szCs w:val="22"/>
        </w:rPr>
        <w:t>The effect of unemployment on labor earnings inequality: Argentina in the Nineties.</w:t>
      </w:r>
      <w:r>
        <w:rPr>
          <w:sz w:val="22"/>
          <w:szCs w:val="22"/>
        </w:rPr>
        <w:t xml:space="preserve"> 2000</w:t>
      </w:r>
    </w:p>
    <w:p w14:paraId="4DFFD7F4" w14:textId="77777777" w:rsidR="00CD576C" w:rsidRPr="00357E17" w:rsidRDefault="00CD576C" w:rsidP="00357E17">
      <w:pPr>
        <w:rPr>
          <w:sz w:val="22"/>
          <w:szCs w:val="22"/>
        </w:rPr>
      </w:pPr>
    </w:p>
    <w:p w14:paraId="6EE89E13" w14:textId="05CF3A1C" w:rsidR="00CA7722" w:rsidRDefault="00CA7722" w:rsidP="00357E17">
      <w:pPr>
        <w:rPr>
          <w:sz w:val="22"/>
          <w:szCs w:val="22"/>
        </w:rPr>
      </w:pPr>
      <w:r w:rsidRPr="00357E17">
        <w:rPr>
          <w:sz w:val="22"/>
          <w:szCs w:val="22"/>
        </w:rPr>
        <w:t xml:space="preserve">Oxfam 2019 The West Africa Inequality Crisis. Retrieved from </w:t>
      </w:r>
      <w:hyperlink r:id="rId16" w:history="1">
        <w:r w:rsidRPr="006E3F11">
          <w:rPr>
            <w:rStyle w:val="Hyperlink"/>
            <w:sz w:val="22"/>
            <w:szCs w:val="22"/>
          </w:rPr>
          <w:t>https://oxfamilibrary.openrepo</w:t>
        </w:r>
        <w:r w:rsidRPr="006E3F11">
          <w:rPr>
            <w:rStyle w:val="Hyperlink"/>
            <w:sz w:val="22"/>
            <w:szCs w:val="22"/>
          </w:rPr>
          <w:t>s</w:t>
        </w:r>
        <w:r w:rsidRPr="006E3F11">
          <w:rPr>
            <w:rStyle w:val="Hyperlink"/>
            <w:sz w:val="22"/>
            <w:szCs w:val="22"/>
          </w:rPr>
          <w:t>itory.com/bitstream/handle/10546/620837/bp-west-africa-inequality-crisis-090719-en.pdf</w:t>
        </w:r>
      </w:hyperlink>
    </w:p>
    <w:p w14:paraId="36F5E152" w14:textId="77777777" w:rsidR="00CA7722" w:rsidRPr="00357E17" w:rsidRDefault="00CA7722" w:rsidP="00357E17">
      <w:pPr>
        <w:rPr>
          <w:sz w:val="22"/>
          <w:szCs w:val="22"/>
        </w:rPr>
      </w:pPr>
    </w:p>
    <w:p w14:paraId="6D053417" w14:textId="79F4F386" w:rsidR="00CA7722" w:rsidRDefault="00CA7722" w:rsidP="00357E17">
      <w:pPr>
        <w:rPr>
          <w:sz w:val="22"/>
          <w:szCs w:val="22"/>
        </w:rPr>
      </w:pPr>
      <w:proofErr w:type="spellStart"/>
      <w:r w:rsidRPr="00357E17">
        <w:rPr>
          <w:sz w:val="22"/>
          <w:szCs w:val="22"/>
        </w:rPr>
        <w:t>Schettkat</w:t>
      </w:r>
      <w:proofErr w:type="spellEnd"/>
      <w:r w:rsidRPr="00357E17">
        <w:rPr>
          <w:sz w:val="22"/>
          <w:szCs w:val="22"/>
        </w:rPr>
        <w:t>, Ronald. Inequality and Employment. University of Wuppertal, Germany. 2012</w:t>
      </w:r>
    </w:p>
    <w:p w14:paraId="452F5417" w14:textId="77777777" w:rsidR="00CA7722" w:rsidRPr="00357E17" w:rsidRDefault="00CA7722" w:rsidP="00357E17">
      <w:pPr>
        <w:rPr>
          <w:sz w:val="22"/>
          <w:szCs w:val="22"/>
        </w:rPr>
      </w:pPr>
    </w:p>
    <w:p w14:paraId="7BAC4A91" w14:textId="43B9CC4C" w:rsidR="00CA7722" w:rsidRDefault="00CA7722" w:rsidP="00357E17">
      <w:pPr>
        <w:rPr>
          <w:sz w:val="22"/>
          <w:szCs w:val="22"/>
        </w:rPr>
      </w:pPr>
      <w:r w:rsidRPr="00357E17">
        <w:rPr>
          <w:sz w:val="22"/>
          <w:szCs w:val="22"/>
        </w:rPr>
        <w:t xml:space="preserve">The </w:t>
      </w:r>
      <w:r w:rsidRPr="008942F4">
        <w:rPr>
          <w:sz w:val="22"/>
          <w:szCs w:val="22"/>
        </w:rPr>
        <w:t>World</w:t>
      </w:r>
      <w:r w:rsidRPr="00357E17">
        <w:rPr>
          <w:sz w:val="22"/>
          <w:szCs w:val="22"/>
        </w:rPr>
        <w:t xml:space="preserve"> Bank Group. De la Fuente, Alejandro. Jacoby, Hanan and </w:t>
      </w:r>
      <w:proofErr w:type="spellStart"/>
      <w:r w:rsidRPr="00357E17">
        <w:rPr>
          <w:sz w:val="22"/>
          <w:szCs w:val="22"/>
        </w:rPr>
        <w:t>Lawin</w:t>
      </w:r>
      <w:proofErr w:type="spellEnd"/>
      <w:r w:rsidRPr="00357E17">
        <w:rPr>
          <w:sz w:val="22"/>
          <w:szCs w:val="22"/>
        </w:rPr>
        <w:t xml:space="preserve">, </w:t>
      </w:r>
      <w:proofErr w:type="spellStart"/>
      <w:r w:rsidRPr="00357E17">
        <w:rPr>
          <w:sz w:val="22"/>
          <w:szCs w:val="22"/>
        </w:rPr>
        <w:t>Kotchikpa</w:t>
      </w:r>
      <w:proofErr w:type="spellEnd"/>
      <w:r w:rsidRPr="00357E17">
        <w:rPr>
          <w:sz w:val="22"/>
          <w:szCs w:val="22"/>
        </w:rPr>
        <w:t>. Impact of the West African Ebola Epidemic on Agricultural Production and Rural Welfare. 2019</w:t>
      </w:r>
    </w:p>
    <w:p w14:paraId="49DF6690" w14:textId="77777777" w:rsidR="00CA7722" w:rsidRDefault="00CA7722" w:rsidP="00357E17">
      <w:pPr>
        <w:rPr>
          <w:sz w:val="22"/>
          <w:szCs w:val="22"/>
        </w:rPr>
      </w:pPr>
    </w:p>
    <w:p w14:paraId="1BB59264" w14:textId="1A6E6BD2" w:rsidR="00CA7722" w:rsidRDefault="00CA7722" w:rsidP="00357E17">
      <w:pPr>
        <w:rPr>
          <w:sz w:val="22"/>
          <w:szCs w:val="22"/>
        </w:rPr>
      </w:pPr>
      <w:r w:rsidRPr="008942F4">
        <w:rPr>
          <w:sz w:val="22"/>
          <w:szCs w:val="22"/>
        </w:rPr>
        <w:t>United</w:t>
      </w:r>
      <w:r w:rsidRPr="00357E17">
        <w:rPr>
          <w:sz w:val="22"/>
          <w:szCs w:val="22"/>
        </w:rPr>
        <w:t xml:space="preserve"> Nation Development </w:t>
      </w:r>
      <w:proofErr w:type="spellStart"/>
      <w:r w:rsidRPr="00357E17">
        <w:rPr>
          <w:sz w:val="22"/>
          <w:szCs w:val="22"/>
        </w:rPr>
        <w:t>Programme</w:t>
      </w:r>
      <w:proofErr w:type="spellEnd"/>
      <w:r w:rsidRPr="00357E17">
        <w:rPr>
          <w:sz w:val="22"/>
          <w:szCs w:val="22"/>
        </w:rPr>
        <w:t>. Human Development Reports</w:t>
      </w:r>
    </w:p>
    <w:p w14:paraId="192B1209" w14:textId="77777777" w:rsidR="00CA7722" w:rsidRDefault="00CA7722" w:rsidP="00357E17">
      <w:pPr>
        <w:rPr>
          <w:sz w:val="22"/>
          <w:szCs w:val="22"/>
        </w:rPr>
      </w:pPr>
    </w:p>
    <w:p w14:paraId="1FBDC798" w14:textId="245FA655" w:rsidR="00CA7722" w:rsidRDefault="00CA7722" w:rsidP="00357E17">
      <w:pPr>
        <w:rPr>
          <w:sz w:val="22"/>
          <w:szCs w:val="22"/>
        </w:rPr>
      </w:pPr>
      <w:r w:rsidRPr="008942F4">
        <w:rPr>
          <w:sz w:val="22"/>
          <w:szCs w:val="22"/>
        </w:rPr>
        <w:t>United</w:t>
      </w:r>
      <w:r w:rsidRPr="00357E17">
        <w:rPr>
          <w:sz w:val="22"/>
          <w:szCs w:val="22"/>
        </w:rPr>
        <w:t xml:space="preserve"> Nation Development </w:t>
      </w:r>
      <w:proofErr w:type="spellStart"/>
      <w:r w:rsidRPr="00357E17">
        <w:rPr>
          <w:sz w:val="22"/>
          <w:szCs w:val="22"/>
        </w:rPr>
        <w:t>Propgramme</w:t>
      </w:r>
      <w:proofErr w:type="spellEnd"/>
      <w:r w:rsidRPr="00357E17">
        <w:rPr>
          <w:sz w:val="22"/>
          <w:szCs w:val="22"/>
        </w:rPr>
        <w:t>. Gender Inequality Index</w:t>
      </w:r>
    </w:p>
    <w:p w14:paraId="047CD42A" w14:textId="77777777" w:rsidR="00CA7722" w:rsidRDefault="00CA7722" w:rsidP="00357E17">
      <w:pPr>
        <w:rPr>
          <w:sz w:val="22"/>
          <w:szCs w:val="22"/>
        </w:rPr>
      </w:pPr>
    </w:p>
    <w:p w14:paraId="4E9ECDB6" w14:textId="43E3F519" w:rsidR="00CA7722" w:rsidRDefault="00CA7722" w:rsidP="00357E17">
      <w:pPr>
        <w:rPr>
          <w:sz w:val="22"/>
          <w:szCs w:val="22"/>
        </w:rPr>
      </w:pPr>
      <w:r w:rsidRPr="008942F4">
        <w:rPr>
          <w:sz w:val="22"/>
          <w:szCs w:val="22"/>
        </w:rPr>
        <w:t>World</w:t>
      </w:r>
      <w:r w:rsidRPr="00357E17">
        <w:rPr>
          <w:sz w:val="22"/>
          <w:szCs w:val="22"/>
        </w:rPr>
        <w:t xml:space="preserve"> Bank Group. 2014-2015 West Africa Ebola Crisis: Impact Update</w:t>
      </w:r>
    </w:p>
    <w:p w14:paraId="1B3E8F82" w14:textId="77777777" w:rsidR="00CA7722" w:rsidRDefault="00CA7722" w:rsidP="00357E17">
      <w:pPr>
        <w:rPr>
          <w:sz w:val="22"/>
          <w:szCs w:val="22"/>
        </w:rPr>
      </w:pPr>
    </w:p>
    <w:p w14:paraId="3D46A180" w14:textId="4A143662" w:rsidR="00CA7722" w:rsidRDefault="00CA7722" w:rsidP="00357E17">
      <w:pPr>
        <w:rPr>
          <w:sz w:val="22"/>
          <w:szCs w:val="22"/>
        </w:rPr>
      </w:pPr>
      <w:r w:rsidRPr="008942F4">
        <w:rPr>
          <w:sz w:val="22"/>
          <w:szCs w:val="22"/>
        </w:rPr>
        <w:t>World</w:t>
      </w:r>
      <w:r w:rsidRPr="00357E17">
        <w:rPr>
          <w:sz w:val="22"/>
          <w:szCs w:val="22"/>
        </w:rPr>
        <w:t xml:space="preserve"> Bank, World Development Indicators. </w:t>
      </w:r>
    </w:p>
    <w:p w14:paraId="509D679C" w14:textId="5908BD0F" w:rsidR="00890F96" w:rsidRPr="00357E17" w:rsidRDefault="00890F96" w:rsidP="00357E17">
      <w:pPr>
        <w:rPr>
          <w:sz w:val="22"/>
          <w:szCs w:val="22"/>
        </w:rPr>
      </w:pPr>
    </w:p>
    <w:p w14:paraId="2AA42840" w14:textId="279574C8" w:rsidR="00816B51" w:rsidRPr="00CA0AF5" w:rsidRDefault="00816B51" w:rsidP="00CA0AF5">
      <w:pPr>
        <w:pStyle w:val="ListParagraph"/>
        <w:ind w:left="840"/>
      </w:pPr>
    </w:p>
    <w:sectPr w:rsidR="00816B51" w:rsidRPr="00CA0AF5" w:rsidSect="004A0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19D12" w14:textId="77777777" w:rsidR="00A64070" w:rsidRDefault="00A64070" w:rsidP="00CA0AF5">
      <w:r>
        <w:separator/>
      </w:r>
    </w:p>
  </w:endnote>
  <w:endnote w:type="continuationSeparator" w:id="0">
    <w:p w14:paraId="10A9814B" w14:textId="77777777" w:rsidR="00A64070" w:rsidRDefault="00A64070" w:rsidP="00CA0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D7876" w14:textId="77777777" w:rsidR="00A64070" w:rsidRDefault="00A64070" w:rsidP="00CA0AF5">
      <w:r>
        <w:separator/>
      </w:r>
    </w:p>
  </w:footnote>
  <w:footnote w:type="continuationSeparator" w:id="0">
    <w:p w14:paraId="6F8AD7E4" w14:textId="77777777" w:rsidR="00A64070" w:rsidRDefault="00A64070" w:rsidP="00CA0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12562"/>
    <w:multiLevelType w:val="hybridMultilevel"/>
    <w:tmpl w:val="D01E8A9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4977124E"/>
    <w:multiLevelType w:val="multilevel"/>
    <w:tmpl w:val="CBCE25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C3E0967"/>
    <w:multiLevelType w:val="hybridMultilevel"/>
    <w:tmpl w:val="59B6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63"/>
    <w:rsid w:val="00000D17"/>
    <w:rsid w:val="0000214D"/>
    <w:rsid w:val="00022DF3"/>
    <w:rsid w:val="00025020"/>
    <w:rsid w:val="00036276"/>
    <w:rsid w:val="00043877"/>
    <w:rsid w:val="00046533"/>
    <w:rsid w:val="0005485F"/>
    <w:rsid w:val="000607D5"/>
    <w:rsid w:val="00062C05"/>
    <w:rsid w:val="000770C5"/>
    <w:rsid w:val="00084E94"/>
    <w:rsid w:val="000B4CB7"/>
    <w:rsid w:val="000B60DD"/>
    <w:rsid w:val="000C048D"/>
    <w:rsid w:val="000C0E8D"/>
    <w:rsid w:val="000D69E6"/>
    <w:rsid w:val="000E7B81"/>
    <w:rsid w:val="00113323"/>
    <w:rsid w:val="001204A2"/>
    <w:rsid w:val="00121900"/>
    <w:rsid w:val="00161530"/>
    <w:rsid w:val="00164D01"/>
    <w:rsid w:val="00167664"/>
    <w:rsid w:val="00174BE2"/>
    <w:rsid w:val="00175988"/>
    <w:rsid w:val="001776A9"/>
    <w:rsid w:val="00177C4D"/>
    <w:rsid w:val="001812F5"/>
    <w:rsid w:val="00192E18"/>
    <w:rsid w:val="00195FEB"/>
    <w:rsid w:val="001A47A2"/>
    <w:rsid w:val="001A4D1D"/>
    <w:rsid w:val="001B2812"/>
    <w:rsid w:val="001C4551"/>
    <w:rsid w:val="001D17FA"/>
    <w:rsid w:val="001E27F7"/>
    <w:rsid w:val="00201A18"/>
    <w:rsid w:val="00216A0F"/>
    <w:rsid w:val="00221A26"/>
    <w:rsid w:val="00225788"/>
    <w:rsid w:val="00225E4F"/>
    <w:rsid w:val="002268C7"/>
    <w:rsid w:val="00236256"/>
    <w:rsid w:val="002476FE"/>
    <w:rsid w:val="00252B9A"/>
    <w:rsid w:val="002561F3"/>
    <w:rsid w:val="00281B53"/>
    <w:rsid w:val="0028747C"/>
    <w:rsid w:val="002B43BE"/>
    <w:rsid w:val="002B644A"/>
    <w:rsid w:val="002D0DBC"/>
    <w:rsid w:val="002D0DF3"/>
    <w:rsid w:val="002E0963"/>
    <w:rsid w:val="00300C5A"/>
    <w:rsid w:val="00303201"/>
    <w:rsid w:val="00304967"/>
    <w:rsid w:val="003108AD"/>
    <w:rsid w:val="00336C99"/>
    <w:rsid w:val="00341E80"/>
    <w:rsid w:val="00351635"/>
    <w:rsid w:val="00357E17"/>
    <w:rsid w:val="00377DB6"/>
    <w:rsid w:val="00397C92"/>
    <w:rsid w:val="003A06E5"/>
    <w:rsid w:val="003A16CC"/>
    <w:rsid w:val="003A699D"/>
    <w:rsid w:val="003A79A4"/>
    <w:rsid w:val="003B37D8"/>
    <w:rsid w:val="003B4052"/>
    <w:rsid w:val="003D1F26"/>
    <w:rsid w:val="003F6118"/>
    <w:rsid w:val="00406EB7"/>
    <w:rsid w:val="00414556"/>
    <w:rsid w:val="004258DF"/>
    <w:rsid w:val="004615E9"/>
    <w:rsid w:val="00463B03"/>
    <w:rsid w:val="00465A30"/>
    <w:rsid w:val="004919A3"/>
    <w:rsid w:val="004A000F"/>
    <w:rsid w:val="004B01EE"/>
    <w:rsid w:val="004C23FE"/>
    <w:rsid w:val="004E3AEF"/>
    <w:rsid w:val="004E4AE2"/>
    <w:rsid w:val="0050129A"/>
    <w:rsid w:val="005064DA"/>
    <w:rsid w:val="0051387C"/>
    <w:rsid w:val="00536531"/>
    <w:rsid w:val="00542E39"/>
    <w:rsid w:val="00543C3E"/>
    <w:rsid w:val="00565247"/>
    <w:rsid w:val="00573E04"/>
    <w:rsid w:val="00585144"/>
    <w:rsid w:val="00592237"/>
    <w:rsid w:val="005A656D"/>
    <w:rsid w:val="005B714D"/>
    <w:rsid w:val="005B7FF1"/>
    <w:rsid w:val="005C2DF0"/>
    <w:rsid w:val="005C3105"/>
    <w:rsid w:val="005E1799"/>
    <w:rsid w:val="005E6FDD"/>
    <w:rsid w:val="005F0886"/>
    <w:rsid w:val="005F12FE"/>
    <w:rsid w:val="005F236A"/>
    <w:rsid w:val="00610AAE"/>
    <w:rsid w:val="0063550B"/>
    <w:rsid w:val="00644C8E"/>
    <w:rsid w:val="00653143"/>
    <w:rsid w:val="006559A6"/>
    <w:rsid w:val="00655E42"/>
    <w:rsid w:val="00663FAA"/>
    <w:rsid w:val="0066754C"/>
    <w:rsid w:val="00676665"/>
    <w:rsid w:val="006A10E5"/>
    <w:rsid w:val="006B1F60"/>
    <w:rsid w:val="006B57A7"/>
    <w:rsid w:val="006B6A0A"/>
    <w:rsid w:val="006C68B1"/>
    <w:rsid w:val="006D0E33"/>
    <w:rsid w:val="006D6BBE"/>
    <w:rsid w:val="006E2C96"/>
    <w:rsid w:val="00700A7A"/>
    <w:rsid w:val="00701771"/>
    <w:rsid w:val="007039D2"/>
    <w:rsid w:val="00704E27"/>
    <w:rsid w:val="00712E04"/>
    <w:rsid w:val="007250AB"/>
    <w:rsid w:val="00732990"/>
    <w:rsid w:val="00734635"/>
    <w:rsid w:val="00734E2C"/>
    <w:rsid w:val="007535C1"/>
    <w:rsid w:val="00764992"/>
    <w:rsid w:val="00765A24"/>
    <w:rsid w:val="00767988"/>
    <w:rsid w:val="00777D1A"/>
    <w:rsid w:val="00780AE9"/>
    <w:rsid w:val="00791254"/>
    <w:rsid w:val="0079239B"/>
    <w:rsid w:val="00793973"/>
    <w:rsid w:val="007A126D"/>
    <w:rsid w:val="007A1484"/>
    <w:rsid w:val="007A5A2C"/>
    <w:rsid w:val="007F212D"/>
    <w:rsid w:val="007F530D"/>
    <w:rsid w:val="00804B04"/>
    <w:rsid w:val="008075FC"/>
    <w:rsid w:val="008078CF"/>
    <w:rsid w:val="00810A05"/>
    <w:rsid w:val="00813804"/>
    <w:rsid w:val="00816B51"/>
    <w:rsid w:val="00836787"/>
    <w:rsid w:val="00857FF4"/>
    <w:rsid w:val="0087158F"/>
    <w:rsid w:val="00871CF7"/>
    <w:rsid w:val="00890F96"/>
    <w:rsid w:val="008942F4"/>
    <w:rsid w:val="008A3D22"/>
    <w:rsid w:val="008B6AB9"/>
    <w:rsid w:val="008D452C"/>
    <w:rsid w:val="008D588A"/>
    <w:rsid w:val="009026A0"/>
    <w:rsid w:val="009074FE"/>
    <w:rsid w:val="00914A91"/>
    <w:rsid w:val="009151AF"/>
    <w:rsid w:val="009256E8"/>
    <w:rsid w:val="00935C5F"/>
    <w:rsid w:val="009625A0"/>
    <w:rsid w:val="00963589"/>
    <w:rsid w:val="00986E41"/>
    <w:rsid w:val="00990D88"/>
    <w:rsid w:val="00991C19"/>
    <w:rsid w:val="009955F5"/>
    <w:rsid w:val="00995B17"/>
    <w:rsid w:val="009B4C96"/>
    <w:rsid w:val="009B7CC7"/>
    <w:rsid w:val="009C3FEE"/>
    <w:rsid w:val="009D2E98"/>
    <w:rsid w:val="00A15D37"/>
    <w:rsid w:val="00A3678A"/>
    <w:rsid w:val="00A64070"/>
    <w:rsid w:val="00A649C3"/>
    <w:rsid w:val="00A71B06"/>
    <w:rsid w:val="00A742E1"/>
    <w:rsid w:val="00A93BDB"/>
    <w:rsid w:val="00AA4071"/>
    <w:rsid w:val="00AB2583"/>
    <w:rsid w:val="00AD3DEE"/>
    <w:rsid w:val="00AD3E61"/>
    <w:rsid w:val="00AF1354"/>
    <w:rsid w:val="00AF1430"/>
    <w:rsid w:val="00AF34E2"/>
    <w:rsid w:val="00B022A2"/>
    <w:rsid w:val="00B11897"/>
    <w:rsid w:val="00B21ED5"/>
    <w:rsid w:val="00B4490C"/>
    <w:rsid w:val="00B53025"/>
    <w:rsid w:val="00B5316F"/>
    <w:rsid w:val="00B572F2"/>
    <w:rsid w:val="00B5785F"/>
    <w:rsid w:val="00B57FCC"/>
    <w:rsid w:val="00B62663"/>
    <w:rsid w:val="00B648BE"/>
    <w:rsid w:val="00B73F30"/>
    <w:rsid w:val="00B8637E"/>
    <w:rsid w:val="00BA182F"/>
    <w:rsid w:val="00BB2043"/>
    <w:rsid w:val="00BB2AC4"/>
    <w:rsid w:val="00BD47FB"/>
    <w:rsid w:val="00BD746F"/>
    <w:rsid w:val="00C03B19"/>
    <w:rsid w:val="00C04AA2"/>
    <w:rsid w:val="00C216D4"/>
    <w:rsid w:val="00C64F68"/>
    <w:rsid w:val="00C81E4D"/>
    <w:rsid w:val="00C8293E"/>
    <w:rsid w:val="00CA0AF5"/>
    <w:rsid w:val="00CA3D6E"/>
    <w:rsid w:val="00CA496B"/>
    <w:rsid w:val="00CA7722"/>
    <w:rsid w:val="00CB35CE"/>
    <w:rsid w:val="00CB409B"/>
    <w:rsid w:val="00CC1D53"/>
    <w:rsid w:val="00CC6E03"/>
    <w:rsid w:val="00CD576C"/>
    <w:rsid w:val="00CE20D7"/>
    <w:rsid w:val="00CE34A0"/>
    <w:rsid w:val="00CE5289"/>
    <w:rsid w:val="00CF1EFD"/>
    <w:rsid w:val="00CF4969"/>
    <w:rsid w:val="00D02026"/>
    <w:rsid w:val="00D20753"/>
    <w:rsid w:val="00D22526"/>
    <w:rsid w:val="00D26A2B"/>
    <w:rsid w:val="00D45D5F"/>
    <w:rsid w:val="00D56039"/>
    <w:rsid w:val="00D60DD3"/>
    <w:rsid w:val="00D75441"/>
    <w:rsid w:val="00D85213"/>
    <w:rsid w:val="00DA5751"/>
    <w:rsid w:val="00DA5B8D"/>
    <w:rsid w:val="00DA7D4A"/>
    <w:rsid w:val="00DD019F"/>
    <w:rsid w:val="00DD3FBB"/>
    <w:rsid w:val="00DD7EB5"/>
    <w:rsid w:val="00DE286C"/>
    <w:rsid w:val="00DF2A6E"/>
    <w:rsid w:val="00DF7A09"/>
    <w:rsid w:val="00DF7BA8"/>
    <w:rsid w:val="00E009B0"/>
    <w:rsid w:val="00E01E9F"/>
    <w:rsid w:val="00E06A4E"/>
    <w:rsid w:val="00E20496"/>
    <w:rsid w:val="00E4282C"/>
    <w:rsid w:val="00E43BE3"/>
    <w:rsid w:val="00E47CE1"/>
    <w:rsid w:val="00E54058"/>
    <w:rsid w:val="00E57C09"/>
    <w:rsid w:val="00E61A87"/>
    <w:rsid w:val="00E819B0"/>
    <w:rsid w:val="00E83294"/>
    <w:rsid w:val="00E957B9"/>
    <w:rsid w:val="00EA0358"/>
    <w:rsid w:val="00EA2970"/>
    <w:rsid w:val="00EA3DD7"/>
    <w:rsid w:val="00EB1119"/>
    <w:rsid w:val="00EB7C07"/>
    <w:rsid w:val="00EC16B3"/>
    <w:rsid w:val="00EC6307"/>
    <w:rsid w:val="00ED5B9D"/>
    <w:rsid w:val="00EE7EFF"/>
    <w:rsid w:val="00F17AD2"/>
    <w:rsid w:val="00F240E7"/>
    <w:rsid w:val="00F30A68"/>
    <w:rsid w:val="00F32BB5"/>
    <w:rsid w:val="00F34F81"/>
    <w:rsid w:val="00F47D54"/>
    <w:rsid w:val="00F53084"/>
    <w:rsid w:val="00F55BAB"/>
    <w:rsid w:val="00F62790"/>
    <w:rsid w:val="00F64241"/>
    <w:rsid w:val="00F87B6F"/>
    <w:rsid w:val="00F93B59"/>
    <w:rsid w:val="00FB40C6"/>
    <w:rsid w:val="00FC047C"/>
    <w:rsid w:val="00FD020A"/>
    <w:rsid w:val="00FD165A"/>
    <w:rsid w:val="00FD2BF7"/>
    <w:rsid w:val="00FE1136"/>
    <w:rsid w:val="00FF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55BB"/>
  <w15:chartTrackingRefBased/>
  <w15:docId w15:val="{BDAC4FA3-01CE-5145-AC6D-4437B907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0AF5"/>
    <w:rPr>
      <w:sz w:val="20"/>
      <w:szCs w:val="20"/>
    </w:rPr>
  </w:style>
  <w:style w:type="character" w:customStyle="1" w:styleId="FootnoteTextChar">
    <w:name w:val="Footnote Text Char"/>
    <w:basedOn w:val="DefaultParagraphFont"/>
    <w:link w:val="FootnoteText"/>
    <w:uiPriority w:val="99"/>
    <w:semiHidden/>
    <w:rsid w:val="00CA0AF5"/>
    <w:rPr>
      <w:sz w:val="20"/>
      <w:szCs w:val="20"/>
    </w:rPr>
  </w:style>
  <w:style w:type="character" w:styleId="FootnoteReference">
    <w:name w:val="footnote reference"/>
    <w:basedOn w:val="DefaultParagraphFont"/>
    <w:uiPriority w:val="99"/>
    <w:semiHidden/>
    <w:unhideWhenUsed/>
    <w:rsid w:val="00CA0AF5"/>
    <w:rPr>
      <w:vertAlign w:val="superscript"/>
    </w:rPr>
  </w:style>
  <w:style w:type="paragraph" w:styleId="ListParagraph">
    <w:name w:val="List Paragraph"/>
    <w:basedOn w:val="Normal"/>
    <w:uiPriority w:val="34"/>
    <w:qFormat/>
    <w:rsid w:val="00CA0AF5"/>
    <w:pPr>
      <w:ind w:left="720"/>
      <w:contextualSpacing/>
    </w:pPr>
  </w:style>
  <w:style w:type="character" w:styleId="Hyperlink">
    <w:name w:val="Hyperlink"/>
    <w:basedOn w:val="DefaultParagraphFont"/>
    <w:uiPriority w:val="99"/>
    <w:unhideWhenUsed/>
    <w:rsid w:val="00CA0AF5"/>
    <w:rPr>
      <w:color w:val="0000FF"/>
      <w:u w:val="single"/>
    </w:rPr>
  </w:style>
  <w:style w:type="character" w:styleId="UnresolvedMention">
    <w:name w:val="Unresolved Mention"/>
    <w:basedOn w:val="DefaultParagraphFont"/>
    <w:uiPriority w:val="99"/>
    <w:semiHidden/>
    <w:unhideWhenUsed/>
    <w:rsid w:val="00CA0AF5"/>
    <w:rPr>
      <w:color w:val="605E5C"/>
      <w:shd w:val="clear" w:color="auto" w:fill="E1DFDD"/>
    </w:rPr>
  </w:style>
  <w:style w:type="character" w:styleId="FollowedHyperlink">
    <w:name w:val="FollowedHyperlink"/>
    <w:basedOn w:val="DefaultParagraphFont"/>
    <w:uiPriority w:val="99"/>
    <w:semiHidden/>
    <w:unhideWhenUsed/>
    <w:rsid w:val="00B022A2"/>
    <w:rPr>
      <w:color w:val="954F72" w:themeColor="followedHyperlink"/>
      <w:u w:val="single"/>
    </w:rPr>
  </w:style>
  <w:style w:type="table" w:styleId="TableGrid">
    <w:name w:val="Table Grid"/>
    <w:basedOn w:val="TableNormal"/>
    <w:uiPriority w:val="39"/>
    <w:rsid w:val="00D22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496B"/>
    <w:rPr>
      <w:color w:val="808080"/>
    </w:rPr>
  </w:style>
  <w:style w:type="table" w:styleId="PlainTable3">
    <w:name w:val="Plain Table 3"/>
    <w:basedOn w:val="TableNormal"/>
    <w:uiPriority w:val="43"/>
    <w:rsid w:val="004919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919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14A91"/>
    <w:pPr>
      <w:tabs>
        <w:tab w:val="center" w:pos="4680"/>
        <w:tab w:val="right" w:pos="9360"/>
      </w:tabs>
    </w:pPr>
  </w:style>
  <w:style w:type="character" w:customStyle="1" w:styleId="HeaderChar">
    <w:name w:val="Header Char"/>
    <w:basedOn w:val="DefaultParagraphFont"/>
    <w:link w:val="Header"/>
    <w:uiPriority w:val="99"/>
    <w:rsid w:val="00914A91"/>
    <w:rPr>
      <w:rFonts w:ascii="Times New Roman" w:eastAsia="Times New Roman" w:hAnsi="Times New Roman" w:cs="Times New Roman"/>
    </w:rPr>
  </w:style>
  <w:style w:type="paragraph" w:styleId="Footer">
    <w:name w:val="footer"/>
    <w:basedOn w:val="Normal"/>
    <w:link w:val="FooterChar"/>
    <w:uiPriority w:val="99"/>
    <w:unhideWhenUsed/>
    <w:rsid w:val="00914A91"/>
    <w:pPr>
      <w:tabs>
        <w:tab w:val="center" w:pos="4680"/>
        <w:tab w:val="right" w:pos="9360"/>
      </w:tabs>
    </w:pPr>
  </w:style>
  <w:style w:type="character" w:customStyle="1" w:styleId="FooterChar">
    <w:name w:val="Footer Char"/>
    <w:basedOn w:val="DefaultParagraphFont"/>
    <w:link w:val="Footer"/>
    <w:uiPriority w:val="99"/>
    <w:rsid w:val="00914A91"/>
    <w:rPr>
      <w:rFonts w:ascii="Times New Roman" w:eastAsia="Times New Roman" w:hAnsi="Times New Roman" w:cs="Times New Roman"/>
    </w:rPr>
  </w:style>
  <w:style w:type="paragraph" w:styleId="Caption">
    <w:name w:val="caption"/>
    <w:basedOn w:val="Normal"/>
    <w:next w:val="Normal"/>
    <w:uiPriority w:val="35"/>
    <w:unhideWhenUsed/>
    <w:qFormat/>
    <w:rsid w:val="00161530"/>
    <w:pPr>
      <w:spacing w:after="200"/>
    </w:pPr>
    <w:rPr>
      <w:i/>
      <w:iCs/>
      <w:color w:val="44546A" w:themeColor="text2"/>
      <w:sz w:val="18"/>
      <w:szCs w:val="18"/>
    </w:rPr>
  </w:style>
  <w:style w:type="paragraph" w:styleId="NormalWeb">
    <w:name w:val="Normal (Web)"/>
    <w:basedOn w:val="Normal"/>
    <w:uiPriority w:val="99"/>
    <w:semiHidden/>
    <w:unhideWhenUsed/>
    <w:rsid w:val="00990D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6608">
      <w:bodyDiv w:val="1"/>
      <w:marLeft w:val="0"/>
      <w:marRight w:val="0"/>
      <w:marTop w:val="0"/>
      <w:marBottom w:val="0"/>
      <w:divBdr>
        <w:top w:val="none" w:sz="0" w:space="0" w:color="auto"/>
        <w:left w:val="none" w:sz="0" w:space="0" w:color="auto"/>
        <w:bottom w:val="none" w:sz="0" w:space="0" w:color="auto"/>
        <w:right w:val="none" w:sz="0" w:space="0" w:color="auto"/>
      </w:divBdr>
    </w:div>
    <w:div w:id="35014349">
      <w:bodyDiv w:val="1"/>
      <w:marLeft w:val="0"/>
      <w:marRight w:val="0"/>
      <w:marTop w:val="0"/>
      <w:marBottom w:val="0"/>
      <w:divBdr>
        <w:top w:val="none" w:sz="0" w:space="0" w:color="auto"/>
        <w:left w:val="none" w:sz="0" w:space="0" w:color="auto"/>
        <w:bottom w:val="none" w:sz="0" w:space="0" w:color="auto"/>
        <w:right w:val="none" w:sz="0" w:space="0" w:color="auto"/>
      </w:divBdr>
    </w:div>
    <w:div w:id="37516362">
      <w:bodyDiv w:val="1"/>
      <w:marLeft w:val="0"/>
      <w:marRight w:val="0"/>
      <w:marTop w:val="0"/>
      <w:marBottom w:val="0"/>
      <w:divBdr>
        <w:top w:val="none" w:sz="0" w:space="0" w:color="auto"/>
        <w:left w:val="none" w:sz="0" w:space="0" w:color="auto"/>
        <w:bottom w:val="none" w:sz="0" w:space="0" w:color="auto"/>
        <w:right w:val="none" w:sz="0" w:space="0" w:color="auto"/>
      </w:divBdr>
    </w:div>
    <w:div w:id="42406755">
      <w:bodyDiv w:val="1"/>
      <w:marLeft w:val="0"/>
      <w:marRight w:val="0"/>
      <w:marTop w:val="0"/>
      <w:marBottom w:val="0"/>
      <w:divBdr>
        <w:top w:val="none" w:sz="0" w:space="0" w:color="auto"/>
        <w:left w:val="none" w:sz="0" w:space="0" w:color="auto"/>
        <w:bottom w:val="none" w:sz="0" w:space="0" w:color="auto"/>
        <w:right w:val="none" w:sz="0" w:space="0" w:color="auto"/>
      </w:divBdr>
    </w:div>
    <w:div w:id="68117102">
      <w:bodyDiv w:val="1"/>
      <w:marLeft w:val="0"/>
      <w:marRight w:val="0"/>
      <w:marTop w:val="0"/>
      <w:marBottom w:val="0"/>
      <w:divBdr>
        <w:top w:val="none" w:sz="0" w:space="0" w:color="auto"/>
        <w:left w:val="none" w:sz="0" w:space="0" w:color="auto"/>
        <w:bottom w:val="none" w:sz="0" w:space="0" w:color="auto"/>
        <w:right w:val="none" w:sz="0" w:space="0" w:color="auto"/>
      </w:divBdr>
    </w:div>
    <w:div w:id="96948438">
      <w:bodyDiv w:val="1"/>
      <w:marLeft w:val="0"/>
      <w:marRight w:val="0"/>
      <w:marTop w:val="0"/>
      <w:marBottom w:val="0"/>
      <w:divBdr>
        <w:top w:val="none" w:sz="0" w:space="0" w:color="auto"/>
        <w:left w:val="none" w:sz="0" w:space="0" w:color="auto"/>
        <w:bottom w:val="none" w:sz="0" w:space="0" w:color="auto"/>
        <w:right w:val="none" w:sz="0" w:space="0" w:color="auto"/>
      </w:divBdr>
    </w:div>
    <w:div w:id="121919770">
      <w:bodyDiv w:val="1"/>
      <w:marLeft w:val="0"/>
      <w:marRight w:val="0"/>
      <w:marTop w:val="0"/>
      <w:marBottom w:val="0"/>
      <w:divBdr>
        <w:top w:val="none" w:sz="0" w:space="0" w:color="auto"/>
        <w:left w:val="none" w:sz="0" w:space="0" w:color="auto"/>
        <w:bottom w:val="none" w:sz="0" w:space="0" w:color="auto"/>
        <w:right w:val="none" w:sz="0" w:space="0" w:color="auto"/>
      </w:divBdr>
    </w:div>
    <w:div w:id="140538420">
      <w:bodyDiv w:val="1"/>
      <w:marLeft w:val="0"/>
      <w:marRight w:val="0"/>
      <w:marTop w:val="0"/>
      <w:marBottom w:val="0"/>
      <w:divBdr>
        <w:top w:val="none" w:sz="0" w:space="0" w:color="auto"/>
        <w:left w:val="none" w:sz="0" w:space="0" w:color="auto"/>
        <w:bottom w:val="none" w:sz="0" w:space="0" w:color="auto"/>
        <w:right w:val="none" w:sz="0" w:space="0" w:color="auto"/>
      </w:divBdr>
    </w:div>
    <w:div w:id="197016099">
      <w:bodyDiv w:val="1"/>
      <w:marLeft w:val="0"/>
      <w:marRight w:val="0"/>
      <w:marTop w:val="0"/>
      <w:marBottom w:val="0"/>
      <w:divBdr>
        <w:top w:val="none" w:sz="0" w:space="0" w:color="auto"/>
        <w:left w:val="none" w:sz="0" w:space="0" w:color="auto"/>
        <w:bottom w:val="none" w:sz="0" w:space="0" w:color="auto"/>
        <w:right w:val="none" w:sz="0" w:space="0" w:color="auto"/>
      </w:divBdr>
    </w:div>
    <w:div w:id="230502615">
      <w:bodyDiv w:val="1"/>
      <w:marLeft w:val="0"/>
      <w:marRight w:val="0"/>
      <w:marTop w:val="0"/>
      <w:marBottom w:val="0"/>
      <w:divBdr>
        <w:top w:val="none" w:sz="0" w:space="0" w:color="auto"/>
        <w:left w:val="none" w:sz="0" w:space="0" w:color="auto"/>
        <w:bottom w:val="none" w:sz="0" w:space="0" w:color="auto"/>
        <w:right w:val="none" w:sz="0" w:space="0" w:color="auto"/>
      </w:divBdr>
    </w:div>
    <w:div w:id="278924700">
      <w:bodyDiv w:val="1"/>
      <w:marLeft w:val="0"/>
      <w:marRight w:val="0"/>
      <w:marTop w:val="0"/>
      <w:marBottom w:val="0"/>
      <w:divBdr>
        <w:top w:val="none" w:sz="0" w:space="0" w:color="auto"/>
        <w:left w:val="none" w:sz="0" w:space="0" w:color="auto"/>
        <w:bottom w:val="none" w:sz="0" w:space="0" w:color="auto"/>
        <w:right w:val="none" w:sz="0" w:space="0" w:color="auto"/>
      </w:divBdr>
    </w:div>
    <w:div w:id="283851333">
      <w:bodyDiv w:val="1"/>
      <w:marLeft w:val="0"/>
      <w:marRight w:val="0"/>
      <w:marTop w:val="0"/>
      <w:marBottom w:val="0"/>
      <w:divBdr>
        <w:top w:val="none" w:sz="0" w:space="0" w:color="auto"/>
        <w:left w:val="none" w:sz="0" w:space="0" w:color="auto"/>
        <w:bottom w:val="none" w:sz="0" w:space="0" w:color="auto"/>
        <w:right w:val="none" w:sz="0" w:space="0" w:color="auto"/>
      </w:divBdr>
    </w:div>
    <w:div w:id="326248856">
      <w:bodyDiv w:val="1"/>
      <w:marLeft w:val="0"/>
      <w:marRight w:val="0"/>
      <w:marTop w:val="0"/>
      <w:marBottom w:val="0"/>
      <w:divBdr>
        <w:top w:val="none" w:sz="0" w:space="0" w:color="auto"/>
        <w:left w:val="none" w:sz="0" w:space="0" w:color="auto"/>
        <w:bottom w:val="none" w:sz="0" w:space="0" w:color="auto"/>
        <w:right w:val="none" w:sz="0" w:space="0" w:color="auto"/>
      </w:divBdr>
    </w:div>
    <w:div w:id="327484108">
      <w:bodyDiv w:val="1"/>
      <w:marLeft w:val="0"/>
      <w:marRight w:val="0"/>
      <w:marTop w:val="0"/>
      <w:marBottom w:val="0"/>
      <w:divBdr>
        <w:top w:val="none" w:sz="0" w:space="0" w:color="auto"/>
        <w:left w:val="none" w:sz="0" w:space="0" w:color="auto"/>
        <w:bottom w:val="none" w:sz="0" w:space="0" w:color="auto"/>
        <w:right w:val="none" w:sz="0" w:space="0" w:color="auto"/>
      </w:divBdr>
    </w:div>
    <w:div w:id="344140656">
      <w:bodyDiv w:val="1"/>
      <w:marLeft w:val="0"/>
      <w:marRight w:val="0"/>
      <w:marTop w:val="0"/>
      <w:marBottom w:val="0"/>
      <w:divBdr>
        <w:top w:val="none" w:sz="0" w:space="0" w:color="auto"/>
        <w:left w:val="none" w:sz="0" w:space="0" w:color="auto"/>
        <w:bottom w:val="none" w:sz="0" w:space="0" w:color="auto"/>
        <w:right w:val="none" w:sz="0" w:space="0" w:color="auto"/>
      </w:divBdr>
    </w:div>
    <w:div w:id="347367023">
      <w:bodyDiv w:val="1"/>
      <w:marLeft w:val="0"/>
      <w:marRight w:val="0"/>
      <w:marTop w:val="0"/>
      <w:marBottom w:val="0"/>
      <w:divBdr>
        <w:top w:val="none" w:sz="0" w:space="0" w:color="auto"/>
        <w:left w:val="none" w:sz="0" w:space="0" w:color="auto"/>
        <w:bottom w:val="none" w:sz="0" w:space="0" w:color="auto"/>
        <w:right w:val="none" w:sz="0" w:space="0" w:color="auto"/>
      </w:divBdr>
    </w:div>
    <w:div w:id="367680555">
      <w:bodyDiv w:val="1"/>
      <w:marLeft w:val="0"/>
      <w:marRight w:val="0"/>
      <w:marTop w:val="0"/>
      <w:marBottom w:val="0"/>
      <w:divBdr>
        <w:top w:val="none" w:sz="0" w:space="0" w:color="auto"/>
        <w:left w:val="none" w:sz="0" w:space="0" w:color="auto"/>
        <w:bottom w:val="none" w:sz="0" w:space="0" w:color="auto"/>
        <w:right w:val="none" w:sz="0" w:space="0" w:color="auto"/>
      </w:divBdr>
    </w:div>
    <w:div w:id="376701662">
      <w:bodyDiv w:val="1"/>
      <w:marLeft w:val="0"/>
      <w:marRight w:val="0"/>
      <w:marTop w:val="0"/>
      <w:marBottom w:val="0"/>
      <w:divBdr>
        <w:top w:val="none" w:sz="0" w:space="0" w:color="auto"/>
        <w:left w:val="none" w:sz="0" w:space="0" w:color="auto"/>
        <w:bottom w:val="none" w:sz="0" w:space="0" w:color="auto"/>
        <w:right w:val="none" w:sz="0" w:space="0" w:color="auto"/>
      </w:divBdr>
    </w:div>
    <w:div w:id="385225341">
      <w:bodyDiv w:val="1"/>
      <w:marLeft w:val="0"/>
      <w:marRight w:val="0"/>
      <w:marTop w:val="0"/>
      <w:marBottom w:val="0"/>
      <w:divBdr>
        <w:top w:val="none" w:sz="0" w:space="0" w:color="auto"/>
        <w:left w:val="none" w:sz="0" w:space="0" w:color="auto"/>
        <w:bottom w:val="none" w:sz="0" w:space="0" w:color="auto"/>
        <w:right w:val="none" w:sz="0" w:space="0" w:color="auto"/>
      </w:divBdr>
    </w:div>
    <w:div w:id="427505843">
      <w:bodyDiv w:val="1"/>
      <w:marLeft w:val="0"/>
      <w:marRight w:val="0"/>
      <w:marTop w:val="0"/>
      <w:marBottom w:val="0"/>
      <w:divBdr>
        <w:top w:val="none" w:sz="0" w:space="0" w:color="auto"/>
        <w:left w:val="none" w:sz="0" w:space="0" w:color="auto"/>
        <w:bottom w:val="none" w:sz="0" w:space="0" w:color="auto"/>
        <w:right w:val="none" w:sz="0" w:space="0" w:color="auto"/>
      </w:divBdr>
    </w:div>
    <w:div w:id="488908303">
      <w:bodyDiv w:val="1"/>
      <w:marLeft w:val="0"/>
      <w:marRight w:val="0"/>
      <w:marTop w:val="0"/>
      <w:marBottom w:val="0"/>
      <w:divBdr>
        <w:top w:val="none" w:sz="0" w:space="0" w:color="auto"/>
        <w:left w:val="none" w:sz="0" w:space="0" w:color="auto"/>
        <w:bottom w:val="none" w:sz="0" w:space="0" w:color="auto"/>
        <w:right w:val="none" w:sz="0" w:space="0" w:color="auto"/>
      </w:divBdr>
    </w:div>
    <w:div w:id="526915010">
      <w:bodyDiv w:val="1"/>
      <w:marLeft w:val="0"/>
      <w:marRight w:val="0"/>
      <w:marTop w:val="0"/>
      <w:marBottom w:val="0"/>
      <w:divBdr>
        <w:top w:val="none" w:sz="0" w:space="0" w:color="auto"/>
        <w:left w:val="none" w:sz="0" w:space="0" w:color="auto"/>
        <w:bottom w:val="none" w:sz="0" w:space="0" w:color="auto"/>
        <w:right w:val="none" w:sz="0" w:space="0" w:color="auto"/>
      </w:divBdr>
    </w:div>
    <w:div w:id="529610689">
      <w:bodyDiv w:val="1"/>
      <w:marLeft w:val="0"/>
      <w:marRight w:val="0"/>
      <w:marTop w:val="0"/>
      <w:marBottom w:val="0"/>
      <w:divBdr>
        <w:top w:val="none" w:sz="0" w:space="0" w:color="auto"/>
        <w:left w:val="none" w:sz="0" w:space="0" w:color="auto"/>
        <w:bottom w:val="none" w:sz="0" w:space="0" w:color="auto"/>
        <w:right w:val="none" w:sz="0" w:space="0" w:color="auto"/>
      </w:divBdr>
    </w:div>
    <w:div w:id="539241425">
      <w:bodyDiv w:val="1"/>
      <w:marLeft w:val="0"/>
      <w:marRight w:val="0"/>
      <w:marTop w:val="0"/>
      <w:marBottom w:val="0"/>
      <w:divBdr>
        <w:top w:val="none" w:sz="0" w:space="0" w:color="auto"/>
        <w:left w:val="none" w:sz="0" w:space="0" w:color="auto"/>
        <w:bottom w:val="none" w:sz="0" w:space="0" w:color="auto"/>
        <w:right w:val="none" w:sz="0" w:space="0" w:color="auto"/>
      </w:divBdr>
    </w:div>
    <w:div w:id="557282519">
      <w:bodyDiv w:val="1"/>
      <w:marLeft w:val="0"/>
      <w:marRight w:val="0"/>
      <w:marTop w:val="0"/>
      <w:marBottom w:val="0"/>
      <w:divBdr>
        <w:top w:val="none" w:sz="0" w:space="0" w:color="auto"/>
        <w:left w:val="none" w:sz="0" w:space="0" w:color="auto"/>
        <w:bottom w:val="none" w:sz="0" w:space="0" w:color="auto"/>
        <w:right w:val="none" w:sz="0" w:space="0" w:color="auto"/>
      </w:divBdr>
    </w:div>
    <w:div w:id="628509422">
      <w:bodyDiv w:val="1"/>
      <w:marLeft w:val="0"/>
      <w:marRight w:val="0"/>
      <w:marTop w:val="0"/>
      <w:marBottom w:val="0"/>
      <w:divBdr>
        <w:top w:val="none" w:sz="0" w:space="0" w:color="auto"/>
        <w:left w:val="none" w:sz="0" w:space="0" w:color="auto"/>
        <w:bottom w:val="none" w:sz="0" w:space="0" w:color="auto"/>
        <w:right w:val="none" w:sz="0" w:space="0" w:color="auto"/>
      </w:divBdr>
    </w:div>
    <w:div w:id="630289124">
      <w:bodyDiv w:val="1"/>
      <w:marLeft w:val="0"/>
      <w:marRight w:val="0"/>
      <w:marTop w:val="0"/>
      <w:marBottom w:val="0"/>
      <w:divBdr>
        <w:top w:val="none" w:sz="0" w:space="0" w:color="auto"/>
        <w:left w:val="none" w:sz="0" w:space="0" w:color="auto"/>
        <w:bottom w:val="none" w:sz="0" w:space="0" w:color="auto"/>
        <w:right w:val="none" w:sz="0" w:space="0" w:color="auto"/>
      </w:divBdr>
    </w:div>
    <w:div w:id="645165846">
      <w:bodyDiv w:val="1"/>
      <w:marLeft w:val="0"/>
      <w:marRight w:val="0"/>
      <w:marTop w:val="0"/>
      <w:marBottom w:val="0"/>
      <w:divBdr>
        <w:top w:val="none" w:sz="0" w:space="0" w:color="auto"/>
        <w:left w:val="none" w:sz="0" w:space="0" w:color="auto"/>
        <w:bottom w:val="none" w:sz="0" w:space="0" w:color="auto"/>
        <w:right w:val="none" w:sz="0" w:space="0" w:color="auto"/>
      </w:divBdr>
    </w:div>
    <w:div w:id="709308370">
      <w:bodyDiv w:val="1"/>
      <w:marLeft w:val="0"/>
      <w:marRight w:val="0"/>
      <w:marTop w:val="0"/>
      <w:marBottom w:val="0"/>
      <w:divBdr>
        <w:top w:val="none" w:sz="0" w:space="0" w:color="auto"/>
        <w:left w:val="none" w:sz="0" w:space="0" w:color="auto"/>
        <w:bottom w:val="none" w:sz="0" w:space="0" w:color="auto"/>
        <w:right w:val="none" w:sz="0" w:space="0" w:color="auto"/>
      </w:divBdr>
    </w:div>
    <w:div w:id="716316545">
      <w:bodyDiv w:val="1"/>
      <w:marLeft w:val="0"/>
      <w:marRight w:val="0"/>
      <w:marTop w:val="0"/>
      <w:marBottom w:val="0"/>
      <w:divBdr>
        <w:top w:val="none" w:sz="0" w:space="0" w:color="auto"/>
        <w:left w:val="none" w:sz="0" w:space="0" w:color="auto"/>
        <w:bottom w:val="none" w:sz="0" w:space="0" w:color="auto"/>
        <w:right w:val="none" w:sz="0" w:space="0" w:color="auto"/>
      </w:divBdr>
    </w:div>
    <w:div w:id="799302206">
      <w:bodyDiv w:val="1"/>
      <w:marLeft w:val="0"/>
      <w:marRight w:val="0"/>
      <w:marTop w:val="0"/>
      <w:marBottom w:val="0"/>
      <w:divBdr>
        <w:top w:val="none" w:sz="0" w:space="0" w:color="auto"/>
        <w:left w:val="none" w:sz="0" w:space="0" w:color="auto"/>
        <w:bottom w:val="none" w:sz="0" w:space="0" w:color="auto"/>
        <w:right w:val="none" w:sz="0" w:space="0" w:color="auto"/>
      </w:divBdr>
    </w:div>
    <w:div w:id="804466145">
      <w:bodyDiv w:val="1"/>
      <w:marLeft w:val="0"/>
      <w:marRight w:val="0"/>
      <w:marTop w:val="0"/>
      <w:marBottom w:val="0"/>
      <w:divBdr>
        <w:top w:val="none" w:sz="0" w:space="0" w:color="auto"/>
        <w:left w:val="none" w:sz="0" w:space="0" w:color="auto"/>
        <w:bottom w:val="none" w:sz="0" w:space="0" w:color="auto"/>
        <w:right w:val="none" w:sz="0" w:space="0" w:color="auto"/>
      </w:divBdr>
    </w:div>
    <w:div w:id="813185649">
      <w:bodyDiv w:val="1"/>
      <w:marLeft w:val="0"/>
      <w:marRight w:val="0"/>
      <w:marTop w:val="0"/>
      <w:marBottom w:val="0"/>
      <w:divBdr>
        <w:top w:val="none" w:sz="0" w:space="0" w:color="auto"/>
        <w:left w:val="none" w:sz="0" w:space="0" w:color="auto"/>
        <w:bottom w:val="none" w:sz="0" w:space="0" w:color="auto"/>
        <w:right w:val="none" w:sz="0" w:space="0" w:color="auto"/>
      </w:divBdr>
    </w:div>
    <w:div w:id="864834173">
      <w:bodyDiv w:val="1"/>
      <w:marLeft w:val="0"/>
      <w:marRight w:val="0"/>
      <w:marTop w:val="0"/>
      <w:marBottom w:val="0"/>
      <w:divBdr>
        <w:top w:val="none" w:sz="0" w:space="0" w:color="auto"/>
        <w:left w:val="none" w:sz="0" w:space="0" w:color="auto"/>
        <w:bottom w:val="none" w:sz="0" w:space="0" w:color="auto"/>
        <w:right w:val="none" w:sz="0" w:space="0" w:color="auto"/>
      </w:divBdr>
    </w:div>
    <w:div w:id="872571882">
      <w:bodyDiv w:val="1"/>
      <w:marLeft w:val="0"/>
      <w:marRight w:val="0"/>
      <w:marTop w:val="0"/>
      <w:marBottom w:val="0"/>
      <w:divBdr>
        <w:top w:val="none" w:sz="0" w:space="0" w:color="auto"/>
        <w:left w:val="none" w:sz="0" w:space="0" w:color="auto"/>
        <w:bottom w:val="none" w:sz="0" w:space="0" w:color="auto"/>
        <w:right w:val="none" w:sz="0" w:space="0" w:color="auto"/>
      </w:divBdr>
    </w:div>
    <w:div w:id="877011120">
      <w:bodyDiv w:val="1"/>
      <w:marLeft w:val="0"/>
      <w:marRight w:val="0"/>
      <w:marTop w:val="0"/>
      <w:marBottom w:val="0"/>
      <w:divBdr>
        <w:top w:val="none" w:sz="0" w:space="0" w:color="auto"/>
        <w:left w:val="none" w:sz="0" w:space="0" w:color="auto"/>
        <w:bottom w:val="none" w:sz="0" w:space="0" w:color="auto"/>
        <w:right w:val="none" w:sz="0" w:space="0" w:color="auto"/>
      </w:divBdr>
    </w:div>
    <w:div w:id="892499142">
      <w:bodyDiv w:val="1"/>
      <w:marLeft w:val="0"/>
      <w:marRight w:val="0"/>
      <w:marTop w:val="0"/>
      <w:marBottom w:val="0"/>
      <w:divBdr>
        <w:top w:val="none" w:sz="0" w:space="0" w:color="auto"/>
        <w:left w:val="none" w:sz="0" w:space="0" w:color="auto"/>
        <w:bottom w:val="none" w:sz="0" w:space="0" w:color="auto"/>
        <w:right w:val="none" w:sz="0" w:space="0" w:color="auto"/>
      </w:divBdr>
    </w:div>
    <w:div w:id="893124659">
      <w:bodyDiv w:val="1"/>
      <w:marLeft w:val="0"/>
      <w:marRight w:val="0"/>
      <w:marTop w:val="0"/>
      <w:marBottom w:val="0"/>
      <w:divBdr>
        <w:top w:val="none" w:sz="0" w:space="0" w:color="auto"/>
        <w:left w:val="none" w:sz="0" w:space="0" w:color="auto"/>
        <w:bottom w:val="none" w:sz="0" w:space="0" w:color="auto"/>
        <w:right w:val="none" w:sz="0" w:space="0" w:color="auto"/>
      </w:divBdr>
    </w:div>
    <w:div w:id="915826534">
      <w:bodyDiv w:val="1"/>
      <w:marLeft w:val="0"/>
      <w:marRight w:val="0"/>
      <w:marTop w:val="0"/>
      <w:marBottom w:val="0"/>
      <w:divBdr>
        <w:top w:val="none" w:sz="0" w:space="0" w:color="auto"/>
        <w:left w:val="none" w:sz="0" w:space="0" w:color="auto"/>
        <w:bottom w:val="none" w:sz="0" w:space="0" w:color="auto"/>
        <w:right w:val="none" w:sz="0" w:space="0" w:color="auto"/>
      </w:divBdr>
    </w:div>
    <w:div w:id="932516460">
      <w:bodyDiv w:val="1"/>
      <w:marLeft w:val="0"/>
      <w:marRight w:val="0"/>
      <w:marTop w:val="0"/>
      <w:marBottom w:val="0"/>
      <w:divBdr>
        <w:top w:val="none" w:sz="0" w:space="0" w:color="auto"/>
        <w:left w:val="none" w:sz="0" w:space="0" w:color="auto"/>
        <w:bottom w:val="none" w:sz="0" w:space="0" w:color="auto"/>
        <w:right w:val="none" w:sz="0" w:space="0" w:color="auto"/>
      </w:divBdr>
    </w:div>
    <w:div w:id="965426895">
      <w:bodyDiv w:val="1"/>
      <w:marLeft w:val="0"/>
      <w:marRight w:val="0"/>
      <w:marTop w:val="0"/>
      <w:marBottom w:val="0"/>
      <w:divBdr>
        <w:top w:val="none" w:sz="0" w:space="0" w:color="auto"/>
        <w:left w:val="none" w:sz="0" w:space="0" w:color="auto"/>
        <w:bottom w:val="none" w:sz="0" w:space="0" w:color="auto"/>
        <w:right w:val="none" w:sz="0" w:space="0" w:color="auto"/>
      </w:divBdr>
    </w:div>
    <w:div w:id="969211970">
      <w:bodyDiv w:val="1"/>
      <w:marLeft w:val="0"/>
      <w:marRight w:val="0"/>
      <w:marTop w:val="0"/>
      <w:marBottom w:val="0"/>
      <w:divBdr>
        <w:top w:val="none" w:sz="0" w:space="0" w:color="auto"/>
        <w:left w:val="none" w:sz="0" w:space="0" w:color="auto"/>
        <w:bottom w:val="none" w:sz="0" w:space="0" w:color="auto"/>
        <w:right w:val="none" w:sz="0" w:space="0" w:color="auto"/>
      </w:divBdr>
    </w:div>
    <w:div w:id="993293467">
      <w:bodyDiv w:val="1"/>
      <w:marLeft w:val="0"/>
      <w:marRight w:val="0"/>
      <w:marTop w:val="0"/>
      <w:marBottom w:val="0"/>
      <w:divBdr>
        <w:top w:val="none" w:sz="0" w:space="0" w:color="auto"/>
        <w:left w:val="none" w:sz="0" w:space="0" w:color="auto"/>
        <w:bottom w:val="none" w:sz="0" w:space="0" w:color="auto"/>
        <w:right w:val="none" w:sz="0" w:space="0" w:color="auto"/>
      </w:divBdr>
    </w:div>
    <w:div w:id="1098409883">
      <w:bodyDiv w:val="1"/>
      <w:marLeft w:val="0"/>
      <w:marRight w:val="0"/>
      <w:marTop w:val="0"/>
      <w:marBottom w:val="0"/>
      <w:divBdr>
        <w:top w:val="none" w:sz="0" w:space="0" w:color="auto"/>
        <w:left w:val="none" w:sz="0" w:space="0" w:color="auto"/>
        <w:bottom w:val="none" w:sz="0" w:space="0" w:color="auto"/>
        <w:right w:val="none" w:sz="0" w:space="0" w:color="auto"/>
      </w:divBdr>
    </w:div>
    <w:div w:id="1117722022">
      <w:bodyDiv w:val="1"/>
      <w:marLeft w:val="0"/>
      <w:marRight w:val="0"/>
      <w:marTop w:val="0"/>
      <w:marBottom w:val="0"/>
      <w:divBdr>
        <w:top w:val="none" w:sz="0" w:space="0" w:color="auto"/>
        <w:left w:val="none" w:sz="0" w:space="0" w:color="auto"/>
        <w:bottom w:val="none" w:sz="0" w:space="0" w:color="auto"/>
        <w:right w:val="none" w:sz="0" w:space="0" w:color="auto"/>
      </w:divBdr>
    </w:div>
    <w:div w:id="1142847481">
      <w:bodyDiv w:val="1"/>
      <w:marLeft w:val="0"/>
      <w:marRight w:val="0"/>
      <w:marTop w:val="0"/>
      <w:marBottom w:val="0"/>
      <w:divBdr>
        <w:top w:val="none" w:sz="0" w:space="0" w:color="auto"/>
        <w:left w:val="none" w:sz="0" w:space="0" w:color="auto"/>
        <w:bottom w:val="none" w:sz="0" w:space="0" w:color="auto"/>
        <w:right w:val="none" w:sz="0" w:space="0" w:color="auto"/>
      </w:divBdr>
    </w:div>
    <w:div w:id="1157577613">
      <w:bodyDiv w:val="1"/>
      <w:marLeft w:val="0"/>
      <w:marRight w:val="0"/>
      <w:marTop w:val="0"/>
      <w:marBottom w:val="0"/>
      <w:divBdr>
        <w:top w:val="none" w:sz="0" w:space="0" w:color="auto"/>
        <w:left w:val="none" w:sz="0" w:space="0" w:color="auto"/>
        <w:bottom w:val="none" w:sz="0" w:space="0" w:color="auto"/>
        <w:right w:val="none" w:sz="0" w:space="0" w:color="auto"/>
      </w:divBdr>
    </w:div>
    <w:div w:id="1185368360">
      <w:bodyDiv w:val="1"/>
      <w:marLeft w:val="0"/>
      <w:marRight w:val="0"/>
      <w:marTop w:val="0"/>
      <w:marBottom w:val="0"/>
      <w:divBdr>
        <w:top w:val="none" w:sz="0" w:space="0" w:color="auto"/>
        <w:left w:val="none" w:sz="0" w:space="0" w:color="auto"/>
        <w:bottom w:val="none" w:sz="0" w:space="0" w:color="auto"/>
        <w:right w:val="none" w:sz="0" w:space="0" w:color="auto"/>
      </w:divBdr>
    </w:div>
    <w:div w:id="1259173188">
      <w:bodyDiv w:val="1"/>
      <w:marLeft w:val="0"/>
      <w:marRight w:val="0"/>
      <w:marTop w:val="0"/>
      <w:marBottom w:val="0"/>
      <w:divBdr>
        <w:top w:val="none" w:sz="0" w:space="0" w:color="auto"/>
        <w:left w:val="none" w:sz="0" w:space="0" w:color="auto"/>
        <w:bottom w:val="none" w:sz="0" w:space="0" w:color="auto"/>
        <w:right w:val="none" w:sz="0" w:space="0" w:color="auto"/>
      </w:divBdr>
    </w:div>
    <w:div w:id="1269510978">
      <w:bodyDiv w:val="1"/>
      <w:marLeft w:val="0"/>
      <w:marRight w:val="0"/>
      <w:marTop w:val="0"/>
      <w:marBottom w:val="0"/>
      <w:divBdr>
        <w:top w:val="none" w:sz="0" w:space="0" w:color="auto"/>
        <w:left w:val="none" w:sz="0" w:space="0" w:color="auto"/>
        <w:bottom w:val="none" w:sz="0" w:space="0" w:color="auto"/>
        <w:right w:val="none" w:sz="0" w:space="0" w:color="auto"/>
      </w:divBdr>
    </w:div>
    <w:div w:id="1288510816">
      <w:bodyDiv w:val="1"/>
      <w:marLeft w:val="0"/>
      <w:marRight w:val="0"/>
      <w:marTop w:val="0"/>
      <w:marBottom w:val="0"/>
      <w:divBdr>
        <w:top w:val="none" w:sz="0" w:space="0" w:color="auto"/>
        <w:left w:val="none" w:sz="0" w:space="0" w:color="auto"/>
        <w:bottom w:val="none" w:sz="0" w:space="0" w:color="auto"/>
        <w:right w:val="none" w:sz="0" w:space="0" w:color="auto"/>
      </w:divBdr>
    </w:div>
    <w:div w:id="1307928912">
      <w:bodyDiv w:val="1"/>
      <w:marLeft w:val="0"/>
      <w:marRight w:val="0"/>
      <w:marTop w:val="0"/>
      <w:marBottom w:val="0"/>
      <w:divBdr>
        <w:top w:val="none" w:sz="0" w:space="0" w:color="auto"/>
        <w:left w:val="none" w:sz="0" w:space="0" w:color="auto"/>
        <w:bottom w:val="none" w:sz="0" w:space="0" w:color="auto"/>
        <w:right w:val="none" w:sz="0" w:space="0" w:color="auto"/>
      </w:divBdr>
    </w:div>
    <w:div w:id="1354261876">
      <w:bodyDiv w:val="1"/>
      <w:marLeft w:val="0"/>
      <w:marRight w:val="0"/>
      <w:marTop w:val="0"/>
      <w:marBottom w:val="0"/>
      <w:divBdr>
        <w:top w:val="none" w:sz="0" w:space="0" w:color="auto"/>
        <w:left w:val="none" w:sz="0" w:space="0" w:color="auto"/>
        <w:bottom w:val="none" w:sz="0" w:space="0" w:color="auto"/>
        <w:right w:val="none" w:sz="0" w:space="0" w:color="auto"/>
      </w:divBdr>
    </w:div>
    <w:div w:id="1377008212">
      <w:bodyDiv w:val="1"/>
      <w:marLeft w:val="0"/>
      <w:marRight w:val="0"/>
      <w:marTop w:val="0"/>
      <w:marBottom w:val="0"/>
      <w:divBdr>
        <w:top w:val="none" w:sz="0" w:space="0" w:color="auto"/>
        <w:left w:val="none" w:sz="0" w:space="0" w:color="auto"/>
        <w:bottom w:val="none" w:sz="0" w:space="0" w:color="auto"/>
        <w:right w:val="none" w:sz="0" w:space="0" w:color="auto"/>
      </w:divBdr>
    </w:div>
    <w:div w:id="1447843670">
      <w:bodyDiv w:val="1"/>
      <w:marLeft w:val="0"/>
      <w:marRight w:val="0"/>
      <w:marTop w:val="0"/>
      <w:marBottom w:val="0"/>
      <w:divBdr>
        <w:top w:val="none" w:sz="0" w:space="0" w:color="auto"/>
        <w:left w:val="none" w:sz="0" w:space="0" w:color="auto"/>
        <w:bottom w:val="none" w:sz="0" w:space="0" w:color="auto"/>
        <w:right w:val="none" w:sz="0" w:space="0" w:color="auto"/>
      </w:divBdr>
    </w:div>
    <w:div w:id="1505977949">
      <w:bodyDiv w:val="1"/>
      <w:marLeft w:val="0"/>
      <w:marRight w:val="0"/>
      <w:marTop w:val="0"/>
      <w:marBottom w:val="0"/>
      <w:divBdr>
        <w:top w:val="none" w:sz="0" w:space="0" w:color="auto"/>
        <w:left w:val="none" w:sz="0" w:space="0" w:color="auto"/>
        <w:bottom w:val="none" w:sz="0" w:space="0" w:color="auto"/>
        <w:right w:val="none" w:sz="0" w:space="0" w:color="auto"/>
      </w:divBdr>
    </w:div>
    <w:div w:id="1534077231">
      <w:bodyDiv w:val="1"/>
      <w:marLeft w:val="0"/>
      <w:marRight w:val="0"/>
      <w:marTop w:val="0"/>
      <w:marBottom w:val="0"/>
      <w:divBdr>
        <w:top w:val="none" w:sz="0" w:space="0" w:color="auto"/>
        <w:left w:val="none" w:sz="0" w:space="0" w:color="auto"/>
        <w:bottom w:val="none" w:sz="0" w:space="0" w:color="auto"/>
        <w:right w:val="none" w:sz="0" w:space="0" w:color="auto"/>
      </w:divBdr>
    </w:div>
    <w:div w:id="1579169565">
      <w:bodyDiv w:val="1"/>
      <w:marLeft w:val="0"/>
      <w:marRight w:val="0"/>
      <w:marTop w:val="0"/>
      <w:marBottom w:val="0"/>
      <w:divBdr>
        <w:top w:val="none" w:sz="0" w:space="0" w:color="auto"/>
        <w:left w:val="none" w:sz="0" w:space="0" w:color="auto"/>
        <w:bottom w:val="none" w:sz="0" w:space="0" w:color="auto"/>
        <w:right w:val="none" w:sz="0" w:space="0" w:color="auto"/>
      </w:divBdr>
    </w:div>
    <w:div w:id="1599173328">
      <w:bodyDiv w:val="1"/>
      <w:marLeft w:val="0"/>
      <w:marRight w:val="0"/>
      <w:marTop w:val="0"/>
      <w:marBottom w:val="0"/>
      <w:divBdr>
        <w:top w:val="none" w:sz="0" w:space="0" w:color="auto"/>
        <w:left w:val="none" w:sz="0" w:space="0" w:color="auto"/>
        <w:bottom w:val="none" w:sz="0" w:space="0" w:color="auto"/>
        <w:right w:val="none" w:sz="0" w:space="0" w:color="auto"/>
      </w:divBdr>
    </w:div>
    <w:div w:id="1614628914">
      <w:bodyDiv w:val="1"/>
      <w:marLeft w:val="0"/>
      <w:marRight w:val="0"/>
      <w:marTop w:val="0"/>
      <w:marBottom w:val="0"/>
      <w:divBdr>
        <w:top w:val="none" w:sz="0" w:space="0" w:color="auto"/>
        <w:left w:val="none" w:sz="0" w:space="0" w:color="auto"/>
        <w:bottom w:val="none" w:sz="0" w:space="0" w:color="auto"/>
        <w:right w:val="none" w:sz="0" w:space="0" w:color="auto"/>
      </w:divBdr>
    </w:div>
    <w:div w:id="1644848069">
      <w:bodyDiv w:val="1"/>
      <w:marLeft w:val="0"/>
      <w:marRight w:val="0"/>
      <w:marTop w:val="0"/>
      <w:marBottom w:val="0"/>
      <w:divBdr>
        <w:top w:val="none" w:sz="0" w:space="0" w:color="auto"/>
        <w:left w:val="none" w:sz="0" w:space="0" w:color="auto"/>
        <w:bottom w:val="none" w:sz="0" w:space="0" w:color="auto"/>
        <w:right w:val="none" w:sz="0" w:space="0" w:color="auto"/>
      </w:divBdr>
    </w:div>
    <w:div w:id="1644852826">
      <w:bodyDiv w:val="1"/>
      <w:marLeft w:val="0"/>
      <w:marRight w:val="0"/>
      <w:marTop w:val="0"/>
      <w:marBottom w:val="0"/>
      <w:divBdr>
        <w:top w:val="none" w:sz="0" w:space="0" w:color="auto"/>
        <w:left w:val="none" w:sz="0" w:space="0" w:color="auto"/>
        <w:bottom w:val="none" w:sz="0" w:space="0" w:color="auto"/>
        <w:right w:val="none" w:sz="0" w:space="0" w:color="auto"/>
      </w:divBdr>
    </w:div>
    <w:div w:id="1677145358">
      <w:bodyDiv w:val="1"/>
      <w:marLeft w:val="0"/>
      <w:marRight w:val="0"/>
      <w:marTop w:val="0"/>
      <w:marBottom w:val="0"/>
      <w:divBdr>
        <w:top w:val="none" w:sz="0" w:space="0" w:color="auto"/>
        <w:left w:val="none" w:sz="0" w:space="0" w:color="auto"/>
        <w:bottom w:val="none" w:sz="0" w:space="0" w:color="auto"/>
        <w:right w:val="none" w:sz="0" w:space="0" w:color="auto"/>
      </w:divBdr>
    </w:div>
    <w:div w:id="1775705903">
      <w:bodyDiv w:val="1"/>
      <w:marLeft w:val="0"/>
      <w:marRight w:val="0"/>
      <w:marTop w:val="0"/>
      <w:marBottom w:val="0"/>
      <w:divBdr>
        <w:top w:val="none" w:sz="0" w:space="0" w:color="auto"/>
        <w:left w:val="none" w:sz="0" w:space="0" w:color="auto"/>
        <w:bottom w:val="none" w:sz="0" w:space="0" w:color="auto"/>
        <w:right w:val="none" w:sz="0" w:space="0" w:color="auto"/>
      </w:divBdr>
    </w:div>
    <w:div w:id="1815486139">
      <w:bodyDiv w:val="1"/>
      <w:marLeft w:val="0"/>
      <w:marRight w:val="0"/>
      <w:marTop w:val="0"/>
      <w:marBottom w:val="0"/>
      <w:divBdr>
        <w:top w:val="none" w:sz="0" w:space="0" w:color="auto"/>
        <w:left w:val="none" w:sz="0" w:space="0" w:color="auto"/>
        <w:bottom w:val="none" w:sz="0" w:space="0" w:color="auto"/>
        <w:right w:val="none" w:sz="0" w:space="0" w:color="auto"/>
      </w:divBdr>
    </w:div>
    <w:div w:id="1832216580">
      <w:bodyDiv w:val="1"/>
      <w:marLeft w:val="0"/>
      <w:marRight w:val="0"/>
      <w:marTop w:val="0"/>
      <w:marBottom w:val="0"/>
      <w:divBdr>
        <w:top w:val="none" w:sz="0" w:space="0" w:color="auto"/>
        <w:left w:val="none" w:sz="0" w:space="0" w:color="auto"/>
        <w:bottom w:val="none" w:sz="0" w:space="0" w:color="auto"/>
        <w:right w:val="none" w:sz="0" w:space="0" w:color="auto"/>
      </w:divBdr>
    </w:div>
    <w:div w:id="1834755576">
      <w:bodyDiv w:val="1"/>
      <w:marLeft w:val="0"/>
      <w:marRight w:val="0"/>
      <w:marTop w:val="0"/>
      <w:marBottom w:val="0"/>
      <w:divBdr>
        <w:top w:val="none" w:sz="0" w:space="0" w:color="auto"/>
        <w:left w:val="none" w:sz="0" w:space="0" w:color="auto"/>
        <w:bottom w:val="none" w:sz="0" w:space="0" w:color="auto"/>
        <w:right w:val="none" w:sz="0" w:space="0" w:color="auto"/>
      </w:divBdr>
    </w:div>
    <w:div w:id="1835336518">
      <w:bodyDiv w:val="1"/>
      <w:marLeft w:val="0"/>
      <w:marRight w:val="0"/>
      <w:marTop w:val="0"/>
      <w:marBottom w:val="0"/>
      <w:divBdr>
        <w:top w:val="none" w:sz="0" w:space="0" w:color="auto"/>
        <w:left w:val="none" w:sz="0" w:space="0" w:color="auto"/>
        <w:bottom w:val="none" w:sz="0" w:space="0" w:color="auto"/>
        <w:right w:val="none" w:sz="0" w:space="0" w:color="auto"/>
      </w:divBdr>
    </w:div>
    <w:div w:id="1854682683">
      <w:bodyDiv w:val="1"/>
      <w:marLeft w:val="0"/>
      <w:marRight w:val="0"/>
      <w:marTop w:val="0"/>
      <w:marBottom w:val="0"/>
      <w:divBdr>
        <w:top w:val="none" w:sz="0" w:space="0" w:color="auto"/>
        <w:left w:val="none" w:sz="0" w:space="0" w:color="auto"/>
        <w:bottom w:val="none" w:sz="0" w:space="0" w:color="auto"/>
        <w:right w:val="none" w:sz="0" w:space="0" w:color="auto"/>
      </w:divBdr>
    </w:div>
    <w:div w:id="1858999949">
      <w:bodyDiv w:val="1"/>
      <w:marLeft w:val="0"/>
      <w:marRight w:val="0"/>
      <w:marTop w:val="0"/>
      <w:marBottom w:val="0"/>
      <w:divBdr>
        <w:top w:val="none" w:sz="0" w:space="0" w:color="auto"/>
        <w:left w:val="none" w:sz="0" w:space="0" w:color="auto"/>
        <w:bottom w:val="none" w:sz="0" w:space="0" w:color="auto"/>
        <w:right w:val="none" w:sz="0" w:space="0" w:color="auto"/>
      </w:divBdr>
    </w:div>
    <w:div w:id="1880243012">
      <w:bodyDiv w:val="1"/>
      <w:marLeft w:val="0"/>
      <w:marRight w:val="0"/>
      <w:marTop w:val="0"/>
      <w:marBottom w:val="0"/>
      <w:divBdr>
        <w:top w:val="none" w:sz="0" w:space="0" w:color="auto"/>
        <w:left w:val="none" w:sz="0" w:space="0" w:color="auto"/>
        <w:bottom w:val="none" w:sz="0" w:space="0" w:color="auto"/>
        <w:right w:val="none" w:sz="0" w:space="0" w:color="auto"/>
      </w:divBdr>
    </w:div>
    <w:div w:id="1889610147">
      <w:bodyDiv w:val="1"/>
      <w:marLeft w:val="0"/>
      <w:marRight w:val="0"/>
      <w:marTop w:val="0"/>
      <w:marBottom w:val="0"/>
      <w:divBdr>
        <w:top w:val="none" w:sz="0" w:space="0" w:color="auto"/>
        <w:left w:val="none" w:sz="0" w:space="0" w:color="auto"/>
        <w:bottom w:val="none" w:sz="0" w:space="0" w:color="auto"/>
        <w:right w:val="none" w:sz="0" w:space="0" w:color="auto"/>
      </w:divBdr>
    </w:div>
    <w:div w:id="1901012619">
      <w:bodyDiv w:val="1"/>
      <w:marLeft w:val="0"/>
      <w:marRight w:val="0"/>
      <w:marTop w:val="0"/>
      <w:marBottom w:val="0"/>
      <w:divBdr>
        <w:top w:val="none" w:sz="0" w:space="0" w:color="auto"/>
        <w:left w:val="none" w:sz="0" w:space="0" w:color="auto"/>
        <w:bottom w:val="none" w:sz="0" w:space="0" w:color="auto"/>
        <w:right w:val="none" w:sz="0" w:space="0" w:color="auto"/>
      </w:divBdr>
    </w:div>
    <w:div w:id="1915233985">
      <w:bodyDiv w:val="1"/>
      <w:marLeft w:val="0"/>
      <w:marRight w:val="0"/>
      <w:marTop w:val="0"/>
      <w:marBottom w:val="0"/>
      <w:divBdr>
        <w:top w:val="none" w:sz="0" w:space="0" w:color="auto"/>
        <w:left w:val="none" w:sz="0" w:space="0" w:color="auto"/>
        <w:bottom w:val="none" w:sz="0" w:space="0" w:color="auto"/>
        <w:right w:val="none" w:sz="0" w:space="0" w:color="auto"/>
      </w:divBdr>
    </w:div>
    <w:div w:id="1956714330">
      <w:bodyDiv w:val="1"/>
      <w:marLeft w:val="0"/>
      <w:marRight w:val="0"/>
      <w:marTop w:val="0"/>
      <w:marBottom w:val="0"/>
      <w:divBdr>
        <w:top w:val="none" w:sz="0" w:space="0" w:color="auto"/>
        <w:left w:val="none" w:sz="0" w:space="0" w:color="auto"/>
        <w:bottom w:val="none" w:sz="0" w:space="0" w:color="auto"/>
        <w:right w:val="none" w:sz="0" w:space="0" w:color="auto"/>
      </w:divBdr>
    </w:div>
    <w:div w:id="1983003724">
      <w:bodyDiv w:val="1"/>
      <w:marLeft w:val="0"/>
      <w:marRight w:val="0"/>
      <w:marTop w:val="0"/>
      <w:marBottom w:val="0"/>
      <w:divBdr>
        <w:top w:val="none" w:sz="0" w:space="0" w:color="auto"/>
        <w:left w:val="none" w:sz="0" w:space="0" w:color="auto"/>
        <w:bottom w:val="none" w:sz="0" w:space="0" w:color="auto"/>
        <w:right w:val="none" w:sz="0" w:space="0" w:color="auto"/>
      </w:divBdr>
    </w:div>
    <w:div w:id="1992521155">
      <w:bodyDiv w:val="1"/>
      <w:marLeft w:val="0"/>
      <w:marRight w:val="0"/>
      <w:marTop w:val="0"/>
      <w:marBottom w:val="0"/>
      <w:divBdr>
        <w:top w:val="none" w:sz="0" w:space="0" w:color="auto"/>
        <w:left w:val="none" w:sz="0" w:space="0" w:color="auto"/>
        <w:bottom w:val="none" w:sz="0" w:space="0" w:color="auto"/>
        <w:right w:val="none" w:sz="0" w:space="0" w:color="auto"/>
      </w:divBdr>
    </w:div>
    <w:div w:id="2052604884">
      <w:bodyDiv w:val="1"/>
      <w:marLeft w:val="0"/>
      <w:marRight w:val="0"/>
      <w:marTop w:val="0"/>
      <w:marBottom w:val="0"/>
      <w:divBdr>
        <w:top w:val="none" w:sz="0" w:space="0" w:color="auto"/>
        <w:left w:val="none" w:sz="0" w:space="0" w:color="auto"/>
        <w:bottom w:val="none" w:sz="0" w:space="0" w:color="auto"/>
        <w:right w:val="none" w:sz="0" w:space="0" w:color="auto"/>
      </w:divBdr>
    </w:div>
    <w:div w:id="20534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jm.org/doi/full/10.1056/NEJMp140985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dc.gov/ncezid/stories-features/global-stories/ebola-response-sierra-leon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xfamilibrary.openrepository.com/bitstream/handle/10546/620837/bp-west-africa-inequality-crisis-090719-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en/topic/macroeconomics/publication/2014-2015-west-africa-ebola-crisis-impact-update" TargetMode="External"/><Relationship Id="rId5" Type="http://schemas.openxmlformats.org/officeDocument/2006/relationships/webSettings" Target="webSettings.xml"/><Relationship Id="rId15" Type="http://schemas.openxmlformats.org/officeDocument/2006/relationships/hyperlink" Target="http://www.wsj.com/articles/west-african-mining-projects-take-hit-from-ebola-crisis-1416346636"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brookings.edu/research/reconciling-financing-needs-and-rising-debt-level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acmanly/Desktop/Thesis/Thesis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saacmanly/Desktop/Thesis/ThesisDat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Palma Ratio in West Africa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Sheet1!$S$2:$S$29</c:f>
              <c:numCache>
                <c:formatCode>General</c:formatCode>
                <c:ptCount val="28"/>
              </c:numCache>
            </c:numRef>
          </c:xVal>
          <c:yVal>
            <c:numRef>
              <c:f>Sheet1!$U$2:$U$29</c:f>
              <c:numCache>
                <c:formatCode>General</c:formatCode>
                <c:ptCount val="28"/>
              </c:numCache>
            </c:numRef>
          </c:yVal>
          <c:smooth val="0"/>
          <c:extLst>
            <c:ext xmlns:c16="http://schemas.microsoft.com/office/drawing/2014/chart" uri="{C3380CC4-5D6E-409C-BE32-E72D297353CC}">
              <c16:uniqueId val="{00000000-B25C-474E-A0B7-B8DC3D061D55}"/>
            </c:ext>
          </c:extLst>
        </c:ser>
        <c:dLbls>
          <c:showLegendKey val="0"/>
          <c:showVal val="0"/>
          <c:showCatName val="0"/>
          <c:showSerName val="0"/>
          <c:showPercent val="0"/>
          <c:showBubbleSize val="0"/>
        </c:dLbls>
        <c:axId val="595212479"/>
        <c:axId val="595345215"/>
      </c:scatterChart>
      <c:valAx>
        <c:axId val="595212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45215"/>
        <c:crosses val="autoZero"/>
        <c:crossBetween val="midCat"/>
      </c:valAx>
      <c:valAx>
        <c:axId val="595345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212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Gini</a:t>
            </a:r>
            <a:r>
              <a:rPr lang="en-US" baseline="0"/>
              <a:t> Estimate in West Africa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Sheet1!$S$2:$S$29</c:f>
              <c:numCache>
                <c:formatCode>General</c:formatCode>
                <c:ptCount val="28"/>
              </c:numCache>
            </c:numRef>
          </c:xVal>
          <c:yVal>
            <c:numRef>
              <c:f>Sheet1!$T$2:$T$29</c:f>
              <c:numCache>
                <c:formatCode>General</c:formatCode>
                <c:ptCount val="28"/>
              </c:numCache>
            </c:numRef>
          </c:yVal>
          <c:smooth val="0"/>
          <c:extLst>
            <c:ext xmlns:c16="http://schemas.microsoft.com/office/drawing/2014/chart" uri="{C3380CC4-5D6E-409C-BE32-E72D297353CC}">
              <c16:uniqueId val="{00000000-07C6-CC49-A1B3-36E4D0D66DFB}"/>
            </c:ext>
          </c:extLst>
        </c:ser>
        <c:dLbls>
          <c:showLegendKey val="0"/>
          <c:showVal val="0"/>
          <c:showCatName val="0"/>
          <c:showSerName val="0"/>
          <c:showPercent val="0"/>
          <c:showBubbleSize val="0"/>
        </c:dLbls>
        <c:axId val="555309791"/>
        <c:axId val="623780239"/>
      </c:scatterChart>
      <c:valAx>
        <c:axId val="5553097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80239"/>
        <c:crosses val="autoZero"/>
        <c:crossBetween val="midCat"/>
      </c:valAx>
      <c:valAx>
        <c:axId val="623780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3097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4700" cy="2755900"/>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descr="A close up of a map&#10;&#10;Description automatically generated"/>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4700" cy="275590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CAB39-0279-8346-9157-DB14A9A2B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11</Pages>
  <Words>4842</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Manly</dc:creator>
  <cp:keywords/>
  <dc:description/>
  <cp:lastModifiedBy>Isaac Manly</cp:lastModifiedBy>
  <cp:revision>228</cp:revision>
  <dcterms:created xsi:type="dcterms:W3CDTF">2020-04-28T05:58:00Z</dcterms:created>
  <dcterms:modified xsi:type="dcterms:W3CDTF">2020-05-04T07:59:00Z</dcterms:modified>
</cp:coreProperties>
</file>