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F4E79"/>
          <w:sz w:val="44"/>
          <w:szCs w:val="44"/>
        </w:rPr>
        <w:t xml:space="preserve">BUSINESS REQUIREMENTS DOCUMENT</w:t>
      </w:r>
    </w:p>
    <w:p>
      <w:pPr>
        <w:spacing w:before="0" w:after="40"/>
        <w:jc w:val="center"/>
      </w:pPr>
      <w:r>
        <w:rPr>
          <w:rFonts w:ascii="Arial" w:cs="Arial" w:eastAsia="Arial" w:hAnsi="Arial"/>
          <w:b/>
          <w:bCs/>
          <w:color w:val="0F766E"/>
          <w:sz w:val="36"/>
          <w:szCs w:val="36"/>
        </w:rPr>
        <w:t xml:space="preserve">DataGov — MVP Data Governance System</w:t>
      </w:r>
    </w:p>
    <w:p>
      <w:pPr>
        <w:spacing w:before="0" w:after="320"/>
        <w:jc w:val="center"/>
      </w:pPr>
      <w:r>
        <w:rPr>
          <w:rFonts w:ascii="Arial" w:cs="Arial" w:eastAsia="Arial" w:hAnsi="Arial"/>
          <w:i/>
          <w:iCs/>
          <w:color w:val="595959"/>
          <w:sz w:val="22"/>
          <w:szCs w:val="22"/>
        </w:rPr>
        <w:t xml:space="preserve">Minimum Viable Product · Web-Based · Clean Enterprise Light</w:t>
      </w:r>
    </w:p>
    <w:p>
      <w:pPr>
        <w:pBdr>
          <w:bottom w:val="single" w:color="0F766E" w:sz="12" w:space="0"/>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Business Requirements Document — DataGov MVP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Approved for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March 29,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Internal / Confidential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[Product Owner]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Reviewed By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[Engineering Lead / CDO]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Related Documents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TSD-DataGov-MVP-v1.0, UIUX-Brief-DataGov-MVP-v1.0</w:t>
            </w:r>
          </w:p>
        </w:tc>
      </w:tr>
    </w:tbl>
    <w:p>
      <w:pPr>
        <w:spacing w:before="200" w:after="0"/>
      </w:pPr>
      <w:r>
        <w:t xml:space="preserve"/>
      </w:r>
    </w:p>
    <w:p>
      <w:pPr>
        <w:jc w:val="center"/>
      </w:pPr>
      <w:r>
        <w:rPr>
          <w:rFonts w:ascii="Arial" w:cs="Arial" w:eastAsia="Arial" w:hAnsi="Arial"/>
          <w:b/>
          <w:bCs/>
          <w:color w:val="595959"/>
          <w:sz w:val="18"/>
          <w:szCs w:val="18"/>
        </w:rPr>
        <w:t xml:space="preserve">CONFIDENTIAL — FOR INTERNAL USE ONLY</w:t>
      </w:r>
    </w:p>
    <w:p>
      <w:pPr>
        <w:pageBreakBefore/>
      </w:pPr>
      <w:r>
        <w:t xml:space="preserve"/>
      </w:r>
    </w:p>
    <w:p>
      <w:pPr>
        <w:pStyle w:val="Heading1"/>
        <w:pBdr>
          <w:bottom w:val="single" w:color="0F766E" w:sz="8" w:space="6"/>
        </w:pBdr>
        <w:spacing w:before="360" w:after="120"/>
      </w:pPr>
      <w:r>
        <w:rPr>
          <w:rFonts w:ascii="Arial" w:cs="Arial" w:eastAsia="Arial" w:hAnsi="Arial"/>
          <w:b/>
          <w:bCs/>
          <w:color w:val="1F4E79"/>
          <w:sz w:val="34"/>
          <w:szCs w:val="34"/>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1. Executive Summary</w:t>
            </w:r>
          </w:p>
        </w:tc>
      </w:tr>
    </w:tbl>
    <w:p>
      <w:pPr>
        <w:spacing w:before="120" w:after="0"/>
      </w:pPr>
      <w:r>
        <w:t xml:space="preserve"/>
      </w:r>
    </w:p>
    <w:p>
      <w:pPr>
        <w:spacing w:before="60" w:after="60"/>
      </w:pPr>
      <w:r>
        <w:rPr>
          <w:rFonts w:ascii="Arial" w:cs="Arial" w:eastAsia="Arial" w:hAnsi="Arial"/>
          <w:color w:val="595959"/>
          <w:sz w:val="22"/>
          <w:szCs w:val="22"/>
        </w:rPr>
        <w:t xml:space="preserve">This Business Requirements Document defines the scope, features, and acceptance criteria for DataGov MVP — a lightweight, web-based data governance platform designed to give data teams immediate visibility into their data estate's quality, structure, and compliance posture.</w:t>
      </w:r>
    </w:p>
    <w:p>
      <w:pPr>
        <w:spacing w:before="60" w:after="0"/>
      </w:pPr>
      <w:r>
        <w:t xml:space="preserve"/>
      </w:r>
    </w:p>
    <w:p>
      <w:pPr>
        <w:spacing w:before="60" w:after="60"/>
      </w:pPr>
      <w:r>
        <w:rPr>
          <w:rFonts w:ascii="Arial" w:cs="Arial" w:eastAsia="Arial" w:hAnsi="Arial"/>
          <w:color w:val="595959"/>
          <w:sz w:val="22"/>
          <w:szCs w:val="22"/>
        </w:rPr>
        <w:t xml:space="preserve">The MVP is scoped to deliver six core capabilities identified through product discovery: Metadata Management &amp; Catalogue (including column-level detail), Data Quality with automated metric calculation, Data Governance &amp; Policy Management, a Business Glossary, Basic Table-Level Lineage, and User &amp; Role Management. These six features form the "trust triangle" that enables an organisation to know what data it has, how good it is, and who governs it.</w:t>
      </w:r>
    </w:p>
    <w:p>
      <w:pPr>
        <w:spacing w:before="60" w:after="0"/>
      </w:pPr>
      <w:r>
        <w:t xml:space="preserve"/>
      </w:r>
    </w:p>
    <w:p>
      <w:pPr>
        <w:spacing w:before="60" w:after="60"/>
      </w:pPr>
      <w:r>
        <w:rPr>
          <w:rFonts w:ascii="Arial" w:cs="Arial" w:eastAsia="Arial" w:hAnsi="Arial"/>
          <w:color w:val="595959"/>
          <w:sz w:val="22"/>
          <w:szCs w:val="22"/>
        </w:rPr>
        <w:t xml:space="preserve">The platform targets a web-based, lightweight delivery model — no desktop install, no local agents, accessible from any modern browser. The design system follows the Clean Enterprise Light style (Option B) as agreed in the UI/UX design brief, with Inter/Geist typography, teal primary brand color, and semantic color-coded status signals.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1.1 MVP Goals</w:t>
      </w:r>
    </w:p>
    <w:p>
      <w:pPr>
        <w:pStyle w:val="ListParagraph"/>
        <w:numPr>
          <w:ilvl w:val="0"/>
          <w:numId w:val="2"/>
        </w:numPr>
        <w:spacing w:before="40" w:after="40"/>
      </w:pPr>
      <w:r>
        <w:rPr>
          <w:rFonts w:ascii="Arial" w:cs="Arial" w:eastAsia="Arial" w:hAnsi="Arial"/>
          <w:color w:val="595959"/>
          <w:sz w:val="22"/>
          <w:szCs w:val="22"/>
        </w:rPr>
        <w:t xml:space="preserve">Provide a single searchable catalogue of all data assets at table and column level</w:t>
      </w:r>
    </w:p>
    <w:p>
      <w:pPr>
        <w:pStyle w:val="ListParagraph"/>
        <w:numPr>
          <w:ilvl w:val="0"/>
          <w:numId w:val="2"/>
        </w:numPr>
        <w:spacing w:before="40" w:after="40"/>
      </w:pPr>
      <w:r>
        <w:rPr>
          <w:rFonts w:ascii="Arial" w:cs="Arial" w:eastAsia="Arial" w:hAnsi="Arial"/>
          <w:color w:val="595959"/>
          <w:sz w:val="22"/>
          <w:szCs w:val="22"/>
        </w:rPr>
        <w:t xml:space="preserve">Automatically calculate four DQ metrics — completeness, uniqueness, consistency, accuracy — on every scan</w:t>
      </w:r>
    </w:p>
    <w:p>
      <w:pPr>
        <w:pStyle w:val="ListParagraph"/>
        <w:numPr>
          <w:ilvl w:val="0"/>
          <w:numId w:val="2"/>
        </w:numPr>
        <w:spacing w:before="40" w:after="40"/>
      </w:pPr>
      <w:r>
        <w:rPr>
          <w:rFonts w:ascii="Arial" w:cs="Arial" w:eastAsia="Arial" w:hAnsi="Arial"/>
          <w:color w:val="595959"/>
          <w:sz w:val="22"/>
          <w:szCs w:val="22"/>
        </w:rPr>
        <w:t xml:space="preserve">Enable governance teams to create and apply classification policies and tags without writing code</w:t>
      </w:r>
    </w:p>
    <w:p>
      <w:pPr>
        <w:pStyle w:val="ListParagraph"/>
        <w:numPr>
          <w:ilvl w:val="0"/>
          <w:numId w:val="2"/>
        </w:numPr>
        <w:spacing w:before="40" w:after="40"/>
      </w:pPr>
      <w:r>
        <w:rPr>
          <w:rFonts w:ascii="Arial" w:cs="Arial" w:eastAsia="Arial" w:hAnsi="Arial"/>
          <w:color w:val="595959"/>
          <w:sz w:val="22"/>
          <w:szCs w:val="22"/>
        </w:rPr>
        <w:t xml:space="preserve">Establish a shared business glossary that links business terms to physical data assets</w:t>
      </w:r>
    </w:p>
    <w:p>
      <w:pPr>
        <w:pStyle w:val="ListParagraph"/>
        <w:numPr>
          <w:ilvl w:val="0"/>
          <w:numId w:val="2"/>
        </w:numPr>
        <w:spacing w:before="40" w:after="40"/>
      </w:pPr>
      <w:r>
        <w:rPr>
          <w:rFonts w:ascii="Arial" w:cs="Arial" w:eastAsia="Arial" w:hAnsi="Arial"/>
          <w:color w:val="595959"/>
          <w:sz w:val="22"/>
          <w:szCs w:val="22"/>
        </w:rPr>
        <w:t xml:space="preserve">Show basic table-level lineage so teams understand source-to-target data flow</w:t>
      </w:r>
    </w:p>
    <w:p>
      <w:pPr>
        <w:pStyle w:val="ListParagraph"/>
        <w:numPr>
          <w:ilvl w:val="0"/>
          <w:numId w:val="2"/>
        </w:numPr>
        <w:spacing w:before="40" w:after="40"/>
      </w:pPr>
      <w:r>
        <w:rPr>
          <w:rFonts w:ascii="Arial" w:cs="Arial" w:eastAsia="Arial" w:hAnsi="Arial"/>
          <w:color w:val="595959"/>
          <w:sz w:val="22"/>
          <w:szCs w:val="22"/>
        </w:rPr>
        <w:t xml:space="preserve">Enforce role-based access so the right people can view, edit, and govern data assets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1.2 Out of Scope (MVP)</w:t>
      </w:r>
    </w:p>
    <w:p>
      <w:pPr>
        <w:pStyle w:val="ListParagraph"/>
        <w:numPr>
          <w:ilvl w:val="0"/>
          <w:numId w:val="2"/>
        </w:numPr>
        <w:spacing w:before="40" w:after="40"/>
      </w:pPr>
      <w:r>
        <w:rPr>
          <w:rFonts w:ascii="Arial" w:cs="Arial" w:eastAsia="Arial" w:hAnsi="Arial"/>
          <w:color w:val="595959"/>
          <w:sz w:val="22"/>
          <w:szCs w:val="22"/>
        </w:rPr>
        <w:t xml:space="preserve">ML-powered anomaly detection — deferred to Phase 2</w:t>
      </w:r>
    </w:p>
    <w:p>
      <w:pPr>
        <w:pStyle w:val="ListParagraph"/>
        <w:numPr>
          <w:ilvl w:val="0"/>
          <w:numId w:val="2"/>
        </w:numPr>
        <w:spacing w:before="40" w:after="40"/>
      </w:pPr>
      <w:r>
        <w:rPr>
          <w:rFonts w:ascii="Arial" w:cs="Arial" w:eastAsia="Arial" w:hAnsi="Arial"/>
          <w:color w:val="595959"/>
          <w:sz w:val="22"/>
          <w:szCs w:val="22"/>
        </w:rPr>
        <w:t xml:space="preserve">Column-level lineage — deferred to Phase 2 (table-level only at MVP)</w:t>
      </w:r>
    </w:p>
    <w:p>
      <w:pPr>
        <w:pStyle w:val="ListParagraph"/>
        <w:numPr>
          <w:ilvl w:val="0"/>
          <w:numId w:val="2"/>
        </w:numPr>
        <w:spacing w:before="40" w:after="40"/>
      </w:pPr>
      <w:r>
        <w:rPr>
          <w:rFonts w:ascii="Arial" w:cs="Arial" w:eastAsia="Arial" w:hAnsi="Arial"/>
          <w:color w:val="595959"/>
          <w:sz w:val="22"/>
          <w:szCs w:val="22"/>
        </w:rPr>
        <w:t xml:space="preserve">Data contracts — deferred to Phase 2</w:t>
      </w:r>
    </w:p>
    <w:p>
      <w:pPr>
        <w:pStyle w:val="ListParagraph"/>
        <w:numPr>
          <w:ilvl w:val="0"/>
          <w:numId w:val="2"/>
        </w:numPr>
        <w:spacing w:before="40" w:after="40"/>
      </w:pPr>
      <w:r>
        <w:rPr>
          <w:rFonts w:ascii="Arial" w:cs="Arial" w:eastAsia="Arial" w:hAnsi="Arial"/>
          <w:color w:val="595959"/>
          <w:sz w:val="22"/>
          <w:szCs w:val="22"/>
        </w:rPr>
        <w:t xml:space="preserve">Claude Premium AI copilot — deferred to Phase 2</w:t>
      </w:r>
    </w:p>
    <w:p>
      <w:pPr>
        <w:pStyle w:val="ListParagraph"/>
        <w:numPr>
          <w:ilvl w:val="0"/>
          <w:numId w:val="2"/>
        </w:numPr>
        <w:spacing w:before="40" w:after="40"/>
      </w:pPr>
      <w:r>
        <w:rPr>
          <w:rFonts w:ascii="Arial" w:cs="Arial" w:eastAsia="Arial" w:hAnsi="Arial"/>
          <w:color w:val="595959"/>
          <w:sz w:val="22"/>
          <w:szCs w:val="22"/>
        </w:rPr>
        <w:t xml:space="preserve">Pipeline observability / ETL job monitoring — deferred to Phase 2</w:t>
      </w:r>
    </w:p>
    <w:p>
      <w:pPr>
        <w:pStyle w:val="ListParagraph"/>
        <w:numPr>
          <w:ilvl w:val="0"/>
          <w:numId w:val="2"/>
        </w:numPr>
        <w:spacing w:before="40" w:after="40"/>
      </w:pPr>
      <w:r>
        <w:rPr>
          <w:rFonts w:ascii="Arial" w:cs="Arial" w:eastAsia="Arial" w:hAnsi="Arial"/>
          <w:color w:val="595959"/>
          <w:sz w:val="22"/>
          <w:szCs w:val="22"/>
        </w:rPr>
        <w:t xml:space="preserve">Data products &amp; mesh architecture — deferred to Phase 3</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1.3 Estimated Timeline &amp;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1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MVP duration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8–10 weeks from kickoff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Team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2 full-stack engineers + 1 UI/UX designer (part-time)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Tech stack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Next.js 14 + FastAPI (Python) + PostgreSQL + SQLAlchemy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Cloud-hosted SaaS (AWS / GCP), containerised on Kubernetes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Design system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Clean Enterprise Light — teal primary, Inter/Geist font, semantic status colors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Browser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Chrome, Firefox, Edge, Safari — latest 2 versions</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2. Stakeholders &amp; User Personas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Stakeholder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Role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Primary Interest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Chief Data Officer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Executive Sponsor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Governance compliance, data trust, audit-readiness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Governance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Primary User — Gov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Policy creation, classification, glossary ownership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Data Engineer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Primary User — Tech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Asset discovery, DQ scores, lineage, scan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Business Analyst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Secondary User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Asset search, glossary lookup, DQ score visibility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IT Admin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Platform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User management, RBAC, connector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IT Security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Compliance Reviewer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PII/GDPR classification coverage, audit logs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2.2 User Personas</w:t>
      </w:r>
    </w:p>
    <w:p>
      <w:pPr>
        <w:pStyle w:val="Heading3"/>
        <w:spacing w:before="200" w:after="80"/>
      </w:pPr>
      <w:r>
        <w:rPr>
          <w:rFonts w:ascii="Arial" w:cs="Arial" w:eastAsia="Arial" w:hAnsi="Arial"/>
          <w:b/>
          <w:bCs/>
          <w:color w:val="0F766E"/>
          <w:sz w:val="22"/>
          <w:szCs w:val="22"/>
        </w:rPr>
        <w:t xml:space="preserve">Persona 1 — Data Engineer (primary)</w:t>
      </w:r>
    </w:p>
    <w:p>
      <w:pPr>
        <w:pStyle w:val="ListParagraph"/>
        <w:numPr>
          <w:ilvl w:val="0"/>
          <w:numId w:val="2"/>
        </w:numPr>
        <w:spacing w:before="40" w:after="40"/>
      </w:pPr>
      <w:r>
        <w:rPr>
          <w:rFonts w:ascii="Arial" w:cs="Arial" w:eastAsia="Arial" w:hAnsi="Arial"/>
          <w:color w:val="595959"/>
          <w:sz w:val="22"/>
          <w:szCs w:val="22"/>
        </w:rPr>
        <w:t xml:space="preserve">Goal: Know exactly what assets exist, how healthy they are, and where data comes from</w:t>
      </w:r>
    </w:p>
    <w:p>
      <w:pPr>
        <w:pStyle w:val="ListParagraph"/>
        <w:numPr>
          <w:ilvl w:val="0"/>
          <w:numId w:val="2"/>
        </w:numPr>
        <w:spacing w:before="40" w:after="40"/>
      </w:pPr>
      <w:r>
        <w:rPr>
          <w:rFonts w:ascii="Arial" w:cs="Arial" w:eastAsia="Arial" w:hAnsi="Arial"/>
          <w:color w:val="595959"/>
          <w:sz w:val="22"/>
          <w:szCs w:val="22"/>
        </w:rPr>
        <w:t xml:space="preserve">Pain: Spends hours manually checking data quality; no single view of all assets</w:t>
      </w:r>
    </w:p>
    <w:p>
      <w:pPr>
        <w:pStyle w:val="ListParagraph"/>
        <w:numPr>
          <w:ilvl w:val="0"/>
          <w:numId w:val="2"/>
        </w:numPr>
        <w:spacing w:before="40" w:after="40"/>
      </w:pPr>
      <w:r>
        <w:rPr>
          <w:rFonts w:ascii="Arial" w:cs="Arial" w:eastAsia="Arial" w:hAnsi="Arial"/>
          <w:color w:val="595959"/>
          <w:sz w:val="22"/>
          <w:szCs w:val="22"/>
        </w:rPr>
        <w:t xml:space="preserve">Key needs: Scan runner, DQ score dashboard, column-level asset detail, lineage view</w:t>
      </w:r>
    </w:p>
    <w:p>
      <w:pPr>
        <w:spacing w:before="80" w:after="0"/>
      </w:pPr>
      <w:r>
        <w:t xml:space="preserve"/>
      </w:r>
    </w:p>
    <w:p>
      <w:pPr>
        <w:pStyle w:val="Heading3"/>
        <w:spacing w:before="200" w:after="80"/>
      </w:pPr>
      <w:r>
        <w:rPr>
          <w:rFonts w:ascii="Arial" w:cs="Arial" w:eastAsia="Arial" w:hAnsi="Arial"/>
          <w:b/>
          <w:bCs/>
          <w:color w:val="0F766E"/>
          <w:sz w:val="22"/>
          <w:szCs w:val="22"/>
        </w:rPr>
        <w:t xml:space="preserve">Persona 2 — Governance Manager (primary)</w:t>
      </w:r>
    </w:p>
    <w:p>
      <w:pPr>
        <w:pStyle w:val="ListParagraph"/>
        <w:numPr>
          <w:ilvl w:val="0"/>
          <w:numId w:val="2"/>
        </w:numPr>
        <w:spacing w:before="40" w:after="40"/>
      </w:pPr>
      <w:r>
        <w:rPr>
          <w:rFonts w:ascii="Arial" w:cs="Arial" w:eastAsia="Arial" w:hAnsi="Arial"/>
          <w:color w:val="595959"/>
          <w:sz w:val="22"/>
          <w:szCs w:val="22"/>
        </w:rPr>
        <w:t xml:space="preserve">Goal: Ensure data is properly classified, tagged, and governed without engineering dependency</w:t>
      </w:r>
    </w:p>
    <w:p>
      <w:pPr>
        <w:pStyle w:val="ListParagraph"/>
        <w:numPr>
          <w:ilvl w:val="0"/>
          <w:numId w:val="2"/>
        </w:numPr>
        <w:spacing w:before="40" w:after="40"/>
      </w:pPr>
      <w:r>
        <w:rPr>
          <w:rFonts w:ascii="Arial" w:cs="Arial" w:eastAsia="Arial" w:hAnsi="Arial"/>
          <w:color w:val="595959"/>
          <w:sz w:val="22"/>
          <w:szCs w:val="22"/>
        </w:rPr>
        <w:t xml:space="preserve">Pain: Governance is ad-hoc and undocumented; hard to prove compliance</w:t>
      </w:r>
    </w:p>
    <w:p>
      <w:pPr>
        <w:pStyle w:val="ListParagraph"/>
        <w:numPr>
          <w:ilvl w:val="0"/>
          <w:numId w:val="2"/>
        </w:numPr>
        <w:spacing w:before="40" w:after="40"/>
      </w:pPr>
      <w:r>
        <w:rPr>
          <w:rFonts w:ascii="Arial" w:cs="Arial" w:eastAsia="Arial" w:hAnsi="Arial"/>
          <w:color w:val="595959"/>
          <w:sz w:val="22"/>
          <w:szCs w:val="22"/>
        </w:rPr>
        <w:t xml:space="preserve">Key needs: Policy builder, classification tagging, glossary editor, compliance reports</w:t>
      </w:r>
    </w:p>
    <w:p>
      <w:pPr>
        <w:spacing w:before="80" w:after="0"/>
      </w:pPr>
      <w:r>
        <w:t xml:space="preserve"/>
      </w:r>
    </w:p>
    <w:p>
      <w:pPr>
        <w:pStyle w:val="Heading3"/>
        <w:spacing w:before="200" w:after="80"/>
      </w:pPr>
      <w:r>
        <w:rPr>
          <w:rFonts w:ascii="Arial" w:cs="Arial" w:eastAsia="Arial" w:hAnsi="Arial"/>
          <w:b/>
          <w:bCs/>
          <w:color w:val="0F766E"/>
          <w:sz w:val="22"/>
          <w:szCs w:val="22"/>
        </w:rPr>
        <w:t xml:space="preserve">Persona 3 — Business Analyst (secondary)</w:t>
      </w:r>
    </w:p>
    <w:p>
      <w:pPr>
        <w:pStyle w:val="ListParagraph"/>
        <w:numPr>
          <w:ilvl w:val="0"/>
          <w:numId w:val="2"/>
        </w:numPr>
        <w:spacing w:before="40" w:after="40"/>
      </w:pPr>
      <w:r>
        <w:rPr>
          <w:rFonts w:ascii="Arial" w:cs="Arial" w:eastAsia="Arial" w:hAnsi="Arial"/>
          <w:color w:val="595959"/>
          <w:sz w:val="22"/>
          <w:szCs w:val="22"/>
        </w:rPr>
        <w:t xml:space="preserve">Goal: Find the right dataset to answer a business question quickly and with confidence</w:t>
      </w:r>
    </w:p>
    <w:p>
      <w:pPr>
        <w:pStyle w:val="ListParagraph"/>
        <w:numPr>
          <w:ilvl w:val="0"/>
          <w:numId w:val="2"/>
        </w:numPr>
        <w:spacing w:before="40" w:after="40"/>
      </w:pPr>
      <w:r>
        <w:rPr>
          <w:rFonts w:ascii="Arial" w:cs="Arial" w:eastAsia="Arial" w:hAnsi="Arial"/>
          <w:color w:val="595959"/>
          <w:sz w:val="22"/>
          <w:szCs w:val="22"/>
        </w:rPr>
        <w:t xml:space="preserve">Pain: Doesn't know which tables to trust; no shared vocabulary with engineering</w:t>
      </w:r>
    </w:p>
    <w:p>
      <w:pPr>
        <w:pStyle w:val="ListParagraph"/>
        <w:numPr>
          <w:ilvl w:val="0"/>
          <w:numId w:val="2"/>
        </w:numPr>
        <w:spacing w:before="40" w:after="40"/>
      </w:pPr>
      <w:r>
        <w:rPr>
          <w:rFonts w:ascii="Arial" w:cs="Arial" w:eastAsia="Arial" w:hAnsi="Arial"/>
          <w:color w:val="595959"/>
          <w:sz w:val="22"/>
          <w:szCs w:val="22"/>
        </w:rPr>
        <w:t xml:space="preserve">Key needs: Search catalogue, glossary lookup, DQ score visibility, owner contact</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3. Functional Requirements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3.1 Feature 1 — Metadata Management &amp; Data Catalogue</w:t>
      </w:r>
    </w:p>
    <w:p>
      <w:pPr>
        <w:spacing w:before="60" w:after="60"/>
      </w:pPr>
      <w:r>
        <w:rPr>
          <w:rFonts w:ascii="Arial" w:cs="Arial" w:eastAsia="Arial" w:hAnsi="Arial"/>
          <w:color w:val="595959"/>
          <w:sz w:val="22"/>
          <w:szCs w:val="22"/>
        </w:rPr>
        <w:t xml:space="preserve">The catalogue is the foundational feature of the MVP. It provides a searchable, organised inventory of all data assets at both table and column level, enabling any user to discover, understand, and trust the data they need.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CAT-001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automatically discover and catalogue data assets (tables, views, schemas) upon connector onboarding via a scheduled or manually triggered scan.</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All assets visible in catalogue within 24 hours of connector setup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CAT-002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Each asset shall have a detail page showing: name, source, description, owner, tags, classifications, DQ score, column list, and last scanned timestamp.</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All fields populated for &gt;90% of catalogued assets after first scan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CAT-003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catalogue shall display column-level detail for every table asset, including: column name, data type, nullable flag, description, DQ metrics per column, and applied tags.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Column detail visible on asset page; all columns from schema reflected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CAT-004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Users shall be able to search assets by name, description, tag, owner, source, or classification from a unified search bar.</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Search returns results in &lt;2 seconds; supports partial-match queries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CAT-005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Users with editor or admin roles shall be able to manually edit asset descriptions, assign owners, and add custom tags via the UI.</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Edits saved immediately and reflected in catalogue without page reload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CAT-006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display a Data Quality score (0–100) for each asset on all list views and the asset detail page, calculated from the four DQ metrics.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DQ score updates after every completed scan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CAT-007</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catalogue shall support filtering by source, asset type, classification, DQ score range, and owner on the asset list page.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All filter combinations return correct results; filters persist during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CAT-008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track and display schema change history — when columns were added, removed, or changed type — per asset.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b/>
                <w:bCs/>
                <w:color w:val="2E75B6"/>
                <w:sz w:val="16"/>
                <w:szCs w:val="16"/>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Schema history visible on asset detail page with timestamps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3.2 Feature 2 — Data Quality (Automated Metrics)</w:t>
      </w:r>
    </w:p>
    <w:p>
      <w:pPr>
        <w:spacing w:before="60" w:after="60"/>
      </w:pPr>
      <w:r>
        <w:rPr>
          <w:rFonts w:ascii="Arial" w:cs="Arial" w:eastAsia="Arial" w:hAnsi="Arial"/>
          <w:color w:val="595959"/>
          <w:sz w:val="22"/>
          <w:szCs w:val="22"/>
        </w:rPr>
        <w:t xml:space="preserve">Data quality metrics are automatically calculated on every scan for all assets in scope. No manual configuration is required to get the four core metrics. Users can optionally configure custom rules on top.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DQ-001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automatically calculate Completeness per column: the ratio of non-null values to total rows, expressed as a percentage.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Completeness score matches manual SQL validation within 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DQ-002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automatically calculate Uniqueness per column: the ratio of distinct values to total rows, expressed as a percentage.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Uniqueness score matches manual SQL validation within 0.1%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DQ-003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automatically calculate Consistency per column: the percentage of values matching the column's expected format pattern (e.g., email regex, date format, phone format). Patterns are inferred from column name and data type.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Pattern detection covers email, date, phone, UUID, URL column types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DQ-004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automatically calculate Accuracy per column: the percentage of values within a configured valid range or matching a reference rule (e.g., age 0–120, status in ['active','inactive']).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Accuracy rules configurable per column via UI; default rules auto-suggested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DQ-005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compute an overall DQ Score per asset (0–100) as the weighted average of all four metric scores across all columns in that asset.</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DQ score visible on asset detail and all list views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DQ-006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highlight columns with DQ scores below configurable thresholds with a visual warning indicator (amber for &lt;80, red for &lt;60).</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Warning indicators shown on column list within asset detail page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DQ-007</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display DQ metric trends over time — showing how each metric changed across the last 10 scan runs — as a simple sparkline chart.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b/>
                <w:bCs/>
                <w:color w:val="2E75B6"/>
                <w:sz w:val="16"/>
                <w:szCs w:val="16"/>
              </w:rPr>
              <w:t xml:space="preserve">Should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Trend chart visible on asset detail page after 2+ scans 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DQ-008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raise a DQ Issue record automatically when any metric drops more than 10 percentage points between two consecutive scans.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Issue created with severity, affected asset, metric name, and delta value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DQ-009</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Users shall be able to view all open DQ issues on a dedicated Issues page, filterable by severity, asset, and metric type.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Issues page lists all open issues; filter by severity works correctly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DQ-010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Users shall be able to mark a DQ issue as resolved with a resolution note; resolved issues are retained in history.</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Issue status updates to Resolved; history retained for 90 days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3.3 Feature 3 — Data Governance &amp; Policy Management</w:t>
      </w:r>
    </w:p>
    <w:p>
      <w:pPr>
        <w:spacing w:before="60" w:after="60"/>
      </w:pPr>
      <w:r>
        <w:rPr>
          <w:rFonts w:ascii="Arial" w:cs="Arial" w:eastAsia="Arial" w:hAnsi="Arial"/>
          <w:color w:val="595959"/>
          <w:sz w:val="22"/>
          <w:szCs w:val="22"/>
        </w:rPr>
        <w:t xml:space="preserve">The governance module enables governance managers to define classification policies, apply tags to data assets, enforce masking rules for sensitive data, and maintain an audit trail of all governance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GOV-001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allow governance managers to create classification policies that automatically tag assets or columns matching defined rules (e.g., column name contains "email" → tag as PII).</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Policy applies to all matching assets on next scan after activation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GOV-002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support the following built-in classification labels: PII, GDPR, Finance, Internal, Public, Sensitive, Restricted. Governance managers may create custom labels.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All 7 built-in labels available; custom label creation works without code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GOV-003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apply masking rules to columns tagged as PII or Sensitive — displaying redacted placeholders (e.g., [MASKED]) in metadata previews and sample data views for non-privileged users.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Masked columns show placeholder for Viewer role; Admin sees full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GOV-004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governance policy engine shall run automatically on every scan and re-evaluate all active policies against new and changed assets.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Policy re-evaluation completes within one scan cycle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GOV-005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Governance managers shall be able to manually apply or remove tags and classifications on any asset or column via the UI, independent of policy rules.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Manual tag changes take effect immediately without requiring a scan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GOV-006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generate an immutable audit log recording all governance actions: policy creation/edit/delete, tag application/removal, user login, asset edits, and role changes.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Audit log accessible to Admin role; records include user, timestamp, action, affected resource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GOV-007</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display a Classification Coverage dashboard showing: total PII columns, GDPR-tagged assets, unclassified assets, and fully governed assets.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Coverage dashboard updates after each scan; counts match asset totals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3.4 Feature 4 — Business Glossary</w:t>
      </w:r>
    </w:p>
    <w:p>
      <w:pPr>
        <w:spacing w:before="60" w:after="60"/>
      </w:pPr>
      <w:r>
        <w:rPr>
          <w:rFonts w:ascii="Arial" w:cs="Arial" w:eastAsia="Arial" w:hAnsi="Arial"/>
          <w:color w:val="595959"/>
          <w:sz w:val="22"/>
          <w:szCs w:val="22"/>
        </w:rPr>
        <w:t xml:space="preserve">The glossary creates a shared vocabulary between technical and business teams, linking abstract business concepts to concrete data assets and columns.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GLO-001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Governance managers shall be able to create, edit, and delete glossary terms with: term name, definition, synonyms, related terms, and status (draft/active/deprecated).</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Glossary term CRUD operations work; status changes reflected immediately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GLO-002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Each glossary term shall be linkable to one or more data assets or individual columns, creating a two-way navigation between business terms and physical data.</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Linked assets visible on term page; term badge visible on asset detail page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GLO-003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All users shall be able to search and browse the glossary from the catalogue and from a dedicated Glossary page.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Glossary searchable by term name and definition text in &lt;2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GLO-004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suggest potential glossary links when a new asset is catalogued, based on matching column names to existing glossary terms.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b/>
                <w:bCs/>
                <w:color w:val="2E75B6"/>
                <w:sz w:val="16"/>
                <w:szCs w:val="16"/>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Auto-suggestions presented on asset page after scan; user can accept or dismiss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GLO-005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glossary shall display a stewardship field showing which governance manager "owns" each term.</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Steward field visible on term detail page; editable by governance manager</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3.5 Feature 5 — Basic Data Lineage (Table-Level)</w:t>
      </w:r>
    </w:p>
    <w:p>
      <w:pPr>
        <w:spacing w:before="60" w:after="60"/>
      </w:pPr>
      <w:r>
        <w:rPr>
          <w:rFonts w:ascii="Arial" w:cs="Arial" w:eastAsia="Arial" w:hAnsi="Arial"/>
          <w:color w:val="595959"/>
          <w:sz w:val="22"/>
          <w:szCs w:val="22"/>
        </w:rPr>
        <w:t xml:space="preserve">Table-level lineage provides a visual map of how data flows between assets — from source systems through transformations to reporting. Column-level lineage is deferred to Phase 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LIN-001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extract table-level lineage by parsing SQL query logs from connected warehouses and dbt manifest files where available.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Lineage edges created for all SQL-defined source-to-target relationships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LIN-002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Each asset detail page shall display an upstream/downstream lineage panel showing which assets feed into it and which assets depend on it, up to 3 hops.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Lineage panel renders correctly for all assets with detected relationships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LIN-003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provide a dedicated Lineage canvas page with an interactive graph view of the full asset lineage map, supporting pan, zoom, and click-to-navigate.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Canvas loads in &lt;5 seconds for graphs up to 200 nodes; pan/zoom functional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LIN-004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Users shall be able to click any node in the lineage canvas to open the asset detail page for that asset.</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Node click navigates to correct asset detail page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LIN-005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Lineage shall be refreshed automatically on every scan. Users may also trigger a manual lineage refresh from the lineage page.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b/>
                <w:bCs/>
                <w:color w:val="2E75B6"/>
                <w:sz w:val="16"/>
                <w:szCs w:val="16"/>
              </w:rPr>
              <w:t xml:space="preserve">Should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Lineage updates visible within 30 minutes of scan completion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3.6 Feature 6 — User &amp; Role Management</w:t>
      </w:r>
    </w:p>
    <w:p>
      <w:pPr>
        <w:spacing w:before="60" w:after="60"/>
      </w:pPr>
      <w:r>
        <w:rPr>
          <w:rFonts w:ascii="Arial" w:cs="Arial" w:eastAsia="Arial" w:hAnsi="Arial"/>
          <w:color w:val="595959"/>
          <w:sz w:val="22"/>
          <w:szCs w:val="22"/>
        </w:rPr>
        <w:t xml:space="preserve">A lightweight RBAC system ensures the right users can view, edit, and govern assets. Three roles cover all MVP personas without over-engineering access control.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USR-001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support three roles: Admin (full access), Editor (catalogue and glossary edit; policy management), Viewer (read-only access to all catalogue, DQ, and governance data).</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Role-based access enforced at API level; no UI elements shown for unauthorised actions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USR-002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Admin users shall be able to invite new users by email, assign roles, and deactivate accounts from the Users &amp; Roles settings page.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User invite flow works end-to-end; invited user receives email with login link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USR-003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support login via username + password (minimum). SSO via Google OAuth shall be supported as a configuration option.</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Email/password login works; Google OAuth optional and configurable per tenant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USR-004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All sessions shall expire after 8 hours of inactivity. Users are redirected to the login page on session expiry.</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Session expiry enforced; user returned to login page with appropriate message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USR-005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The system shall display the current user's name, role, and avatar in the sidebar footer on all pages.</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User info visible in sidebar for all logged-in sessions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3.7 Run Scan Flow</w:t>
      </w:r>
    </w:p>
    <w:p>
      <w:pPr>
        <w:spacing w:before="60" w:after="60"/>
      </w:pPr>
      <w:r>
        <w:rPr>
          <w:rFonts w:ascii="Arial" w:cs="Arial" w:eastAsia="Arial" w:hAnsi="Arial"/>
          <w:color w:val="595959"/>
          <w:sz w:val="22"/>
          <w:szCs w:val="22"/>
        </w:rPr>
        <w:t xml:space="preserve">The scan flow is the primary action that populates the catalogue, calculates DQ scores, and re-evaluates governance policies. It is accessible from the dashboard and the topbar on all pages.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27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 ID</w:t>
            </w:r>
          </w:p>
        </w:tc>
        <w:tc>
          <w:tcPr>
            <w:tcW w:type="dxa" w:w="4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Requirement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c>
          <w:tcPr>
            <w:tcW w:type="dxa" w:w="27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SCN-001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Users with Admin or Editor role shall be able to trigger a manual scan from the dashboard via a "Run scan" button that opens a 4-step scan configuration flow.</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Scan flow accessible from dashboard; triggers successfully for all configured sources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SCN-002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Step 1 — Source selection: users shall select which connected sources to include in the scan. Each source displays its connection status and last scan time.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Source selection persists through scan configuration; disabled sources shown with reason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SCN-003</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Step 2 — Configuration: users shall choose scan type (Full / Incremental / Metadata only / DQ only), select specific assets to include or exclude, and toggle which DQ metrics to calculate.</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All scan type options functional; asset scope selection persists to scan execution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SCN-004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Step 3 — Running: a live progress view shall show each scan stage (connect, discover, DQ, governance, lineage) with animated progress bars, percentage completion, and a live log stream.</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Progress view updates in real-time; log stream appends without page refresh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7"/>
                <w:szCs w:val="17"/>
              </w:rPr>
              <w:t xml:space="preserve">SCN-005</w:t>
            </w:r>
          </w:p>
        </w:tc>
        <w:tc>
          <w:tcPr>
            <w:tcW w:type="dxa" w:w="4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Step 4 — Results: upon completion the system shall display a results summary including: assets scanned, columns scanned, DQ issues raised, policies applied, and a DQ score change table per asset.</w:t>
            </w:r>
          </w:p>
        </w:tc>
        <w:tc>
          <w:tcPr>
            <w:tcW w:type="dxa" w:w="1000"/>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tcPr>
          <w:p>
            <w:pPr>
              <w:jc w:val="center"/>
            </w:pPr>
            <w:r>
              <w:rPr>
                <w:rFonts w:ascii="Arial" w:cs="Arial" w:eastAsia="Arial" w:hAnsi="Arial"/>
                <w:b/>
                <w:bCs/>
                <w:color w:val="0F766E"/>
                <w:sz w:val="16"/>
                <w:szCs w:val="16"/>
              </w:rPr>
              <w:t xml:space="preserve">Must Have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95959"/>
                <w:sz w:val="17"/>
                <w:szCs w:val="17"/>
              </w:rPr>
              <w:t xml:space="preserve">Results summary accurate; DQ score changes match pre/post values in database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7"/>
                <w:szCs w:val="17"/>
              </w:rPr>
              <w:t xml:space="preserve">SCN-006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The system shall support scheduled scans configurable via cron expression, with email notification on completion or failure.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b/>
                <w:bCs/>
                <w:color w:val="2E75B6"/>
                <w:sz w:val="16"/>
                <w:szCs w:val="16"/>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95959"/>
                <w:sz w:val="17"/>
                <w:szCs w:val="17"/>
              </w:rPr>
              <w:t xml:space="preserve">Scheduled scans run at configured time; email notification delivered within 5 minutes of completion</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4. Non-Functional Requirements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NFR ID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Category / 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Target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NFR-001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Performance — Page load (all primary views)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&lt;3 seconds on standard broadband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Performance — Search response latency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&lt;2 seconds for up to 10,000 assets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NFR-003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Performance — Scan completion (50 assets)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&lt;10 minutes end-to-end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Scalability — Asset catalogue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Support up to 10,000 assets and 500,000 columns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NFR-005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Scalability — Concurrent users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Support 50 concurrent users without degradation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Availability — Production uptime SLA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99.5% monthly uptime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NFR-007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Security — Data in transit encryption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TLS 1.3 for all connections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Security — Data at rest 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AES-256 for all stored metadata and credentials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NFR-009</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Security — Connector credentials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Encrypted at application layer before DB storage; never logged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Compliance — Audit log retention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12 months minimum; append-only; exportable as CSV</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NFR-011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Browser support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Chrome, Firefox, Edge, Safari — latest 2 major versions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Accessibility — Minimum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WCAG 2.1 AA for all primary user journeys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NFR-013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Deployment — Container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All services containerised; deployable on Kubernetes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NFR-014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Frontend — Bundle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Initial JS bundle &lt;500 KB gzipped; TTI &lt;3 seconds</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5. Integration Requirements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5.1 Data Source Connectors (MVP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Connector</w:t>
            </w:r>
          </w:p>
        </w:tc>
        <w:tc>
          <w:tcPr>
            <w:tcW w:type="dxa" w:w="38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Auth Method</w:t>
            </w:r>
          </w:p>
        </w:tc>
        <w:tc>
          <w:tcPr>
            <w:tcW w:type="dxa" w:w="3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Lineage Source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Google BigQuery</w:t>
            </w:r>
          </w:p>
        </w:tc>
        <w:tc>
          <w:tcPr>
            <w:tcW w:type="dxa" w:w="3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Service Account JSON / Workload Identity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INFORMATION_SCHEMA.JOBS query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Snowflake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Username + password / Key Pair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QUERY_HISTORY 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PostgreSQL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Connection string (TLS enforced)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pg_stat_statements extension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dbt 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manifest.json + catalog.json upload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manifest.json nodes and sources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5.2 Notification Integrations</w:t>
      </w:r>
    </w:p>
    <w:p>
      <w:pPr>
        <w:pStyle w:val="ListParagraph"/>
        <w:numPr>
          <w:ilvl w:val="0"/>
          <w:numId w:val="2"/>
        </w:numPr>
        <w:spacing w:before="40" w:after="40"/>
      </w:pPr>
      <w:r>
        <w:rPr>
          <w:rFonts w:ascii="Arial" w:cs="Arial" w:eastAsia="Arial" w:hAnsi="Arial"/>
          <w:color w:val="595959"/>
          <w:sz w:val="22"/>
          <w:szCs w:val="22"/>
        </w:rPr>
        <w:t xml:space="preserve">Email: scan completion, DQ issue alerts, user invitations (SMTP configurable)</w:t>
      </w:r>
    </w:p>
    <w:p>
      <w:pPr>
        <w:pStyle w:val="ListParagraph"/>
        <w:numPr>
          <w:ilvl w:val="0"/>
          <w:numId w:val="2"/>
        </w:numPr>
        <w:spacing w:before="40" w:after="40"/>
      </w:pPr>
      <w:r>
        <w:rPr>
          <w:rFonts w:ascii="Arial" w:cs="Arial" w:eastAsia="Arial" w:hAnsi="Arial"/>
          <w:color w:val="595959"/>
          <w:sz w:val="22"/>
          <w:szCs w:val="22"/>
        </w:rPr>
        <w:t xml:space="preserve">Slack webhook: scan results and DQ issues (Should Have — Phase 1)</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5.3 Auth Integrations</w:t>
      </w:r>
    </w:p>
    <w:p>
      <w:pPr>
        <w:pStyle w:val="ListParagraph"/>
        <w:numPr>
          <w:ilvl w:val="0"/>
          <w:numId w:val="2"/>
        </w:numPr>
        <w:spacing w:before="40" w:after="40"/>
      </w:pPr>
      <w:r>
        <w:rPr>
          <w:rFonts w:ascii="Arial" w:cs="Arial" w:eastAsia="Arial" w:hAnsi="Arial"/>
          <w:color w:val="595959"/>
          <w:sz w:val="22"/>
          <w:szCs w:val="22"/>
        </w:rPr>
        <w:t xml:space="preserve">Email + password: primary login method (Must Have)</w:t>
      </w:r>
    </w:p>
    <w:p>
      <w:pPr>
        <w:pStyle w:val="ListParagraph"/>
        <w:numPr>
          <w:ilvl w:val="0"/>
          <w:numId w:val="2"/>
        </w:numPr>
        <w:spacing w:before="40" w:after="40"/>
      </w:pPr>
      <w:r>
        <w:rPr>
          <w:rFonts w:ascii="Arial" w:cs="Arial" w:eastAsia="Arial" w:hAnsi="Arial"/>
          <w:color w:val="595959"/>
          <w:sz w:val="22"/>
          <w:szCs w:val="22"/>
        </w:rPr>
        <w:t xml:space="preserve">Google OAuth 2.0: optional SSO, configurable per tenant (Must Have)</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6. Implementation Phasing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Weeks</w:t>
            </w:r>
          </w:p>
        </w:tc>
        <w:tc>
          <w:tcPr>
            <w:tcW w:type="dxa" w:w="6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Scope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Phase 1 — Foundation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Weeks 1–3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PostgreSQL schema, auth (email + Google OAuth), connector framework (BigQuery + Snowflake), metadata scan engine, basic catalogue UI, user &amp; role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Phase 2 — Quality &amp; Governance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Weeks 4–6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DQ engine (4 metrics), scan flow UI (4 steps), governance policy engine, classification tagging, audit logging, classification coverage dashboard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Phase 3 — Glossary &amp; Lineage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Weeks 7–8</w:t>
            </w:r>
          </w:p>
        </w:tc>
        <w:tc>
          <w:tcPr>
            <w:tcW w:type="dxa" w:w="6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Business glossary CRUD &amp; linking, table-level lineage extraction, lineage canvas UI, DQ issues page, scan scheduling, dbt connector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Phase 4 — Polish &amp;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Weeks 9–10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WCAG 2.1 AA accessibility pass, performance optimisation, Slack notification, PostgreSQL connector, E2E test suite, production deployment, user acceptance testing</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7. Overall Acceptance Criteria</w:t>
            </w:r>
          </w:p>
        </w:tc>
      </w:tr>
    </w:tbl>
    <w:p>
      <w:pPr>
        <w:spacing w:before="120" w:after="0"/>
      </w:pPr>
      <w:r>
        <w:t xml:space="preserve"/>
      </w:r>
    </w:p>
    <w:p>
      <w:pPr>
        <w:spacing w:before="60" w:after="60"/>
      </w:pPr>
      <w:r>
        <w:rPr>
          <w:rFonts w:ascii="Arial" w:cs="Arial" w:eastAsia="Arial" w:hAnsi="Arial"/>
          <w:color w:val="595959"/>
          <w:sz w:val="22"/>
          <w:szCs w:val="22"/>
        </w:rPr>
        <w:t xml:space="preserve">The MVP shall be considered ready for production launch when all of the following conditions are met:</w:t>
      </w:r>
    </w:p>
    <w:p>
      <w:pPr>
        <w:spacing w:before="80" w:after="0"/>
      </w:pPr>
      <w:r>
        <w:t xml:space="preserve"/>
      </w:r>
    </w:p>
    <w:p>
      <w:pPr>
        <w:pStyle w:val="ListParagraph"/>
        <w:numPr>
          <w:ilvl w:val="0"/>
          <w:numId w:val="3"/>
        </w:numPr>
        <w:spacing w:before="40" w:after="40"/>
      </w:pPr>
      <w:r>
        <w:rPr>
          <w:rFonts w:ascii="Arial" w:cs="Arial" w:eastAsia="Arial" w:hAnsi="Arial"/>
          <w:color w:val="595959"/>
          <w:sz w:val="22"/>
          <w:szCs w:val="22"/>
        </w:rPr>
        <w:t xml:space="preserve">All Must Have requirements in Sections 3.1 through 3.7 pass user acceptance testing with zero P1 defects outstanding.</w:t>
      </w:r>
    </w:p>
    <w:p>
      <w:pPr>
        <w:pStyle w:val="ListParagraph"/>
        <w:numPr>
          <w:ilvl w:val="0"/>
          <w:numId w:val="3"/>
        </w:numPr>
        <w:spacing w:before="40" w:after="40"/>
      </w:pPr>
      <w:r>
        <w:rPr>
          <w:rFonts w:ascii="Arial" w:cs="Arial" w:eastAsia="Arial" w:hAnsi="Arial"/>
          <w:color w:val="595959"/>
          <w:sz w:val="22"/>
          <w:szCs w:val="22"/>
        </w:rPr>
        <w:t xml:space="preserve">At least 2 production data source connectors are live, scanning, and populating the catalogue.</w:t>
      </w:r>
    </w:p>
    <w:p>
      <w:pPr>
        <w:pStyle w:val="ListParagraph"/>
        <w:numPr>
          <w:ilvl w:val="0"/>
          <w:numId w:val="3"/>
        </w:numPr>
        <w:spacing w:before="40" w:after="40"/>
      </w:pPr>
      <w:r>
        <w:rPr>
          <w:rFonts w:ascii="Arial" w:cs="Arial" w:eastAsia="Arial" w:hAnsi="Arial"/>
          <w:color w:val="595959"/>
          <w:sz w:val="22"/>
          <w:szCs w:val="22"/>
        </w:rPr>
        <w:t xml:space="preserve">Automated DQ calculation is confirmed accurate to within 0.1% of manual SQL validation for all four metrics.</w:t>
      </w:r>
    </w:p>
    <w:p>
      <w:pPr>
        <w:pStyle w:val="ListParagraph"/>
        <w:numPr>
          <w:ilvl w:val="0"/>
          <w:numId w:val="3"/>
        </w:numPr>
        <w:spacing w:before="40" w:after="40"/>
      </w:pPr>
      <w:r>
        <w:rPr>
          <w:rFonts w:ascii="Arial" w:cs="Arial" w:eastAsia="Arial" w:hAnsi="Arial"/>
          <w:color w:val="595959"/>
          <w:sz w:val="22"/>
          <w:szCs w:val="22"/>
        </w:rPr>
        <w:t xml:space="preserve">Governance policies successfully auto-classify PII and GDPR columns across all connected sources.</w:t>
      </w:r>
    </w:p>
    <w:p>
      <w:pPr>
        <w:pStyle w:val="ListParagraph"/>
        <w:numPr>
          <w:ilvl w:val="0"/>
          <w:numId w:val="3"/>
        </w:numPr>
        <w:spacing w:before="40" w:after="40"/>
      </w:pPr>
      <w:r>
        <w:rPr>
          <w:rFonts w:ascii="Arial" w:cs="Arial" w:eastAsia="Arial" w:hAnsi="Arial"/>
          <w:color w:val="595959"/>
          <w:sz w:val="22"/>
          <w:szCs w:val="22"/>
        </w:rPr>
        <w:t xml:space="preserve">The business glossary is populated with at least 10 terms linked to real assets (acceptance test data).</w:t>
      </w:r>
    </w:p>
    <w:p>
      <w:pPr>
        <w:pStyle w:val="ListParagraph"/>
        <w:numPr>
          <w:ilvl w:val="0"/>
          <w:numId w:val="3"/>
        </w:numPr>
        <w:spacing w:before="40" w:after="40"/>
      </w:pPr>
      <w:r>
        <w:rPr>
          <w:rFonts w:ascii="Arial" w:cs="Arial" w:eastAsia="Arial" w:hAnsi="Arial"/>
          <w:color w:val="595959"/>
          <w:sz w:val="22"/>
          <w:szCs w:val="22"/>
        </w:rPr>
        <w:t xml:space="preserve">Table-level lineage is visible for at least 80% of assets that have known upstream sources.</w:t>
      </w:r>
    </w:p>
    <w:p>
      <w:pPr>
        <w:pStyle w:val="ListParagraph"/>
        <w:numPr>
          <w:ilvl w:val="0"/>
          <w:numId w:val="3"/>
        </w:numPr>
        <w:spacing w:before="40" w:after="40"/>
      </w:pPr>
      <w:r>
        <w:rPr>
          <w:rFonts w:ascii="Arial" w:cs="Arial" w:eastAsia="Arial" w:hAnsi="Arial"/>
          <w:color w:val="595959"/>
          <w:sz w:val="22"/>
          <w:szCs w:val="22"/>
        </w:rPr>
        <w:t xml:space="preserve">RBAC is enforced: a Viewer role user cannot edit assets, create policies, or manage users.</w:t>
      </w:r>
    </w:p>
    <w:p>
      <w:pPr>
        <w:pStyle w:val="ListParagraph"/>
        <w:numPr>
          <w:ilvl w:val="0"/>
          <w:numId w:val="3"/>
        </w:numPr>
        <w:spacing w:before="40" w:after="40"/>
      </w:pPr>
      <w:r>
        <w:rPr>
          <w:rFonts w:ascii="Arial" w:cs="Arial" w:eastAsia="Arial" w:hAnsi="Arial"/>
          <w:color w:val="595959"/>
          <w:sz w:val="22"/>
          <w:szCs w:val="22"/>
        </w:rPr>
        <w:t xml:space="preserve">All pages load within 3 seconds on a standard broadband connection (Lighthouse score ≥ 80).</w:t>
      </w:r>
    </w:p>
    <w:p>
      <w:pPr>
        <w:pStyle w:val="ListParagraph"/>
        <w:numPr>
          <w:ilvl w:val="0"/>
          <w:numId w:val="3"/>
        </w:numPr>
        <w:spacing w:before="40" w:after="40"/>
      </w:pPr>
      <w:r>
        <w:rPr>
          <w:rFonts w:ascii="Arial" w:cs="Arial" w:eastAsia="Arial" w:hAnsi="Arial"/>
          <w:color w:val="595959"/>
          <w:sz w:val="22"/>
          <w:szCs w:val="22"/>
        </w:rPr>
        <w:t xml:space="preserve">Audit log captures all create/update/delete actions performed during the UAT session.</w:t>
      </w:r>
    </w:p>
    <w:p>
      <w:pPr>
        <w:pStyle w:val="ListParagraph"/>
        <w:numPr>
          <w:ilvl w:val="0"/>
          <w:numId w:val="3"/>
        </w:numPr>
        <w:spacing w:before="40" w:after="40"/>
      </w:pPr>
      <w:r>
        <w:rPr>
          <w:rFonts w:ascii="Arial" w:cs="Arial" w:eastAsia="Arial" w:hAnsi="Arial"/>
          <w:color w:val="595959"/>
          <w:sz w:val="22"/>
          <w:szCs w:val="22"/>
        </w:rPr>
        <w:t xml:space="preserve">The platform is deployed to production cloud environment with 99.5% uptime monitored.</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8. Glossary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Asset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Any discoverable data object: table, view, schema, or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Catalogue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Centralised inventory of all data assets with metadata, DQ scores, and classifications.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 label applied to an asset or column indicating its governance category (e.g., PII, GDPR).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Completeness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DQ metric: percentage of non-null values in a column out of total 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Consistency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DQ metric: percentage of values in a column matching the expected format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DQ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Overall quality score (0–100) for a data asset, computed as weighted average of four metric scores.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Governance Manager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User role responsible for creating policies, classifications, and managing the glossary.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Lineage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 directed graph showing how data flows from source assets to downstream assets.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Policy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 rule that automatically applies tags or classifications to assets matching defined 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RBAC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Role-Based Access Control — access permissions tied to assigned user roles.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Scan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 process that connects to data sources, extracts metadata, calculates DQ metrics, and applies policies.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Uniqueness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DQ metric: percentage of distinct values in a column out of total 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Accuracy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DQ metric: percentage of values in a column that pass a configured range or rule validation.</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9. Document Sign-Off</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1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Chief Data Officer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Product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Engineering Lead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IT Security Officer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t>
            </w:r>
          </w:p>
        </w:tc>
      </w:tr>
    </w:tbl>
    <w:p>
      <w:pPr>
        <w:spacing w:before="200" w:after="0"/>
      </w:pPr>
      <w:r>
        <w:t xml:space="preserve"/>
      </w:r>
    </w:p>
    <w:p>
      <w:pPr>
        <w:jc w:val="center"/>
      </w:pPr>
      <w:r>
        <w:rPr>
          <w:rFonts w:ascii="Arial" w:cs="Arial" w:eastAsia="Arial" w:hAnsi="Arial"/>
          <w:i/>
          <w:iCs/>
          <w:color w:val="595959"/>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4"/>
      </w:pBdr>
      <w:tabs>
        <w:tab w:val="right" w:pos="9026"/>
      </w:tabs>
    </w:pPr>
    <w:r>
      <w:rPr>
        <w:rFonts w:ascii="Arial" w:cs="Arial" w:eastAsia="Arial" w:hAnsi="Arial"/>
        <w:color w:val="595959"/>
        <w:sz w:val="16"/>
        <w:szCs w:val="16"/>
      </w:rPr>
      <w:t xml:space="preserve">© 2026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tabs>
        <w:tab w:val="right" w:pos="9026"/>
      </w:tabs>
    </w:pPr>
    <w:r>
      <w:rPr>
        <w:rFonts w:ascii="Arial" w:cs="Arial" w:eastAsia="Arial" w:hAnsi="Arial"/>
        <w:color w:val="0F766E"/>
        <w:sz w:val="18"/>
        <w:szCs w:val="18"/>
      </w:rPr>
      <w:t xml:space="preserve">DataGov MVP — Business Requirements Document</w:t>
    </w:r>
    <w:r>
      <w:rPr>
        <w:rFonts w:ascii="Arial" w:cs="Arial" w:eastAsia="Arial" w:hAnsi="Arial"/>
        <w:color w:val="59595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766E"/>
      <w:sz w:val="22"/>
      <w:szCs w:val="22"/>
    </w:rPr>
  </w:style>
  <w:style w:type="paragraph" w:styleId="Heading4">
    <w:name w:val="Heading 4"/>
    <w:basedOn w:val="Normal"/>
    <w:next w:val="Normal"/>
    <w:qFormat/>
    <w:pPr>
      <w:spacing w:before="160" w:after="60"/>
      <w:outlineLvl w:val="3"/>
    </w:pPr>
    <w:rPr>
      <w:rFonts w:ascii="Arial" w:cs="Arial" w:eastAsia="Arial" w:hAnsi="Arial"/>
      <w:b/>
      <w:b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2026-03-29T08:28:46.035Z</dcterms:created>
  <dcterms:modified xsi:type="dcterms:W3CDTF">2026-03-29T08:28:46.036Z</dcterms:modified>
</cp:coreProperties>
</file>

<file path=docProps/custom.xml><?xml version="1.0" encoding="utf-8"?>
<Properties xmlns="http://schemas.openxmlformats.org/officeDocument/2006/custom-properties" xmlns:vt="http://schemas.openxmlformats.org/officeDocument/2006/docPropsVTypes"/>
</file>