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100F8" w14:textId="77777777" w:rsidR="0006021D" w:rsidRDefault="02193789" w:rsidP="6B451021">
      <w:pPr>
        <w:spacing w:after="0"/>
        <w:rPr>
          <w:rFonts w:ascii="Arial" w:eastAsia="Arial" w:hAnsi="Arial" w:cs="Arial"/>
          <w:color w:val="000000" w:themeColor="text1"/>
        </w:rPr>
      </w:pPr>
      <w:r w:rsidRPr="00267191">
        <w:rPr>
          <w:rFonts w:ascii="Arial" w:eastAsia="Arial" w:hAnsi="Arial" w:cs="Arial"/>
          <w:color w:val="000000" w:themeColor="text1"/>
          <w:highlight w:val="green"/>
        </w:rPr>
        <w:t>Título:</w:t>
      </w:r>
      <w:r w:rsidRPr="6B451021">
        <w:rPr>
          <w:rFonts w:ascii="Arial" w:eastAsia="Arial" w:hAnsi="Arial" w:cs="Arial"/>
          <w:color w:val="000000" w:themeColor="text1"/>
        </w:rPr>
        <w:t xml:space="preserve"> </w:t>
      </w:r>
    </w:p>
    <w:p w14:paraId="23BFDDC1" w14:textId="1A882A9E" w:rsidR="00D86282" w:rsidRDefault="02193789" w:rsidP="0006021D">
      <w:pPr>
        <w:spacing w:after="0"/>
        <w:jc w:val="both"/>
        <w:rPr>
          <w:rFonts w:ascii="Arial" w:eastAsia="Arial" w:hAnsi="Arial" w:cs="Arial"/>
          <w:color w:val="000000" w:themeColor="text1"/>
        </w:rPr>
      </w:pPr>
      <w:r w:rsidRPr="6B451021">
        <w:rPr>
          <w:rFonts w:ascii="Arial" w:eastAsia="Arial" w:hAnsi="Arial" w:cs="Arial"/>
          <w:color w:val="000000" w:themeColor="text1"/>
        </w:rPr>
        <w:t>A implementação de uma plataforma digital de apoio emocional para jovens LGBTQIAP+ na região de Jundiaí.</w:t>
      </w:r>
    </w:p>
    <w:p w14:paraId="352EA027" w14:textId="1D03BDFB" w:rsidR="00D86282" w:rsidRDefault="02193789" w:rsidP="6B451021">
      <w:pPr>
        <w:spacing w:after="0"/>
        <w:rPr>
          <w:rFonts w:ascii="Times New Roman" w:eastAsia="Times New Roman" w:hAnsi="Times New Roman" w:cs="Times New Roman"/>
        </w:rPr>
      </w:pPr>
      <w:r w:rsidRPr="6B451021">
        <w:rPr>
          <w:rFonts w:ascii="Times New Roman" w:eastAsia="Times New Roman" w:hAnsi="Times New Roman" w:cs="Times New Roman"/>
        </w:rPr>
        <w:t xml:space="preserve"> </w:t>
      </w:r>
    </w:p>
    <w:p w14:paraId="58BA264C" w14:textId="77777777" w:rsidR="0006021D" w:rsidRDefault="02193789" w:rsidP="6B451021">
      <w:pPr>
        <w:spacing w:after="0"/>
        <w:rPr>
          <w:rFonts w:ascii="Arial" w:eastAsia="Arial" w:hAnsi="Arial" w:cs="Arial"/>
          <w:color w:val="000000" w:themeColor="text1"/>
        </w:rPr>
      </w:pPr>
      <w:r w:rsidRPr="0006021D">
        <w:rPr>
          <w:rFonts w:ascii="Arial" w:eastAsia="Arial" w:hAnsi="Arial" w:cs="Arial"/>
          <w:color w:val="000000" w:themeColor="text1"/>
          <w:highlight w:val="green"/>
        </w:rPr>
        <w:t>Problema de pesquisa:</w:t>
      </w:r>
      <w:r w:rsidRPr="6B451021">
        <w:rPr>
          <w:rFonts w:ascii="Arial" w:eastAsia="Arial" w:hAnsi="Arial" w:cs="Arial"/>
          <w:color w:val="000000" w:themeColor="text1"/>
        </w:rPr>
        <w:t xml:space="preserve"> </w:t>
      </w:r>
    </w:p>
    <w:p w14:paraId="00B11FBD" w14:textId="0DCEFC85" w:rsidR="00D86282" w:rsidRDefault="02193789" w:rsidP="6B451021">
      <w:pPr>
        <w:spacing w:after="0"/>
        <w:rPr>
          <w:rFonts w:ascii="Arial" w:eastAsia="Arial" w:hAnsi="Arial" w:cs="Arial"/>
          <w:color w:val="000000" w:themeColor="text1"/>
        </w:rPr>
      </w:pPr>
      <w:r w:rsidRPr="6B451021">
        <w:rPr>
          <w:rFonts w:ascii="Arial" w:eastAsia="Arial" w:hAnsi="Arial" w:cs="Arial"/>
          <w:color w:val="000000" w:themeColor="text1"/>
        </w:rPr>
        <w:t>Como a implementação de uma plataforma digital poderia dar apoio emocional para jovens LGBTQIAP+?</w:t>
      </w:r>
    </w:p>
    <w:p w14:paraId="16B87712" w14:textId="78F5CA57" w:rsidR="00D86282" w:rsidRDefault="02193789" w:rsidP="6B451021">
      <w:pPr>
        <w:spacing w:after="0"/>
        <w:rPr>
          <w:rFonts w:ascii="Times New Roman" w:eastAsia="Times New Roman" w:hAnsi="Times New Roman" w:cs="Times New Roman"/>
        </w:rPr>
      </w:pPr>
      <w:r w:rsidRPr="6B451021">
        <w:rPr>
          <w:rFonts w:ascii="Times New Roman" w:eastAsia="Times New Roman" w:hAnsi="Times New Roman" w:cs="Times New Roman"/>
        </w:rPr>
        <w:t xml:space="preserve"> </w:t>
      </w:r>
    </w:p>
    <w:p w14:paraId="2DF75657" w14:textId="57DB95F3" w:rsidR="00D86282" w:rsidRDefault="02193789" w:rsidP="6B451021">
      <w:pPr>
        <w:spacing w:after="0"/>
        <w:rPr>
          <w:rFonts w:ascii="Arial" w:eastAsia="Arial" w:hAnsi="Arial" w:cs="Arial"/>
          <w:color w:val="000000" w:themeColor="text1"/>
        </w:rPr>
      </w:pPr>
      <w:r w:rsidRPr="0006021D">
        <w:rPr>
          <w:rFonts w:ascii="Arial" w:eastAsia="Arial" w:hAnsi="Arial" w:cs="Arial"/>
          <w:color w:val="000000" w:themeColor="text1"/>
          <w:highlight w:val="green"/>
        </w:rPr>
        <w:t>Justificativa:</w:t>
      </w:r>
      <w:r w:rsidRPr="6B451021">
        <w:rPr>
          <w:rFonts w:ascii="Arial" w:eastAsia="Arial" w:hAnsi="Arial" w:cs="Arial"/>
          <w:color w:val="000000" w:themeColor="text1"/>
        </w:rPr>
        <w:t xml:space="preserve"> </w:t>
      </w:r>
    </w:p>
    <w:p w14:paraId="62AF6107" w14:textId="77777777" w:rsidR="00EC5E08" w:rsidRDefault="00EC5E08" w:rsidP="6B451021">
      <w:pPr>
        <w:spacing w:after="0"/>
        <w:rPr>
          <w:rFonts w:ascii="Arial" w:eastAsia="Arial" w:hAnsi="Arial" w:cs="Arial"/>
          <w:color w:val="000000" w:themeColor="text1"/>
        </w:rPr>
      </w:pPr>
    </w:p>
    <w:p w14:paraId="41EEE9FC" w14:textId="785C2359" w:rsidR="00D86282" w:rsidRDefault="02193789" w:rsidP="6B451021">
      <w:pPr>
        <w:spacing w:after="0"/>
        <w:rPr>
          <w:rFonts w:ascii="Arial" w:eastAsia="Arial" w:hAnsi="Arial" w:cs="Arial"/>
          <w:color w:val="000000" w:themeColor="text1"/>
        </w:rPr>
      </w:pPr>
      <w:r w:rsidRPr="6B451021">
        <w:rPr>
          <w:rFonts w:ascii="Arial" w:eastAsia="Arial" w:hAnsi="Arial" w:cs="Arial"/>
          <w:color w:val="000000" w:themeColor="text1"/>
        </w:rPr>
        <w:t xml:space="preserve"> Levando em consideração o atual cenário vivenciado pela comunidade LGBTQIAP+ na sociedade, se torna importante fornecer acesso a uma rede de apoio, a fim de promover amparo emocional e identificação entre usuários com base em relatos, de forma que seja reduzida às implicações causadas pelo desamparo comunitário.</w:t>
      </w:r>
    </w:p>
    <w:p w14:paraId="142767CA" w14:textId="1D9162B6" w:rsidR="00D86282" w:rsidRDefault="56204DF3" w:rsidP="6B451021">
      <w:pPr>
        <w:spacing w:after="0"/>
        <w:ind w:firstLine="720"/>
        <w:rPr>
          <w:rFonts w:ascii="Arial" w:eastAsia="Arial" w:hAnsi="Arial" w:cs="Arial"/>
          <w:color w:val="000000" w:themeColor="text1"/>
        </w:rPr>
      </w:pPr>
      <w:r w:rsidRPr="6B451021">
        <w:rPr>
          <w:rFonts w:ascii="Arial" w:eastAsia="Arial" w:hAnsi="Arial" w:cs="Arial"/>
          <w:color w:val="000000" w:themeColor="text1"/>
        </w:rPr>
        <w:t>A plataforma</w:t>
      </w:r>
      <w:r w:rsidR="02193789" w:rsidRPr="6B451021">
        <w:rPr>
          <w:rFonts w:ascii="Arial" w:eastAsia="Arial" w:hAnsi="Arial" w:cs="Arial"/>
          <w:color w:val="000000" w:themeColor="text1"/>
        </w:rPr>
        <w:t xml:space="preserve"> digital de apoio emocional para jovens LGBTQIAP+ visa ajudar a atenuar as situações de problemas emocionais, vulnerabilidade socioeconômica, exposição à violência e dificuldades na construção de identidade geradas a partir do desamparo comunitário. Essas situações implicam diretamente no </w:t>
      </w:r>
      <w:r w:rsidR="5970A3DE" w:rsidRPr="6B451021">
        <w:rPr>
          <w:rFonts w:ascii="Arial" w:eastAsia="Arial" w:hAnsi="Arial" w:cs="Arial"/>
          <w:color w:val="000000" w:themeColor="text1"/>
        </w:rPr>
        <w:t>bem-estar</w:t>
      </w:r>
      <w:r w:rsidR="02193789" w:rsidRPr="6B451021">
        <w:rPr>
          <w:rFonts w:ascii="Arial" w:eastAsia="Arial" w:hAnsi="Arial" w:cs="Arial"/>
          <w:color w:val="000000" w:themeColor="text1"/>
        </w:rPr>
        <w:t xml:space="preserve"> e qualidade de vida dos indivíduos da comunidade como um todo.</w:t>
      </w:r>
    </w:p>
    <w:p w14:paraId="760623B8" w14:textId="01785E2F" w:rsidR="00D86282" w:rsidRDefault="02193789" w:rsidP="6B451021">
      <w:pPr>
        <w:spacing w:after="0"/>
        <w:ind w:firstLine="720"/>
        <w:rPr>
          <w:rFonts w:ascii="Arial" w:eastAsia="Arial" w:hAnsi="Arial" w:cs="Arial"/>
          <w:color w:val="000000" w:themeColor="text1"/>
        </w:rPr>
      </w:pPr>
      <w:r w:rsidRPr="6B451021">
        <w:rPr>
          <w:rFonts w:ascii="Arial" w:eastAsia="Arial" w:hAnsi="Arial" w:cs="Arial"/>
          <w:color w:val="000000" w:themeColor="text1"/>
        </w:rPr>
        <w:t>Dessa forma, uma plataforma digital de apoio emocional para jovens LGBTQIAP+ se torna relevante para fornecer identificação entre os relatos de usuários, um local de amparo a fim de auxiliar na saúde mental e a promoção da sensação de comunidade e pertencimento.</w:t>
      </w:r>
    </w:p>
    <w:p w14:paraId="0F2F0DE9" w14:textId="617C1979" w:rsidR="00D86282" w:rsidRDefault="02193789" w:rsidP="6B451021">
      <w:pPr>
        <w:spacing w:after="0"/>
        <w:rPr>
          <w:rFonts w:ascii="Times New Roman" w:eastAsia="Times New Roman" w:hAnsi="Times New Roman" w:cs="Times New Roman"/>
        </w:rPr>
      </w:pPr>
      <w:r w:rsidRPr="6B451021">
        <w:rPr>
          <w:rFonts w:ascii="Times New Roman" w:eastAsia="Times New Roman" w:hAnsi="Times New Roman" w:cs="Times New Roman"/>
        </w:rPr>
        <w:t xml:space="preserve"> </w:t>
      </w:r>
    </w:p>
    <w:p w14:paraId="06019AD6" w14:textId="1F26D1A2" w:rsidR="00D86282" w:rsidRDefault="02193789" w:rsidP="6B451021">
      <w:pPr>
        <w:spacing w:after="0"/>
        <w:rPr>
          <w:rFonts w:ascii="Arial" w:eastAsia="Arial" w:hAnsi="Arial" w:cs="Arial"/>
          <w:color w:val="000000" w:themeColor="text1"/>
        </w:rPr>
      </w:pPr>
      <w:r w:rsidRPr="00EC5E08">
        <w:rPr>
          <w:rFonts w:ascii="Arial" w:eastAsia="Arial" w:hAnsi="Arial" w:cs="Arial"/>
          <w:color w:val="000000" w:themeColor="text1"/>
          <w:highlight w:val="green"/>
        </w:rPr>
        <w:t>Objetivo geral:</w:t>
      </w:r>
      <w:r w:rsidRPr="6B451021">
        <w:rPr>
          <w:rFonts w:ascii="Arial" w:eastAsia="Arial" w:hAnsi="Arial" w:cs="Arial"/>
          <w:color w:val="000000" w:themeColor="text1"/>
        </w:rPr>
        <w:t xml:space="preserve"> </w:t>
      </w:r>
    </w:p>
    <w:p w14:paraId="13F174A0" w14:textId="688FE836" w:rsidR="00D86282" w:rsidRDefault="02193789" w:rsidP="6B451021">
      <w:pPr>
        <w:spacing w:after="0"/>
        <w:rPr>
          <w:rFonts w:ascii="Arial" w:eastAsia="Arial" w:hAnsi="Arial" w:cs="Arial"/>
          <w:color w:val="000000" w:themeColor="text1"/>
        </w:rPr>
      </w:pPr>
      <w:r w:rsidRPr="6B451021">
        <w:rPr>
          <w:rFonts w:ascii="Arial" w:eastAsia="Arial" w:hAnsi="Arial" w:cs="Arial"/>
          <w:color w:val="000000" w:themeColor="text1"/>
        </w:rPr>
        <w:t xml:space="preserve"> </w:t>
      </w:r>
    </w:p>
    <w:p w14:paraId="311EB430" w14:textId="2A471D82" w:rsidR="00D86282" w:rsidRDefault="02193789" w:rsidP="6B451021">
      <w:pPr>
        <w:spacing w:after="0"/>
        <w:rPr>
          <w:rFonts w:ascii="Arial" w:eastAsia="Arial" w:hAnsi="Arial" w:cs="Arial"/>
          <w:color w:val="000000" w:themeColor="text1"/>
        </w:rPr>
      </w:pPr>
      <w:r w:rsidRPr="6B451021">
        <w:rPr>
          <w:rFonts w:ascii="Arial" w:eastAsia="Arial" w:hAnsi="Arial" w:cs="Arial"/>
          <w:color w:val="000000" w:themeColor="text1"/>
        </w:rPr>
        <w:t>Auxiliar no fornecimento de apoio emocional para jovens LGBTQIAP+ na região de Jundiaí.</w:t>
      </w:r>
    </w:p>
    <w:p w14:paraId="5F403667" w14:textId="6E3F52F4" w:rsidR="00D86282" w:rsidRDefault="02193789" w:rsidP="6B451021">
      <w:pPr>
        <w:spacing w:after="0"/>
        <w:rPr>
          <w:rFonts w:ascii="Times New Roman" w:eastAsia="Times New Roman" w:hAnsi="Times New Roman" w:cs="Times New Roman"/>
        </w:rPr>
      </w:pPr>
      <w:r w:rsidRPr="6B451021">
        <w:rPr>
          <w:rFonts w:ascii="Times New Roman" w:eastAsia="Times New Roman" w:hAnsi="Times New Roman" w:cs="Times New Roman"/>
        </w:rPr>
        <w:t xml:space="preserve"> </w:t>
      </w:r>
    </w:p>
    <w:p w14:paraId="76119B49" w14:textId="2FED9773" w:rsidR="00D86282" w:rsidRDefault="02193789" w:rsidP="6B451021">
      <w:pPr>
        <w:spacing w:after="0"/>
        <w:rPr>
          <w:rFonts w:ascii="Arial" w:eastAsia="Arial" w:hAnsi="Arial" w:cs="Arial"/>
          <w:color w:val="000000" w:themeColor="text1"/>
        </w:rPr>
      </w:pPr>
      <w:r w:rsidRPr="6B451021">
        <w:rPr>
          <w:rFonts w:ascii="Arial" w:eastAsia="Arial" w:hAnsi="Arial" w:cs="Arial"/>
          <w:color w:val="000000" w:themeColor="text1"/>
        </w:rPr>
        <w:t>Objetivos específicos:</w:t>
      </w:r>
    </w:p>
    <w:p w14:paraId="20F97F95" w14:textId="07704D19" w:rsidR="00D86282" w:rsidRDefault="02193789" w:rsidP="6B451021">
      <w:pPr>
        <w:pStyle w:val="PargrafodaLista"/>
        <w:numPr>
          <w:ilvl w:val="0"/>
          <w:numId w:val="2"/>
        </w:numPr>
        <w:spacing w:after="0"/>
        <w:rPr>
          <w:rFonts w:ascii="Arial" w:eastAsia="Arial" w:hAnsi="Arial" w:cs="Arial"/>
          <w:color w:val="000000" w:themeColor="text1"/>
        </w:rPr>
      </w:pPr>
      <w:r w:rsidRPr="5A8C5960">
        <w:rPr>
          <w:rFonts w:ascii="Arial" w:eastAsia="Arial" w:hAnsi="Arial" w:cs="Arial"/>
          <w:color w:val="000000" w:themeColor="text1"/>
        </w:rPr>
        <w:t>Realizar o levantamento bibliográfico de conceitos sobre espaços de desabafo anônimos e seu impacto na saúde mental de jovens LGBTQIAP +.</w:t>
      </w:r>
    </w:p>
    <w:p w14:paraId="65B01592" w14:textId="0E0188F3" w:rsidR="00D86282" w:rsidRDefault="02193789" w:rsidP="6B451021">
      <w:pPr>
        <w:pStyle w:val="PargrafodaLista"/>
        <w:numPr>
          <w:ilvl w:val="0"/>
          <w:numId w:val="2"/>
        </w:numPr>
        <w:spacing w:after="0"/>
        <w:rPr>
          <w:rFonts w:ascii="Arial" w:eastAsia="Arial" w:hAnsi="Arial" w:cs="Arial"/>
          <w:color w:val="000000" w:themeColor="text1"/>
        </w:rPr>
      </w:pPr>
      <w:r w:rsidRPr="5A8C5960">
        <w:rPr>
          <w:rFonts w:ascii="Arial" w:eastAsia="Arial" w:hAnsi="Arial" w:cs="Arial"/>
          <w:color w:val="000000" w:themeColor="text1"/>
        </w:rPr>
        <w:t>Aplicar um formulário para entender as demandas do público-alvo</w:t>
      </w:r>
      <w:r w:rsidR="345855A7" w:rsidRPr="5A8C5960">
        <w:rPr>
          <w:rFonts w:ascii="Arial" w:eastAsia="Arial" w:hAnsi="Arial" w:cs="Arial"/>
          <w:color w:val="000000" w:themeColor="text1"/>
        </w:rPr>
        <w:t>.</w:t>
      </w:r>
    </w:p>
    <w:p w14:paraId="02554EDC" w14:textId="5BF99441" w:rsidR="00D86282" w:rsidRDefault="02193789" w:rsidP="6B451021">
      <w:pPr>
        <w:pStyle w:val="PargrafodaLista"/>
        <w:numPr>
          <w:ilvl w:val="0"/>
          <w:numId w:val="2"/>
        </w:numPr>
        <w:spacing w:after="0"/>
        <w:rPr>
          <w:rFonts w:ascii="Arial" w:eastAsia="Arial" w:hAnsi="Arial" w:cs="Arial"/>
          <w:color w:val="000000" w:themeColor="text1"/>
        </w:rPr>
      </w:pPr>
      <w:r w:rsidRPr="6B451021">
        <w:rPr>
          <w:rFonts w:ascii="Arial" w:eastAsia="Arial" w:hAnsi="Arial" w:cs="Arial"/>
          <w:color w:val="000000" w:themeColor="text1"/>
        </w:rPr>
        <w:t>Levantar os requisitos do sistema com base nos dados coletados.</w:t>
      </w:r>
    </w:p>
    <w:p w14:paraId="313CF6A5" w14:textId="437A6A3A" w:rsidR="00D86282" w:rsidRDefault="02193789" w:rsidP="6B451021">
      <w:pPr>
        <w:pStyle w:val="PargrafodaLista"/>
        <w:numPr>
          <w:ilvl w:val="0"/>
          <w:numId w:val="2"/>
        </w:numPr>
        <w:spacing w:after="0"/>
        <w:rPr>
          <w:rFonts w:ascii="Arial" w:eastAsia="Arial" w:hAnsi="Arial" w:cs="Arial"/>
          <w:color w:val="000000" w:themeColor="text1"/>
        </w:rPr>
      </w:pPr>
      <w:r w:rsidRPr="5A8C5960">
        <w:rPr>
          <w:rFonts w:ascii="Arial" w:eastAsia="Arial" w:hAnsi="Arial" w:cs="Arial"/>
          <w:color w:val="000000" w:themeColor="text1"/>
        </w:rPr>
        <w:t>Criar uma identidade visual da plataforma, garantindo que o design seja representativo da comunidade LGBT</w:t>
      </w:r>
      <w:proofErr w:type="gramStart"/>
      <w:r w:rsidRPr="5A8C5960">
        <w:rPr>
          <w:rFonts w:ascii="Arial" w:eastAsia="Arial" w:hAnsi="Arial" w:cs="Arial"/>
          <w:color w:val="000000" w:themeColor="text1"/>
        </w:rPr>
        <w:t xml:space="preserve">+ </w:t>
      </w:r>
      <w:r w:rsidR="775C1823" w:rsidRPr="5A8C5960">
        <w:rPr>
          <w:rFonts w:ascii="Arial" w:eastAsia="Arial" w:hAnsi="Arial" w:cs="Arial"/>
          <w:color w:val="000000" w:themeColor="text1"/>
        </w:rPr>
        <w:t>.</w:t>
      </w:r>
      <w:proofErr w:type="gramEnd"/>
    </w:p>
    <w:p w14:paraId="4E263262" w14:textId="410EDE0E" w:rsidR="00D86282" w:rsidRDefault="02193789" w:rsidP="6B451021">
      <w:pPr>
        <w:pStyle w:val="PargrafodaLista"/>
        <w:numPr>
          <w:ilvl w:val="0"/>
          <w:numId w:val="2"/>
        </w:numPr>
        <w:spacing w:after="0"/>
        <w:rPr>
          <w:rFonts w:ascii="Arial" w:eastAsia="Arial" w:hAnsi="Arial" w:cs="Arial"/>
          <w:color w:val="000000" w:themeColor="text1"/>
        </w:rPr>
      </w:pPr>
      <w:r w:rsidRPr="6B451021">
        <w:rPr>
          <w:rFonts w:ascii="Arial" w:eastAsia="Arial" w:hAnsi="Arial" w:cs="Arial"/>
          <w:color w:val="000000" w:themeColor="text1"/>
        </w:rPr>
        <w:t>Desenvolver a plataforma integrando todas as funcionalidades definidas.</w:t>
      </w:r>
    </w:p>
    <w:p w14:paraId="599CF848" w14:textId="702D344E" w:rsidR="00D86282" w:rsidRDefault="02193789" w:rsidP="6B451021">
      <w:pPr>
        <w:pStyle w:val="PargrafodaLista"/>
        <w:numPr>
          <w:ilvl w:val="0"/>
          <w:numId w:val="2"/>
        </w:numPr>
        <w:spacing w:after="0"/>
        <w:rPr>
          <w:rFonts w:ascii="Arial" w:eastAsia="Arial" w:hAnsi="Arial" w:cs="Arial"/>
          <w:color w:val="000000" w:themeColor="text1"/>
        </w:rPr>
      </w:pPr>
      <w:r w:rsidRPr="5A8C5960">
        <w:rPr>
          <w:rFonts w:ascii="Arial" w:eastAsia="Arial" w:hAnsi="Arial" w:cs="Arial"/>
          <w:color w:val="000000" w:themeColor="text1"/>
        </w:rPr>
        <w:t>Testar a plataforma com usuários reais para avaliar a usabilidade</w:t>
      </w:r>
      <w:r w:rsidR="765ADCB2" w:rsidRPr="5A8C5960">
        <w:rPr>
          <w:rFonts w:ascii="Arial" w:eastAsia="Arial" w:hAnsi="Arial" w:cs="Arial"/>
          <w:color w:val="000000" w:themeColor="text1"/>
        </w:rPr>
        <w:t>.</w:t>
      </w:r>
    </w:p>
    <w:p w14:paraId="699B1767" w14:textId="45FD1957" w:rsidR="00D86282" w:rsidRDefault="02193789" w:rsidP="6B451021">
      <w:pPr>
        <w:spacing w:after="0"/>
        <w:rPr>
          <w:rFonts w:ascii="Times New Roman" w:eastAsia="Times New Roman" w:hAnsi="Times New Roman" w:cs="Times New Roman"/>
        </w:rPr>
      </w:pPr>
      <w:r w:rsidRPr="6B451021">
        <w:rPr>
          <w:rFonts w:ascii="Times New Roman" w:eastAsia="Times New Roman" w:hAnsi="Times New Roman" w:cs="Times New Roman"/>
        </w:rPr>
        <w:t xml:space="preserve"> </w:t>
      </w:r>
    </w:p>
    <w:p w14:paraId="4B7D2673" w14:textId="75D2DEAB" w:rsidR="00D86282" w:rsidRDefault="02193789" w:rsidP="6B451021">
      <w:pPr>
        <w:spacing w:after="0"/>
        <w:rPr>
          <w:rFonts w:ascii="Arial" w:eastAsia="Arial" w:hAnsi="Arial" w:cs="Arial"/>
          <w:color w:val="000000" w:themeColor="text1"/>
        </w:rPr>
      </w:pPr>
      <w:r w:rsidRPr="007F6469">
        <w:rPr>
          <w:rFonts w:ascii="Arial" w:eastAsia="Arial" w:hAnsi="Arial" w:cs="Arial"/>
          <w:color w:val="000000" w:themeColor="text1"/>
          <w:highlight w:val="green"/>
        </w:rPr>
        <w:t>Fichamento bibliográfico</w:t>
      </w:r>
    </w:p>
    <w:p w14:paraId="10E1DD4E" w14:textId="1BBBF863" w:rsidR="00D86282" w:rsidRDefault="02193789" w:rsidP="6B451021">
      <w:pPr>
        <w:spacing w:after="0"/>
        <w:rPr>
          <w:rFonts w:ascii="Times New Roman" w:eastAsia="Times New Roman" w:hAnsi="Times New Roman" w:cs="Times New Roman"/>
        </w:rPr>
      </w:pPr>
      <w:r w:rsidRPr="6B451021">
        <w:rPr>
          <w:rFonts w:ascii="Times New Roman" w:eastAsia="Times New Roman" w:hAnsi="Times New Roman" w:cs="Times New Roman"/>
        </w:rPr>
        <w:t xml:space="preserve">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796"/>
      </w:tblGrid>
      <w:tr w:rsidR="6B451021" w14:paraId="1591743C" w14:textId="77777777" w:rsidTr="6B451021">
        <w:trPr>
          <w:trHeight w:val="300"/>
        </w:trPr>
        <w:tc>
          <w:tcPr>
            <w:tcW w:w="87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7A9F8" w14:textId="2AE639B4" w:rsidR="6B451021" w:rsidRDefault="6B451021" w:rsidP="6B451021">
            <w:pPr>
              <w:spacing w:after="0"/>
              <w:rPr>
                <w:rFonts w:ascii="Arial" w:eastAsia="Arial" w:hAnsi="Arial" w:cs="Arial"/>
                <w:color w:val="000000" w:themeColor="text1"/>
              </w:rPr>
            </w:pPr>
            <w:r w:rsidRPr="6B451021">
              <w:rPr>
                <w:rFonts w:ascii="Arial" w:eastAsia="Arial" w:hAnsi="Arial" w:cs="Arial"/>
                <w:color w:val="000000" w:themeColor="text1"/>
              </w:rPr>
              <w:lastRenderedPageBreak/>
              <w:t>Contributo para uma revisitação histórica e crítica do preconceito contra as pessoas não heterossexuais</w:t>
            </w:r>
          </w:p>
        </w:tc>
      </w:tr>
      <w:tr w:rsidR="6B451021" w14:paraId="409C3070" w14:textId="77777777" w:rsidTr="6B451021">
        <w:trPr>
          <w:trHeight w:val="300"/>
        </w:trPr>
        <w:tc>
          <w:tcPr>
            <w:tcW w:w="87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C04E0" w14:textId="1EBF3EB2" w:rsidR="6B451021" w:rsidRDefault="6B451021" w:rsidP="6B451021">
            <w:pPr>
              <w:spacing w:after="0"/>
              <w:rPr>
                <w:rFonts w:ascii="Arial" w:eastAsia="Arial" w:hAnsi="Arial" w:cs="Arial"/>
                <w:color w:val="000000" w:themeColor="text1"/>
              </w:rPr>
            </w:pPr>
            <w:r w:rsidRPr="6B451021">
              <w:rPr>
                <w:rFonts w:ascii="Arial" w:eastAsia="Arial" w:hAnsi="Arial" w:cs="Arial"/>
                <w:color w:val="000000" w:themeColor="text1"/>
              </w:rPr>
              <w:t>GATO, Jorge; CARNEIRO, Nuno Santos; FONTAINE, Anne Marie. Contributo para uma revisitação histórica e crítica do preconceito contra as pessoas não heterossexuais. 2011.</w:t>
            </w:r>
          </w:p>
        </w:tc>
      </w:tr>
      <w:tr w:rsidR="6B451021" w14:paraId="0EEE575F" w14:textId="77777777" w:rsidTr="6B451021">
        <w:trPr>
          <w:trHeight w:val="300"/>
        </w:trPr>
        <w:tc>
          <w:tcPr>
            <w:tcW w:w="87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B7056" w14:textId="302E7E9E" w:rsidR="6B451021" w:rsidRDefault="6B451021" w:rsidP="6B451021">
            <w:pPr>
              <w:spacing w:after="0"/>
              <w:rPr>
                <w:rFonts w:ascii="Arial" w:eastAsia="Arial" w:hAnsi="Arial" w:cs="Arial"/>
                <w:color w:val="000000" w:themeColor="text1"/>
              </w:rPr>
            </w:pPr>
            <w:r w:rsidRPr="6B451021">
              <w:rPr>
                <w:rFonts w:ascii="Arial" w:eastAsia="Arial" w:hAnsi="Arial" w:cs="Arial"/>
                <w:b/>
                <w:bCs/>
                <w:color w:val="000000" w:themeColor="text1"/>
              </w:rPr>
              <w:t>Homofobia:</w:t>
            </w:r>
            <w:r w:rsidRPr="6B451021">
              <w:rPr>
                <w:rFonts w:ascii="Arial" w:eastAsia="Arial" w:hAnsi="Arial" w:cs="Arial"/>
                <w:color w:val="000000" w:themeColor="text1"/>
              </w:rPr>
              <w:t xml:space="preserve"> Inicialmente definida como o medo irracional de dividir espaço com pessoas homossexuais, ou a </w:t>
            </w:r>
            <w:proofErr w:type="spellStart"/>
            <w:r w:rsidRPr="6B451021">
              <w:rPr>
                <w:rFonts w:ascii="Arial" w:eastAsia="Arial" w:hAnsi="Arial" w:cs="Arial"/>
                <w:color w:val="000000" w:themeColor="text1"/>
              </w:rPr>
              <w:t>auto-aversão</w:t>
            </w:r>
            <w:proofErr w:type="spellEnd"/>
            <w:r w:rsidRPr="6B451021">
              <w:rPr>
                <w:rFonts w:ascii="Arial" w:eastAsia="Arial" w:hAnsi="Arial" w:cs="Arial"/>
                <w:color w:val="000000" w:themeColor="text1"/>
              </w:rPr>
              <w:t xml:space="preserve"> que pessoas homossexuais poderiam sentir por si mesmas. O conceito foi criticado por autores por se vincular ao medo, e não ao caráter hostil que é adotado com pessoas que não se encaixam em padrões heteronormativos. No entanto, mesmo que contestado, o termo é comumente </w:t>
            </w:r>
            <w:proofErr w:type="spellStart"/>
            <w:r w:rsidRPr="6B451021">
              <w:rPr>
                <w:rFonts w:ascii="Arial" w:eastAsia="Arial" w:hAnsi="Arial" w:cs="Arial"/>
                <w:color w:val="000000" w:themeColor="text1"/>
              </w:rPr>
              <w:t>usado</w:t>
            </w:r>
            <w:proofErr w:type="spellEnd"/>
            <w:r w:rsidRPr="6B451021">
              <w:rPr>
                <w:rFonts w:ascii="Arial" w:eastAsia="Arial" w:hAnsi="Arial" w:cs="Arial"/>
                <w:color w:val="000000" w:themeColor="text1"/>
              </w:rPr>
              <w:t xml:space="preserve"> em campanhas LGBT. (p.141)</w:t>
            </w:r>
          </w:p>
          <w:p w14:paraId="442C020D" w14:textId="05EA5F93" w:rsidR="6B451021" w:rsidRDefault="6B451021" w:rsidP="6B451021">
            <w:pPr>
              <w:spacing w:after="0"/>
              <w:rPr>
                <w:rFonts w:ascii="Arial" w:eastAsia="Arial" w:hAnsi="Arial" w:cs="Arial"/>
                <w:color w:val="000000" w:themeColor="text1"/>
              </w:rPr>
            </w:pPr>
            <w:r w:rsidRPr="6B451021">
              <w:rPr>
                <w:rFonts w:ascii="Arial" w:eastAsia="Arial" w:hAnsi="Arial" w:cs="Arial"/>
                <w:b/>
                <w:bCs/>
                <w:color w:val="000000" w:themeColor="text1"/>
              </w:rPr>
              <w:t>Heterossexismo:</w:t>
            </w:r>
            <w:r w:rsidRPr="6B451021">
              <w:rPr>
                <w:rFonts w:ascii="Arial" w:eastAsia="Arial" w:hAnsi="Arial" w:cs="Arial"/>
                <w:color w:val="000000" w:themeColor="text1"/>
              </w:rPr>
              <w:t xml:space="preserve"> Usado como um termo análogo ao sexismo e ao racismo, refere-se ao sistema de crenças que define o padrão de relações heterossexuais como mais natural e superior. (p.142)</w:t>
            </w:r>
          </w:p>
          <w:p w14:paraId="7A7B6C53" w14:textId="696C6A90" w:rsidR="6B451021" w:rsidRDefault="6B451021" w:rsidP="6B451021">
            <w:pPr>
              <w:spacing w:after="0"/>
              <w:rPr>
                <w:rFonts w:ascii="Arial" w:eastAsia="Arial" w:hAnsi="Arial" w:cs="Arial"/>
                <w:color w:val="000000" w:themeColor="text1"/>
              </w:rPr>
            </w:pPr>
            <w:r w:rsidRPr="6B451021">
              <w:rPr>
                <w:rFonts w:ascii="Arial" w:eastAsia="Arial" w:hAnsi="Arial" w:cs="Arial"/>
                <w:b/>
                <w:bCs/>
                <w:color w:val="000000" w:themeColor="text1"/>
              </w:rPr>
              <w:t>Estigma sexual:</w:t>
            </w:r>
            <w:r w:rsidRPr="6B451021">
              <w:rPr>
                <w:rFonts w:ascii="Arial" w:eastAsia="Arial" w:hAnsi="Arial" w:cs="Arial"/>
                <w:color w:val="000000" w:themeColor="text1"/>
              </w:rPr>
              <w:t xml:space="preserve"> Processo de exclusão de indivíduos ou grupos sociais que possuam qualquer comportamento, identidade ou relacionamento considerado não-heterossexual, naturalizando assim as desigualdades. (p.144)</w:t>
            </w:r>
          </w:p>
        </w:tc>
      </w:tr>
    </w:tbl>
    <w:p w14:paraId="1DD05D4A" w14:textId="38B34CE7" w:rsidR="00D86282" w:rsidRDefault="02193789" w:rsidP="6B451021">
      <w:pPr>
        <w:spacing w:after="0"/>
        <w:rPr>
          <w:rFonts w:ascii="Times New Roman" w:eastAsia="Times New Roman" w:hAnsi="Times New Roman" w:cs="Times New Roman"/>
        </w:rPr>
      </w:pPr>
      <w:r w:rsidRPr="6B451021">
        <w:rPr>
          <w:rFonts w:ascii="Times New Roman" w:eastAsia="Times New Roman" w:hAnsi="Times New Roman" w:cs="Times New Roman"/>
        </w:rPr>
        <w:t xml:space="preserve"> </w:t>
      </w:r>
    </w:p>
    <w:p w14:paraId="7A4390F6" w14:textId="230F3006" w:rsidR="00D86282" w:rsidRDefault="02193789" w:rsidP="6B451021">
      <w:pPr>
        <w:spacing w:after="0"/>
        <w:rPr>
          <w:rFonts w:ascii="Arial" w:eastAsia="Arial" w:hAnsi="Arial" w:cs="Arial"/>
          <w:color w:val="000000" w:themeColor="text1"/>
        </w:rPr>
      </w:pPr>
      <w:r w:rsidRPr="6B451021">
        <w:rPr>
          <w:rFonts w:ascii="Arial" w:eastAsia="Arial" w:hAnsi="Arial" w:cs="Arial"/>
          <w:color w:val="000000" w:themeColor="text1"/>
        </w:rPr>
        <w:t xml:space="preserve">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15"/>
      </w:tblGrid>
      <w:tr w:rsidR="6B451021" w14:paraId="37525EBE" w14:textId="77777777" w:rsidTr="6B451021">
        <w:trPr>
          <w:trHeight w:val="300"/>
        </w:trPr>
        <w:tc>
          <w:tcPr>
            <w:tcW w:w="901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4FB43" w14:textId="17430624" w:rsidR="6B451021" w:rsidRDefault="6B451021" w:rsidP="6B451021">
            <w:pPr>
              <w:spacing w:after="0"/>
              <w:rPr>
                <w:rFonts w:ascii="Arial" w:eastAsia="Arial" w:hAnsi="Arial" w:cs="Arial"/>
                <w:color w:val="000000" w:themeColor="text1"/>
              </w:rPr>
            </w:pPr>
            <w:r w:rsidRPr="6B451021">
              <w:rPr>
                <w:rFonts w:ascii="Arial" w:eastAsia="Arial" w:hAnsi="Arial" w:cs="Arial"/>
                <w:color w:val="000000" w:themeColor="text1"/>
              </w:rPr>
              <w:t>A sintomatologia depressiva entre lésbicas, gays, bissexuais e transexuais: um</w:t>
            </w:r>
          </w:p>
          <w:p w14:paraId="177EC071" w14:textId="2448008D" w:rsidR="6B451021" w:rsidRDefault="6B451021" w:rsidP="6B451021">
            <w:pPr>
              <w:spacing w:after="0"/>
              <w:rPr>
                <w:rFonts w:ascii="Arial" w:eastAsia="Arial" w:hAnsi="Arial" w:cs="Arial"/>
                <w:color w:val="000000" w:themeColor="text1"/>
              </w:rPr>
            </w:pPr>
            <w:r w:rsidRPr="6B451021">
              <w:rPr>
                <w:rFonts w:ascii="Arial" w:eastAsia="Arial" w:hAnsi="Arial" w:cs="Arial"/>
                <w:color w:val="000000" w:themeColor="text1"/>
              </w:rPr>
              <w:t>olhar para a saúde mental</w:t>
            </w:r>
          </w:p>
        </w:tc>
      </w:tr>
      <w:tr w:rsidR="6B451021" w14:paraId="33D2254F" w14:textId="77777777" w:rsidTr="6B451021">
        <w:trPr>
          <w:trHeight w:val="300"/>
        </w:trPr>
        <w:tc>
          <w:tcPr>
            <w:tcW w:w="901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25DBF" w14:textId="2D54F72B" w:rsidR="6B451021" w:rsidRDefault="6B451021" w:rsidP="6B451021">
            <w:pPr>
              <w:spacing w:after="0"/>
              <w:rPr>
                <w:rFonts w:ascii="Arial" w:eastAsia="Arial" w:hAnsi="Arial" w:cs="Arial"/>
                <w:color w:val="000000" w:themeColor="text1"/>
              </w:rPr>
            </w:pPr>
            <w:r w:rsidRPr="6B451021">
              <w:rPr>
                <w:rFonts w:ascii="Arial" w:eastAsia="Arial" w:hAnsi="Arial" w:cs="Arial"/>
                <w:color w:val="000000" w:themeColor="text1"/>
              </w:rPr>
              <w:t xml:space="preserve">MELO, Dayana Souza de; SILVA, Bianca Luna da; MELLO, </w:t>
            </w:r>
            <w:proofErr w:type="spellStart"/>
            <w:r w:rsidRPr="6B451021">
              <w:rPr>
                <w:rFonts w:ascii="Arial" w:eastAsia="Arial" w:hAnsi="Arial" w:cs="Arial"/>
                <w:color w:val="000000" w:themeColor="text1"/>
              </w:rPr>
              <w:t>Rosâne</w:t>
            </w:r>
            <w:proofErr w:type="spellEnd"/>
            <w:r w:rsidRPr="6B451021">
              <w:rPr>
                <w:rFonts w:ascii="Arial" w:eastAsia="Arial" w:hAnsi="Arial" w:cs="Arial"/>
                <w:color w:val="000000" w:themeColor="text1"/>
              </w:rPr>
              <w:t xml:space="preserve">. A sintomatologia depressiva entre lésbicas, gays, bissexuais e transexuais: um olhar para a saúde mental. Rev. </w:t>
            </w:r>
            <w:proofErr w:type="spellStart"/>
            <w:r w:rsidRPr="6B451021">
              <w:rPr>
                <w:rFonts w:ascii="Arial" w:eastAsia="Arial" w:hAnsi="Arial" w:cs="Arial"/>
                <w:color w:val="000000" w:themeColor="text1"/>
              </w:rPr>
              <w:t>enferm</w:t>
            </w:r>
            <w:proofErr w:type="spellEnd"/>
            <w:r w:rsidRPr="6B451021">
              <w:rPr>
                <w:rFonts w:ascii="Arial" w:eastAsia="Arial" w:hAnsi="Arial" w:cs="Arial"/>
                <w:color w:val="000000" w:themeColor="text1"/>
              </w:rPr>
              <w:t>. UERJ, p. e41942-e41942, 2019.</w:t>
            </w:r>
          </w:p>
        </w:tc>
      </w:tr>
      <w:tr w:rsidR="6B451021" w14:paraId="4933579B" w14:textId="77777777" w:rsidTr="6B451021">
        <w:trPr>
          <w:trHeight w:val="300"/>
        </w:trPr>
        <w:tc>
          <w:tcPr>
            <w:tcW w:w="901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C2E6B" w14:textId="3AB772F9" w:rsidR="6B451021" w:rsidRDefault="6B451021" w:rsidP="6B451021">
            <w:pPr>
              <w:spacing w:after="0"/>
              <w:rPr>
                <w:rFonts w:ascii="Arial" w:eastAsia="Arial" w:hAnsi="Arial" w:cs="Arial"/>
                <w:color w:val="000000" w:themeColor="text1"/>
              </w:rPr>
            </w:pPr>
            <w:r w:rsidRPr="6B451021">
              <w:rPr>
                <w:rFonts w:ascii="Arial" w:eastAsia="Arial" w:hAnsi="Arial" w:cs="Arial"/>
                <w:b/>
                <w:bCs/>
                <w:color w:val="000000" w:themeColor="text1"/>
              </w:rPr>
              <w:t>Depressão:</w:t>
            </w:r>
            <w:r w:rsidRPr="6B451021">
              <w:rPr>
                <w:rFonts w:ascii="Arial" w:eastAsia="Arial" w:hAnsi="Arial" w:cs="Arial"/>
                <w:color w:val="000000" w:themeColor="text1"/>
              </w:rPr>
              <w:t xml:space="preserve"> Transtorno mental comum, que tem como principais características tristeza persistente, </w:t>
            </w:r>
            <w:proofErr w:type="gramStart"/>
            <w:r w:rsidRPr="6B451021">
              <w:rPr>
                <w:rFonts w:ascii="Arial" w:eastAsia="Arial" w:hAnsi="Arial" w:cs="Arial"/>
                <w:color w:val="000000" w:themeColor="text1"/>
              </w:rPr>
              <w:t>presença  de</w:t>
            </w:r>
            <w:proofErr w:type="gramEnd"/>
            <w:r w:rsidRPr="6B451021">
              <w:rPr>
                <w:rFonts w:ascii="Arial" w:eastAsia="Arial" w:hAnsi="Arial" w:cs="Arial"/>
                <w:color w:val="000000" w:themeColor="text1"/>
              </w:rPr>
              <w:t xml:space="preserve">  humor  depressivo  e  redução  da  capacidade  de  experimentar  prazer  em  atividades  habituais antes consideradas agradáveis. O desânimo ou sensação de perca de energia, retração social e apatia também são sintomas frequentes, havendo a possibilidade de evolução para pensamentos e tentativas de autolesão e suicídio. (p.1)</w:t>
            </w:r>
          </w:p>
          <w:p w14:paraId="2AF9D128" w14:textId="313A780C" w:rsidR="6B451021" w:rsidRDefault="6B451021" w:rsidP="6B451021">
            <w:pPr>
              <w:spacing w:after="0"/>
              <w:rPr>
                <w:rFonts w:ascii="Arial" w:eastAsia="Arial" w:hAnsi="Arial" w:cs="Arial"/>
                <w:color w:val="000000" w:themeColor="text1"/>
              </w:rPr>
            </w:pPr>
            <w:r w:rsidRPr="6B451021">
              <w:rPr>
                <w:rFonts w:ascii="Arial" w:eastAsia="Arial" w:hAnsi="Arial" w:cs="Arial"/>
                <w:b/>
                <w:bCs/>
                <w:color w:val="000000" w:themeColor="text1"/>
              </w:rPr>
              <w:t xml:space="preserve">Orientação sexual: </w:t>
            </w:r>
            <w:r w:rsidRPr="6B451021">
              <w:rPr>
                <w:rFonts w:ascii="Arial" w:eastAsia="Arial" w:hAnsi="Arial" w:cs="Arial"/>
                <w:color w:val="000000" w:themeColor="text1"/>
              </w:rPr>
              <w:t xml:space="preserve">Termo que se refere à atração sexual e/ou afetiva de um indivíduo. Regida pelo gênero, não pelo sexo. Sendo assim, quando ela ocorre pelo gênero oposto, é classificado como heterossexual; quando pelo o mesmo, homossexual; quando por ambos, bissexual. Existe ainda o termo assexual </w:t>
            </w:r>
            <w:proofErr w:type="gramStart"/>
            <w:r w:rsidRPr="6B451021">
              <w:rPr>
                <w:rFonts w:ascii="Arial" w:eastAsia="Arial" w:hAnsi="Arial" w:cs="Arial"/>
                <w:color w:val="000000" w:themeColor="text1"/>
              </w:rPr>
              <w:t>para  pessoas</w:t>
            </w:r>
            <w:proofErr w:type="gramEnd"/>
            <w:r w:rsidRPr="6B451021">
              <w:rPr>
                <w:rFonts w:ascii="Arial" w:eastAsia="Arial" w:hAnsi="Arial" w:cs="Arial"/>
                <w:color w:val="000000" w:themeColor="text1"/>
              </w:rPr>
              <w:t xml:space="preserve">  que  não  sentem atração por nenhum dos gêneros. (p. 2)</w:t>
            </w:r>
          </w:p>
          <w:p w14:paraId="5D819145" w14:textId="1B691E92" w:rsidR="6B451021" w:rsidRDefault="6B451021" w:rsidP="6B451021">
            <w:pPr>
              <w:spacing w:after="0"/>
              <w:rPr>
                <w:rFonts w:ascii="Arial" w:eastAsia="Arial" w:hAnsi="Arial" w:cs="Arial"/>
                <w:color w:val="000000" w:themeColor="text1"/>
              </w:rPr>
            </w:pPr>
            <w:r w:rsidRPr="6B451021">
              <w:rPr>
                <w:rFonts w:ascii="Arial" w:eastAsia="Arial" w:hAnsi="Arial" w:cs="Arial"/>
                <w:b/>
                <w:bCs/>
                <w:color w:val="000000" w:themeColor="text1"/>
              </w:rPr>
              <w:t xml:space="preserve">Gênero: </w:t>
            </w:r>
            <w:r w:rsidRPr="6B451021">
              <w:rPr>
                <w:rFonts w:ascii="Arial" w:eastAsia="Arial" w:hAnsi="Arial" w:cs="Arial"/>
                <w:color w:val="000000" w:themeColor="text1"/>
              </w:rPr>
              <w:t xml:space="preserve">Definida como característica socialmente adquirida com base em comportamentos e aspectos culturalmente atribuídos a cada sexo biológico, tratando-se   de uma classificação pessoal de identidade. </w:t>
            </w:r>
            <w:proofErr w:type="gramStart"/>
            <w:r w:rsidRPr="6B451021">
              <w:rPr>
                <w:rFonts w:ascii="Arial" w:eastAsia="Arial" w:hAnsi="Arial" w:cs="Arial"/>
                <w:color w:val="000000" w:themeColor="text1"/>
              </w:rPr>
              <w:t>Essa  identificação</w:t>
            </w:r>
            <w:proofErr w:type="gramEnd"/>
            <w:r w:rsidRPr="6B451021">
              <w:rPr>
                <w:rFonts w:ascii="Arial" w:eastAsia="Arial" w:hAnsi="Arial" w:cs="Arial"/>
                <w:color w:val="000000" w:themeColor="text1"/>
              </w:rPr>
              <w:t xml:space="preserve">  </w:t>
            </w:r>
            <w:r w:rsidRPr="6B451021">
              <w:rPr>
                <w:rFonts w:ascii="Arial" w:eastAsia="Arial" w:hAnsi="Arial" w:cs="Arial"/>
                <w:color w:val="000000" w:themeColor="text1"/>
              </w:rPr>
              <w:lastRenderedPageBreak/>
              <w:t>podendo  ou  não  ser  concordante  com  a  expressão  atribuída  ao  seu  gênero  de nascimento, que é baseada no sexo. (p. 2)</w:t>
            </w:r>
          </w:p>
        </w:tc>
      </w:tr>
    </w:tbl>
    <w:p w14:paraId="57203ABB" w14:textId="12705A4B" w:rsidR="00D86282" w:rsidRDefault="02193789" w:rsidP="6B451021">
      <w:pPr>
        <w:spacing w:after="0"/>
        <w:rPr>
          <w:rFonts w:ascii="Times New Roman" w:eastAsia="Times New Roman" w:hAnsi="Times New Roman" w:cs="Times New Roman"/>
        </w:rPr>
      </w:pPr>
      <w:r w:rsidRPr="6B451021">
        <w:rPr>
          <w:rFonts w:ascii="Times New Roman" w:eastAsia="Times New Roman" w:hAnsi="Times New Roman" w:cs="Times New Roman"/>
        </w:rPr>
        <w:lastRenderedPageBreak/>
        <w:t xml:space="preserve"> </w:t>
      </w:r>
    </w:p>
    <w:p w14:paraId="244EE391" w14:textId="31AF9171" w:rsidR="00D86282" w:rsidRDefault="02193789" w:rsidP="6B451021">
      <w:pPr>
        <w:spacing w:after="0"/>
      </w:pPr>
      <w:r w:rsidRPr="6B451021">
        <w:rPr>
          <w:rFonts w:ascii="Arial" w:eastAsia="Arial" w:hAnsi="Arial" w:cs="Arial"/>
          <w:color w:val="000000" w:themeColor="text1"/>
        </w:rPr>
        <w:t xml:space="preserve">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796"/>
      </w:tblGrid>
      <w:tr w:rsidR="6B451021" w14:paraId="1506E888" w14:textId="77777777" w:rsidTr="6B451021">
        <w:trPr>
          <w:trHeight w:val="300"/>
        </w:trPr>
        <w:tc>
          <w:tcPr>
            <w:tcW w:w="87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16538" w14:textId="1B8A30FB" w:rsidR="6B451021" w:rsidRDefault="6B451021" w:rsidP="6B451021">
            <w:pPr>
              <w:spacing w:after="0"/>
            </w:pPr>
            <w:r w:rsidRPr="6B451021">
              <w:rPr>
                <w:rFonts w:ascii="Arial" w:eastAsia="Arial" w:hAnsi="Arial" w:cs="Arial"/>
                <w:color w:val="000000" w:themeColor="text1"/>
              </w:rPr>
              <w:t>Homofobia internalizada: o preconceito do homossexual contra si mesmo</w:t>
            </w:r>
          </w:p>
        </w:tc>
      </w:tr>
      <w:tr w:rsidR="6B451021" w14:paraId="7AE5E7BC" w14:textId="77777777" w:rsidTr="6B451021">
        <w:trPr>
          <w:trHeight w:val="300"/>
        </w:trPr>
        <w:tc>
          <w:tcPr>
            <w:tcW w:w="87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EA023" w14:textId="105E1F1E" w:rsidR="6B451021" w:rsidRDefault="6B451021" w:rsidP="6B451021">
            <w:pPr>
              <w:spacing w:after="0"/>
            </w:pPr>
            <w:r w:rsidRPr="6B451021">
              <w:rPr>
                <w:rFonts w:ascii="Arial" w:eastAsia="Arial" w:hAnsi="Arial" w:cs="Arial"/>
                <w:color w:val="000000" w:themeColor="text1"/>
              </w:rPr>
              <w:t xml:space="preserve">ANTUNES, Pedro Paulo </w:t>
            </w:r>
            <w:proofErr w:type="spellStart"/>
            <w:r w:rsidRPr="6B451021">
              <w:rPr>
                <w:rFonts w:ascii="Arial" w:eastAsia="Arial" w:hAnsi="Arial" w:cs="Arial"/>
                <w:color w:val="000000" w:themeColor="text1"/>
              </w:rPr>
              <w:t>Sammarco</w:t>
            </w:r>
            <w:proofErr w:type="spellEnd"/>
            <w:r w:rsidRPr="6B451021">
              <w:rPr>
                <w:rFonts w:ascii="Arial" w:eastAsia="Arial" w:hAnsi="Arial" w:cs="Arial"/>
                <w:color w:val="000000" w:themeColor="text1"/>
              </w:rPr>
              <w:t xml:space="preserve"> et al. Homofobia internalizada: o preconceito do homossexual contra si mesmo. São Paulo: Annablume, 2017.</w:t>
            </w:r>
          </w:p>
        </w:tc>
      </w:tr>
      <w:tr w:rsidR="6B451021" w14:paraId="156DCAF5" w14:textId="77777777" w:rsidTr="6B451021">
        <w:trPr>
          <w:trHeight w:val="300"/>
        </w:trPr>
        <w:tc>
          <w:tcPr>
            <w:tcW w:w="87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1B69C" w14:textId="5DADA9E8" w:rsidR="6B451021" w:rsidRDefault="6B451021" w:rsidP="6B451021">
            <w:pPr>
              <w:spacing w:after="0"/>
            </w:pPr>
            <w:r w:rsidRPr="6B451021">
              <w:rPr>
                <w:rFonts w:ascii="Arial" w:eastAsia="Arial" w:hAnsi="Arial" w:cs="Arial"/>
                <w:b/>
                <w:bCs/>
                <w:color w:val="000000" w:themeColor="text1"/>
              </w:rPr>
              <w:t xml:space="preserve">Internalizar: </w:t>
            </w:r>
            <w:r w:rsidRPr="6B451021">
              <w:rPr>
                <w:rFonts w:ascii="Arial" w:eastAsia="Arial" w:hAnsi="Arial" w:cs="Arial"/>
                <w:color w:val="000000" w:themeColor="text1"/>
              </w:rPr>
              <w:t xml:space="preserve">Processo psicológico pelo qual um indivíduo incorpora comportamentos, crenças, atitudes e padrões culturais, tendo em vista recompensas ou punições decorrentes de segui-los ou não. Normalmente, quem passa pela internalização é influenciado por um </w:t>
            </w:r>
            <w:proofErr w:type="gramStart"/>
            <w:r w:rsidRPr="6B451021">
              <w:rPr>
                <w:rFonts w:ascii="Arial" w:eastAsia="Arial" w:hAnsi="Arial" w:cs="Arial"/>
                <w:color w:val="000000" w:themeColor="text1"/>
              </w:rPr>
              <w:t>grupo  e</w:t>
            </w:r>
            <w:proofErr w:type="gramEnd"/>
            <w:r w:rsidRPr="6B451021">
              <w:rPr>
                <w:rFonts w:ascii="Arial" w:eastAsia="Arial" w:hAnsi="Arial" w:cs="Arial"/>
                <w:color w:val="000000" w:themeColor="text1"/>
              </w:rPr>
              <w:t xml:space="preserve"> tem como objetivo a aceitação social. (p.2)</w:t>
            </w:r>
          </w:p>
          <w:p w14:paraId="03F4066D" w14:textId="75B93039" w:rsidR="6B451021" w:rsidRDefault="6B451021" w:rsidP="6B451021">
            <w:pPr>
              <w:spacing w:after="0"/>
            </w:pPr>
            <w:r w:rsidRPr="6B451021">
              <w:rPr>
                <w:rFonts w:ascii="Arial" w:eastAsia="Arial" w:hAnsi="Arial" w:cs="Arial"/>
                <w:b/>
                <w:bCs/>
                <w:color w:val="000000" w:themeColor="text1"/>
              </w:rPr>
              <w:t xml:space="preserve">Introjeção: </w:t>
            </w:r>
            <w:r w:rsidRPr="6B451021">
              <w:rPr>
                <w:rFonts w:ascii="Arial" w:eastAsia="Arial" w:hAnsi="Arial" w:cs="Arial"/>
                <w:color w:val="000000" w:themeColor="text1"/>
              </w:rPr>
              <w:t xml:space="preserve">Conceito que é descrito pelo psicólogo alemão Frederich </w:t>
            </w:r>
            <w:proofErr w:type="spellStart"/>
            <w:r w:rsidRPr="6B451021">
              <w:rPr>
                <w:rFonts w:ascii="Arial" w:eastAsia="Arial" w:hAnsi="Arial" w:cs="Arial"/>
                <w:color w:val="000000" w:themeColor="text1"/>
              </w:rPr>
              <w:t>Perls</w:t>
            </w:r>
            <w:proofErr w:type="spellEnd"/>
            <w:r w:rsidRPr="6B451021">
              <w:rPr>
                <w:rFonts w:ascii="Arial" w:eastAsia="Arial" w:hAnsi="Arial" w:cs="Arial"/>
                <w:color w:val="000000" w:themeColor="text1"/>
              </w:rPr>
              <w:t xml:space="preserve"> como o ato “engolir tudo sem mastigar”, que define o mecanismo pelo qual as pessoas adquirem crenças e pensamentos que não são os seus. Esse processo também poderia ser definido como a assimilação passiva de crenças sem análise crítica. (p.2)</w:t>
            </w:r>
          </w:p>
          <w:p w14:paraId="166A6F73" w14:textId="3557E016" w:rsidR="6B451021" w:rsidRDefault="6B451021" w:rsidP="6B451021">
            <w:pPr>
              <w:spacing w:after="0"/>
            </w:pPr>
            <w:proofErr w:type="spellStart"/>
            <w:r w:rsidRPr="6B451021">
              <w:rPr>
                <w:rFonts w:ascii="Arial" w:eastAsia="Arial" w:hAnsi="Arial" w:cs="Arial"/>
                <w:b/>
                <w:bCs/>
                <w:color w:val="000000" w:themeColor="text1"/>
              </w:rPr>
              <w:t>Introjetos</w:t>
            </w:r>
            <w:proofErr w:type="spellEnd"/>
            <w:r w:rsidRPr="6B451021">
              <w:rPr>
                <w:rFonts w:ascii="Arial" w:eastAsia="Arial" w:hAnsi="Arial" w:cs="Arial"/>
                <w:b/>
                <w:bCs/>
                <w:color w:val="000000" w:themeColor="text1"/>
              </w:rPr>
              <w:t>:</w:t>
            </w:r>
            <w:r w:rsidRPr="6B451021">
              <w:rPr>
                <w:rFonts w:ascii="Arial" w:eastAsia="Arial" w:hAnsi="Arial" w:cs="Arial"/>
                <w:color w:val="000000" w:themeColor="text1"/>
              </w:rPr>
              <w:t xml:space="preserve"> Crença ou valor que foi internalizado como verdade sem questionamento. (p.2)</w:t>
            </w:r>
          </w:p>
          <w:p w14:paraId="2CD23D72" w14:textId="04758A8E" w:rsidR="6B451021" w:rsidRDefault="6B451021" w:rsidP="6B451021">
            <w:pPr>
              <w:spacing w:after="0"/>
            </w:pPr>
            <w:r w:rsidRPr="6B451021">
              <w:rPr>
                <w:rFonts w:ascii="Arial" w:eastAsia="Arial" w:hAnsi="Arial" w:cs="Arial"/>
                <w:b/>
                <w:bCs/>
                <w:color w:val="000000" w:themeColor="text1"/>
              </w:rPr>
              <w:t>Internalização da Homofobia:</w:t>
            </w:r>
            <w:r w:rsidRPr="6B451021">
              <w:rPr>
                <w:rFonts w:ascii="Arial" w:eastAsia="Arial" w:hAnsi="Arial" w:cs="Arial"/>
                <w:color w:val="000000" w:themeColor="text1"/>
              </w:rPr>
              <w:t xml:space="preserve"> Seria a aversão que uma pessoa homossexual pode ter por si mesma em decorrência de </w:t>
            </w:r>
            <w:proofErr w:type="spellStart"/>
            <w:r w:rsidRPr="6B451021">
              <w:rPr>
                <w:rFonts w:ascii="Arial" w:eastAsia="Arial" w:hAnsi="Arial" w:cs="Arial"/>
                <w:color w:val="000000" w:themeColor="text1"/>
              </w:rPr>
              <w:t>introjetos</w:t>
            </w:r>
            <w:proofErr w:type="spellEnd"/>
            <w:r w:rsidRPr="6B451021">
              <w:rPr>
                <w:rFonts w:ascii="Arial" w:eastAsia="Arial" w:hAnsi="Arial" w:cs="Arial"/>
                <w:color w:val="000000" w:themeColor="text1"/>
              </w:rPr>
              <w:t>. Pode levar o sujeito homossexual a fazer questionamentos sobre o seu próprio valor, faze-lo sentir repulsa de si mesmo, e até mesmo leva-lo a autodestruição. (p.3)</w:t>
            </w:r>
          </w:p>
        </w:tc>
      </w:tr>
    </w:tbl>
    <w:p w14:paraId="44F31168" w14:textId="554FF70F" w:rsidR="00D86282" w:rsidRDefault="02193789" w:rsidP="6B451021">
      <w:pPr>
        <w:spacing w:after="0"/>
      </w:pPr>
      <w:r w:rsidRPr="6B451021">
        <w:rPr>
          <w:rFonts w:ascii="Times New Roman" w:eastAsia="Times New Roman" w:hAnsi="Times New Roman" w:cs="Times New Roman"/>
        </w:rPr>
        <w:t xml:space="preserve"> </w:t>
      </w:r>
    </w:p>
    <w:p w14:paraId="1D882281" w14:textId="0437D75E" w:rsidR="00D86282" w:rsidRDefault="02193789" w:rsidP="6B451021">
      <w:pPr>
        <w:spacing w:after="0"/>
      </w:pPr>
      <w:r w:rsidRPr="6B451021">
        <w:rPr>
          <w:rFonts w:ascii="Arial" w:eastAsia="Arial" w:hAnsi="Arial" w:cs="Arial"/>
          <w:color w:val="000000" w:themeColor="text1"/>
        </w:rPr>
        <w:t xml:space="preserve">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796"/>
      </w:tblGrid>
      <w:tr w:rsidR="6B451021" w14:paraId="30A54FF1" w14:textId="77777777" w:rsidTr="6B451021">
        <w:trPr>
          <w:trHeight w:val="300"/>
        </w:trPr>
        <w:tc>
          <w:tcPr>
            <w:tcW w:w="87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02825" w14:textId="19BC8A54" w:rsidR="6B451021" w:rsidRDefault="6B451021" w:rsidP="6B451021">
            <w:pPr>
              <w:spacing w:after="0"/>
            </w:pPr>
            <w:r w:rsidRPr="6B451021">
              <w:rPr>
                <w:rFonts w:ascii="Arial" w:eastAsia="Arial" w:hAnsi="Arial" w:cs="Arial"/>
                <w:color w:val="000000" w:themeColor="text1"/>
              </w:rPr>
              <w:t>Preconceito e Exclusão: uma análise acerca da ausência de liberdade da minoria LGBT</w:t>
            </w:r>
          </w:p>
        </w:tc>
      </w:tr>
      <w:tr w:rsidR="6B451021" w14:paraId="696AD6BC" w14:textId="77777777" w:rsidTr="6B451021">
        <w:trPr>
          <w:trHeight w:val="300"/>
        </w:trPr>
        <w:tc>
          <w:tcPr>
            <w:tcW w:w="87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D0330" w14:textId="220BD723" w:rsidR="6B451021" w:rsidRDefault="6B451021" w:rsidP="6B451021">
            <w:pPr>
              <w:spacing w:after="0"/>
            </w:pPr>
            <w:r w:rsidRPr="6B451021">
              <w:rPr>
                <w:rFonts w:ascii="Arial" w:eastAsia="Arial" w:hAnsi="Arial" w:cs="Arial"/>
                <w:color w:val="000000" w:themeColor="text1"/>
              </w:rPr>
              <w:t>DUARTE, Vinícius. Preconceito e Exclusão: uma análise acerca da ausência de liberdade da minoria LGBT. In: Anais do Congresso Nacional Universidade, EAD e Software Livre. 2023.</w:t>
            </w:r>
          </w:p>
        </w:tc>
      </w:tr>
      <w:tr w:rsidR="6B451021" w14:paraId="46279A40" w14:textId="77777777" w:rsidTr="6B451021">
        <w:trPr>
          <w:trHeight w:val="300"/>
        </w:trPr>
        <w:tc>
          <w:tcPr>
            <w:tcW w:w="87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9D4DF" w14:textId="5729E2C5" w:rsidR="6B451021" w:rsidRDefault="6B451021" w:rsidP="6B451021">
            <w:pPr>
              <w:spacing w:after="0"/>
            </w:pPr>
            <w:r w:rsidRPr="6B451021">
              <w:rPr>
                <w:rFonts w:ascii="Arial" w:eastAsia="Arial" w:hAnsi="Arial" w:cs="Arial"/>
                <w:b/>
                <w:bCs/>
                <w:color w:val="000000" w:themeColor="text1"/>
              </w:rPr>
              <w:t xml:space="preserve">Minoria: </w:t>
            </w:r>
            <w:r w:rsidRPr="6B451021">
              <w:rPr>
                <w:rFonts w:ascii="Arial" w:eastAsia="Arial" w:hAnsi="Arial" w:cs="Arial"/>
                <w:color w:val="000000" w:themeColor="text1"/>
              </w:rPr>
              <w:t>É subgrupo existente dentro de uma sociedade que se considera e/ou é considerado diferente do grupo maior e/ou dominante, em razão de características étnicas, religiosas, ou de língua, costumes, nacionalidade etc., e que, por essa razão, não tem os mesmos direitos e/ou as mesmas oportunidades que o grupo majoritário, ou é alvo de discriminação ou preconceito</w:t>
            </w:r>
          </w:p>
          <w:p w14:paraId="2F9C897C" w14:textId="5C95E186" w:rsidR="6B451021" w:rsidRDefault="6B451021" w:rsidP="6B451021">
            <w:pPr>
              <w:spacing w:after="0"/>
            </w:pPr>
            <w:r w:rsidRPr="6B451021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042591C2" w14:textId="6B2D036C" w:rsidR="6B451021" w:rsidRDefault="6B451021" w:rsidP="6B451021">
            <w:pPr>
              <w:spacing w:after="0"/>
            </w:pPr>
            <w:r w:rsidRPr="6B451021">
              <w:rPr>
                <w:rFonts w:ascii="Arial" w:eastAsia="Arial" w:hAnsi="Arial" w:cs="Arial"/>
                <w:b/>
                <w:bCs/>
                <w:color w:val="000000" w:themeColor="text1"/>
              </w:rPr>
              <w:lastRenderedPageBreak/>
              <w:t>Exclusão</w:t>
            </w:r>
            <w:r w:rsidRPr="6B451021">
              <w:rPr>
                <w:rFonts w:ascii="Arial" w:eastAsia="Arial" w:hAnsi="Arial" w:cs="Arial"/>
                <w:color w:val="000000" w:themeColor="text1"/>
              </w:rPr>
              <w:t>: Se trata do ato que priva ou exclui alguém de determinadas funções; exclusiva</w:t>
            </w:r>
          </w:p>
        </w:tc>
      </w:tr>
    </w:tbl>
    <w:p w14:paraId="68D930B8" w14:textId="07F97990" w:rsidR="00D86282" w:rsidRDefault="02193789" w:rsidP="6B451021">
      <w:pPr>
        <w:spacing w:line="257" w:lineRule="auto"/>
      </w:pPr>
      <w:r w:rsidRPr="6B451021">
        <w:rPr>
          <w:rFonts w:ascii="Calibri" w:eastAsia="Calibri" w:hAnsi="Calibri" w:cs="Calibri"/>
          <w:sz w:val="22"/>
          <w:szCs w:val="22"/>
        </w:rPr>
        <w:lastRenderedPageBreak/>
        <w:t xml:space="preserve"> </w:t>
      </w:r>
    </w:p>
    <w:p w14:paraId="52C64FA8" w14:textId="4E4432CB" w:rsidR="00D86282" w:rsidRDefault="02193789" w:rsidP="6B451021">
      <w:pPr>
        <w:spacing w:line="257" w:lineRule="auto"/>
      </w:pPr>
      <w:r w:rsidRPr="6B451021">
        <w:rPr>
          <w:rFonts w:ascii="Calibri" w:eastAsia="Calibri" w:hAnsi="Calibri" w:cs="Calibri"/>
          <w:sz w:val="22"/>
          <w:szCs w:val="22"/>
          <w:highlight w:val="yellow"/>
        </w:rPr>
        <w:t>Sugestões para focar no trabalho (prevenção de crises emocionais)</w:t>
      </w:r>
    </w:p>
    <w:p w14:paraId="57E189E5" w14:textId="6963455A" w:rsidR="00D86282" w:rsidRDefault="02193789" w:rsidP="6B451021">
      <w:pPr>
        <w:spacing w:line="257" w:lineRule="auto"/>
      </w:pPr>
      <w:r w:rsidRPr="6B451021">
        <w:rPr>
          <w:rFonts w:ascii="Calibri" w:eastAsia="Calibri" w:hAnsi="Calibri" w:cs="Calibri"/>
          <w:sz w:val="22"/>
          <w:szCs w:val="22"/>
          <w:highlight w:val="yellow"/>
        </w:rPr>
        <w:t>Diário emocional digital, onde os jovens podem registrar seus sentimentos e acompanhar sua evolução emocional.</w:t>
      </w:r>
    </w:p>
    <w:p w14:paraId="4244ACE5" w14:textId="0B32B7F2" w:rsidR="00D86282" w:rsidRDefault="02193789" w:rsidP="6B451021">
      <w:pPr>
        <w:spacing w:line="257" w:lineRule="auto"/>
      </w:pPr>
      <w:r w:rsidRPr="6B451021">
        <w:rPr>
          <w:rFonts w:ascii="Calibri" w:eastAsia="Calibri" w:hAnsi="Calibri" w:cs="Calibri"/>
          <w:sz w:val="22"/>
          <w:szCs w:val="22"/>
          <w:highlight w:val="yellow"/>
        </w:rPr>
        <w:t>Questionários e autoavaliações sobre saúde mental, ajudando os jovens a identificarem padrões de comportamento preocupantes.</w:t>
      </w:r>
      <w:r w:rsidRPr="6B451021">
        <w:rPr>
          <w:rFonts w:ascii="Calibri" w:eastAsia="Calibri" w:hAnsi="Calibri" w:cs="Calibri"/>
          <w:sz w:val="22"/>
          <w:szCs w:val="22"/>
        </w:rPr>
        <w:t xml:space="preserve"> </w:t>
      </w:r>
    </w:p>
    <w:p w14:paraId="6EC44EDB" w14:textId="1EB63605" w:rsidR="00D86282" w:rsidRDefault="02193789" w:rsidP="6B451021">
      <w:pPr>
        <w:spacing w:line="257" w:lineRule="auto"/>
      </w:pPr>
      <w:r w:rsidRPr="6B451021">
        <w:rPr>
          <w:rFonts w:ascii="Calibri" w:eastAsia="Calibri" w:hAnsi="Calibri" w:cs="Calibri"/>
          <w:sz w:val="22"/>
          <w:szCs w:val="22"/>
          <w:highlight w:val="yellow"/>
        </w:rPr>
        <w:t>Dependendo da resposta do questionário podemos aplicar:</w:t>
      </w:r>
    </w:p>
    <w:p w14:paraId="0675208C" w14:textId="0F4761FD" w:rsidR="00D86282" w:rsidRDefault="02193789" w:rsidP="6B451021">
      <w:pPr>
        <w:pStyle w:val="PargrafodaLista"/>
        <w:numPr>
          <w:ilvl w:val="0"/>
          <w:numId w:val="1"/>
        </w:numPr>
        <w:spacing w:after="0" w:line="257" w:lineRule="auto"/>
        <w:rPr>
          <w:rFonts w:ascii="Calibri" w:eastAsia="Calibri" w:hAnsi="Calibri" w:cs="Calibri"/>
          <w:sz w:val="22"/>
          <w:szCs w:val="22"/>
          <w:highlight w:val="yellow"/>
        </w:rPr>
      </w:pPr>
      <w:r w:rsidRPr="6B451021">
        <w:rPr>
          <w:rFonts w:ascii="Calibri" w:eastAsia="Calibri" w:hAnsi="Calibri" w:cs="Calibri"/>
          <w:sz w:val="22"/>
          <w:szCs w:val="22"/>
          <w:highlight w:val="yellow"/>
        </w:rPr>
        <w:t>Técnicas práticas de respiração, meditação e exercícios de regulação emocional.</w:t>
      </w:r>
    </w:p>
    <w:p w14:paraId="38AE8420" w14:textId="4D43CADC" w:rsidR="00D86282" w:rsidRDefault="02193789" w:rsidP="6B451021">
      <w:pPr>
        <w:pStyle w:val="PargrafodaLista"/>
        <w:numPr>
          <w:ilvl w:val="0"/>
          <w:numId w:val="1"/>
        </w:numPr>
        <w:spacing w:after="0" w:line="257" w:lineRule="auto"/>
        <w:rPr>
          <w:rFonts w:ascii="Calibri" w:eastAsia="Calibri" w:hAnsi="Calibri" w:cs="Calibri"/>
          <w:sz w:val="22"/>
          <w:szCs w:val="22"/>
          <w:highlight w:val="yellow"/>
        </w:rPr>
      </w:pPr>
      <w:r w:rsidRPr="6B451021">
        <w:rPr>
          <w:rFonts w:ascii="Calibri" w:eastAsia="Calibri" w:hAnsi="Calibri" w:cs="Calibri"/>
          <w:sz w:val="22"/>
          <w:szCs w:val="22"/>
          <w:highlight w:val="yellow"/>
        </w:rPr>
        <w:t>Programa de desafios positivos (ex.: "Desafio do autocuidado", "Diário da gratidão") para incentivar hábitos saudáveis.</w:t>
      </w:r>
    </w:p>
    <w:p w14:paraId="67B1395F" w14:textId="30658323" w:rsidR="00D86282" w:rsidRDefault="02193789" w:rsidP="6B451021">
      <w:pPr>
        <w:spacing w:line="257" w:lineRule="auto"/>
      </w:pPr>
      <w:r w:rsidRPr="6B451021">
        <w:rPr>
          <w:rFonts w:ascii="Calibri" w:eastAsia="Calibri" w:hAnsi="Calibri" w:cs="Calibri"/>
          <w:sz w:val="22"/>
          <w:szCs w:val="22"/>
          <w:highlight w:val="yellow"/>
        </w:rPr>
        <w:t>Caso possua um fórum de discussão, deve ter obrigatoriamente: Moderação ativa para evitar discurso de ódio e promover um ambiente acolhedor.</w:t>
      </w:r>
    </w:p>
    <w:p w14:paraId="0ABF8E9B" w14:textId="437FE3F3" w:rsidR="00D86282" w:rsidRDefault="00D86282" w:rsidP="6B451021">
      <w:pPr>
        <w:spacing w:after="0"/>
      </w:pPr>
    </w:p>
    <w:p w14:paraId="1E207724" w14:textId="6C7A474B" w:rsidR="00D86282" w:rsidRDefault="00D86282"/>
    <w:sectPr w:rsidR="00D8628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E2B3D"/>
    <w:multiLevelType w:val="hybridMultilevel"/>
    <w:tmpl w:val="D17E7300"/>
    <w:lvl w:ilvl="0" w:tplc="3B0E1B56">
      <w:start w:val="1"/>
      <w:numFmt w:val="decimal"/>
      <w:lvlText w:val="%1."/>
      <w:lvlJc w:val="left"/>
      <w:pPr>
        <w:ind w:left="720" w:hanging="360"/>
      </w:pPr>
    </w:lvl>
    <w:lvl w:ilvl="1" w:tplc="F1E472B6">
      <w:start w:val="1"/>
      <w:numFmt w:val="lowerLetter"/>
      <w:lvlText w:val="%2."/>
      <w:lvlJc w:val="left"/>
      <w:pPr>
        <w:ind w:left="1440" w:hanging="360"/>
      </w:pPr>
    </w:lvl>
    <w:lvl w:ilvl="2" w:tplc="2FD45FE8">
      <w:start w:val="1"/>
      <w:numFmt w:val="lowerRoman"/>
      <w:lvlText w:val="%3."/>
      <w:lvlJc w:val="right"/>
      <w:pPr>
        <w:ind w:left="2160" w:hanging="180"/>
      </w:pPr>
    </w:lvl>
    <w:lvl w:ilvl="3" w:tplc="9F865C66">
      <w:start w:val="1"/>
      <w:numFmt w:val="decimal"/>
      <w:lvlText w:val="%4."/>
      <w:lvlJc w:val="left"/>
      <w:pPr>
        <w:ind w:left="2880" w:hanging="360"/>
      </w:pPr>
    </w:lvl>
    <w:lvl w:ilvl="4" w:tplc="37785936">
      <w:start w:val="1"/>
      <w:numFmt w:val="lowerLetter"/>
      <w:lvlText w:val="%5."/>
      <w:lvlJc w:val="left"/>
      <w:pPr>
        <w:ind w:left="3600" w:hanging="360"/>
      </w:pPr>
    </w:lvl>
    <w:lvl w:ilvl="5" w:tplc="CFEAC6CE">
      <w:start w:val="1"/>
      <w:numFmt w:val="lowerRoman"/>
      <w:lvlText w:val="%6."/>
      <w:lvlJc w:val="right"/>
      <w:pPr>
        <w:ind w:left="4320" w:hanging="180"/>
      </w:pPr>
    </w:lvl>
    <w:lvl w:ilvl="6" w:tplc="632E6FEC">
      <w:start w:val="1"/>
      <w:numFmt w:val="decimal"/>
      <w:lvlText w:val="%7."/>
      <w:lvlJc w:val="left"/>
      <w:pPr>
        <w:ind w:left="5040" w:hanging="360"/>
      </w:pPr>
    </w:lvl>
    <w:lvl w:ilvl="7" w:tplc="3072CE1A">
      <w:start w:val="1"/>
      <w:numFmt w:val="lowerLetter"/>
      <w:lvlText w:val="%8."/>
      <w:lvlJc w:val="left"/>
      <w:pPr>
        <w:ind w:left="5760" w:hanging="360"/>
      </w:pPr>
    </w:lvl>
    <w:lvl w:ilvl="8" w:tplc="6D944DC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CDCFE2"/>
    <w:multiLevelType w:val="hybridMultilevel"/>
    <w:tmpl w:val="2696AFBC"/>
    <w:lvl w:ilvl="0" w:tplc="4B9292A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21605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2285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56FE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0CE0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D003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AC36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E4CB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BC5E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1796372">
    <w:abstractNumId w:val="1"/>
  </w:num>
  <w:num w:numId="2" w16cid:durableId="1328747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FB92E7D"/>
    <w:rsid w:val="0006021D"/>
    <w:rsid w:val="00150835"/>
    <w:rsid w:val="00267191"/>
    <w:rsid w:val="007F6469"/>
    <w:rsid w:val="009A4D4E"/>
    <w:rsid w:val="00D86282"/>
    <w:rsid w:val="00EC5E08"/>
    <w:rsid w:val="02193789"/>
    <w:rsid w:val="273E3153"/>
    <w:rsid w:val="2844F280"/>
    <w:rsid w:val="2A006253"/>
    <w:rsid w:val="2FB76887"/>
    <w:rsid w:val="345855A7"/>
    <w:rsid w:val="51295B85"/>
    <w:rsid w:val="56204DF3"/>
    <w:rsid w:val="5970A3DE"/>
    <w:rsid w:val="5A8C5960"/>
    <w:rsid w:val="5FB92E7D"/>
    <w:rsid w:val="6B451021"/>
    <w:rsid w:val="6F4C0EC2"/>
    <w:rsid w:val="765ADCB2"/>
    <w:rsid w:val="775C1823"/>
    <w:rsid w:val="787F3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92E7D"/>
  <w15:chartTrackingRefBased/>
  <w15:docId w15:val="{7C609876-10D1-4D99-B58C-8F782A57E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6B451021"/>
    <w:pPr>
      <w:ind w:left="720"/>
      <w:contextualSpacing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6606353F9573459ABF90424262332D" ma:contentTypeVersion="3" ma:contentTypeDescription="Create a new document." ma:contentTypeScope="" ma:versionID="1b18b46ef2f491944108c2d1ada629a7">
  <xsd:schema xmlns:xsd="http://www.w3.org/2001/XMLSchema" xmlns:xs="http://www.w3.org/2001/XMLSchema" xmlns:p="http://schemas.microsoft.com/office/2006/metadata/properties" xmlns:ns2="62f765a4-129e-4b96-9cf7-8f59bf5a6f1f" targetNamespace="http://schemas.microsoft.com/office/2006/metadata/properties" ma:root="true" ma:fieldsID="437c9c1f6a2e1499c2466f9a5ab2548e" ns2:_="">
    <xsd:import namespace="62f765a4-129e-4b96-9cf7-8f59bf5a6f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f765a4-129e-4b96-9cf7-8f59bf5a6f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67DCC2B-ECD2-42A6-BAD0-7A89A30FD6FE}"/>
</file>

<file path=customXml/itemProps2.xml><?xml version="1.0" encoding="utf-8"?>
<ds:datastoreItem xmlns:ds="http://schemas.openxmlformats.org/officeDocument/2006/customXml" ds:itemID="{9FDA20A2-5FAD-412C-BD3A-86DB891D32A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CC8C2B9-533F-407E-8061-6485B87CF8F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1112</Words>
  <Characters>6008</Characters>
  <Application>Microsoft Office Word</Application>
  <DocSecurity>0</DocSecurity>
  <Lines>50</Lines>
  <Paragraphs>14</Paragraphs>
  <ScaleCrop>false</ScaleCrop>
  <Company/>
  <LinksUpToDate>false</LinksUpToDate>
  <CharactersWithSpaces>7106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JHENYFFER VIEIRA DE OLIVEIRA</dc:creator>
  <cp:keywords/>
  <dc:description/>
  <cp:lastModifiedBy>BarbaraPorfirio</cp:lastModifiedBy>
  <cp:revision>5</cp:revision>
  <dcterms:created xsi:type="dcterms:W3CDTF">2025-04-02T11:40:00Z</dcterms:created>
  <dcterms:modified xsi:type="dcterms:W3CDTF">2025-04-12T19:24:00Z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0x0101003C6606353F9573459ABF90424262332D</vt:lpwstr>
  </property>
</Properties>
</file>