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E76A9" w14:textId="048AB7B3" w:rsidR="00041D3B" w:rsidRPr="003B637E" w:rsidRDefault="00C17101">
      <w:pPr>
        <w:rPr>
          <w:rFonts w:ascii="Helvetica" w:hAnsi="Helvetica" w:cs="Times New Roman"/>
          <w:b/>
          <w:bCs/>
          <w:lang w:val="en-US"/>
        </w:rPr>
      </w:pPr>
      <w:r w:rsidRPr="00C17101">
        <w:rPr>
          <w:rFonts w:ascii="Helvetica" w:hAnsi="Helvetica" w:cs="Times New Roman"/>
          <w:lang w:val="en-US"/>
        </w:rPr>
        <w:t xml:space="preserve">I am trying to understanding Mike’s and Stuart’s result that we should not test </w:t>
      </w:r>
      <w:r w:rsidRPr="00C17101">
        <w:rPr>
          <w:rFonts w:ascii="Times New Roman" w:hAnsi="Times New Roman" w:cs="Times New Roman"/>
          <w:lang w:val="en-US"/>
        </w:rPr>
        <w:t>15 dB</w:t>
      </w:r>
      <w:r w:rsidRPr="00C17101">
        <w:rPr>
          <w:rFonts w:ascii="Helvetica" w:hAnsi="Helvetica" w:cs="Times New Roman"/>
          <w:lang w:val="en-US"/>
        </w:rPr>
        <w:t xml:space="preserve"> below mean normal in the HFA. I have been too hanged up on the dB that I have never fully tried to understand what it means.</w:t>
      </w:r>
      <w:r w:rsidR="00041D3B">
        <w:rPr>
          <w:rFonts w:ascii="Helvetica" w:hAnsi="Helvetica" w:cs="Times New Roman"/>
          <w:lang w:val="en-US"/>
        </w:rPr>
        <w:t xml:space="preserve"> Gardiner et al claimed that we lose nothing if we censor values below 10 dB and very little if the floor is brought up to 15 dB or to 20 dB. Wall et al claimed that we lose little to nothing if the floor is 20 dB. </w:t>
      </w:r>
      <w:r w:rsidR="00041D3B" w:rsidRPr="003B637E">
        <w:rPr>
          <w:rFonts w:ascii="Helvetica" w:hAnsi="Helvetica" w:cs="Times New Roman"/>
          <w:b/>
          <w:bCs/>
          <w:lang w:val="en-US"/>
        </w:rPr>
        <w:t xml:space="preserve">But what does this mean in terms of </w:t>
      </w:r>
      <w:r w:rsidR="004C39A5">
        <w:rPr>
          <w:rFonts w:ascii="Helvetica" w:hAnsi="Helvetica" w:cs="Times New Roman"/>
          <w:b/>
          <w:bCs/>
          <w:lang w:val="en-US"/>
        </w:rPr>
        <w:t xml:space="preserve">maximum </w:t>
      </w:r>
      <w:r w:rsidR="00041D3B" w:rsidRPr="003B637E">
        <w:rPr>
          <w:rFonts w:ascii="Helvetica" w:hAnsi="Helvetica" w:cs="Times New Roman"/>
          <w:b/>
          <w:bCs/>
          <w:lang w:val="en-US"/>
        </w:rPr>
        <w:t xml:space="preserve">stimulus </w:t>
      </w:r>
      <w:r w:rsidR="009A67B0" w:rsidRPr="003B637E">
        <w:rPr>
          <w:rFonts w:ascii="Helvetica" w:hAnsi="Helvetica" w:cs="Times New Roman"/>
          <w:b/>
          <w:bCs/>
          <w:lang w:val="en-US"/>
        </w:rPr>
        <w:t>luminance</w:t>
      </w:r>
      <w:r w:rsidR="00F4207A">
        <w:rPr>
          <w:rFonts w:ascii="Helvetica" w:hAnsi="Helvetica" w:cs="Times New Roman"/>
          <w:b/>
          <w:bCs/>
          <w:lang w:val="en-US"/>
        </w:rPr>
        <w:t xml:space="preserve"> to be used</w:t>
      </w:r>
      <w:r w:rsidR="00041D3B" w:rsidRPr="003B637E">
        <w:rPr>
          <w:rFonts w:ascii="Helvetica" w:hAnsi="Helvetica" w:cs="Times New Roman"/>
          <w:b/>
          <w:bCs/>
          <w:lang w:val="en-US"/>
        </w:rPr>
        <w:t>?</w:t>
      </w:r>
    </w:p>
    <w:p w14:paraId="60CE6DB2" w14:textId="082B52B0" w:rsidR="00041D3B" w:rsidRDefault="00041D3B">
      <w:pPr>
        <w:rPr>
          <w:rFonts w:ascii="Helvetica" w:hAnsi="Helvetica" w:cs="Times New Roman"/>
          <w:lang w:val="en-US"/>
        </w:rPr>
      </w:pPr>
    </w:p>
    <w:p w14:paraId="396C3B4A" w14:textId="5A2E3C71" w:rsidR="00041D3B" w:rsidRDefault="00041D3B">
      <w:pPr>
        <w:rPr>
          <w:rFonts w:ascii="Helvetica" w:hAnsi="Helvetica" w:cs="Times New Roman"/>
          <w:lang w:val="en-US"/>
        </w:rPr>
      </w:pPr>
      <w:r>
        <w:rPr>
          <w:rFonts w:ascii="Helvetica" w:hAnsi="Helvetica" w:cs="Times New Roman"/>
          <w:lang w:val="en-US"/>
        </w:rPr>
        <w:t>Both papers are based on measurements with HFA, which has the following parameters</w:t>
      </w:r>
      <w:r w:rsidR="009A67B0">
        <w:rPr>
          <w:rFonts w:ascii="Helvetica" w:hAnsi="Helvetica" w:cs="Times New Roman"/>
          <w:lang w:val="en-US"/>
        </w:rPr>
        <w:t xml:space="preserve"> [1]</w:t>
      </w:r>
      <w:r>
        <w:rPr>
          <w:rFonts w:ascii="Helvetica" w:hAnsi="Helvetica" w:cs="Times New Roman"/>
          <w:lang w:val="en-US"/>
        </w:rPr>
        <w:t>:</w:t>
      </w:r>
    </w:p>
    <w:p w14:paraId="0C4675D7" w14:textId="601D4619" w:rsidR="00C17101" w:rsidRPr="00041D3B" w:rsidRDefault="00C17101" w:rsidP="00041D3B">
      <w:pPr>
        <w:pStyle w:val="ListParagraph"/>
        <w:numPr>
          <w:ilvl w:val="0"/>
          <w:numId w:val="1"/>
        </w:numPr>
        <w:rPr>
          <w:rFonts w:ascii="Times New Roman" w:hAnsi="Times New Roman" w:cs="Times New Roman"/>
          <w:lang w:val="en-US"/>
        </w:rPr>
      </w:pPr>
      <w:r w:rsidRPr="00041D3B">
        <w:rPr>
          <w:rFonts w:ascii="Helvetica" w:hAnsi="Helvetica" w:cs="Times New Roman"/>
          <w:lang w:val="en-US"/>
        </w:rPr>
        <w:t xml:space="preserve">Maximum luminance: </w:t>
      </w:r>
      <w:proofErr w:type="spellStart"/>
      <w:r w:rsidRPr="00041D3B">
        <w:rPr>
          <w:rFonts w:ascii="Times New Roman" w:hAnsi="Times New Roman" w:cs="Times New Roman"/>
          <w:i/>
          <w:iCs/>
          <w:lang w:val="en-US"/>
        </w:rPr>
        <w:t>L</w:t>
      </w:r>
      <w:r w:rsidRPr="00041D3B">
        <w:rPr>
          <w:rFonts w:ascii="Times New Roman" w:hAnsi="Times New Roman" w:cs="Times New Roman"/>
          <w:vertAlign w:val="subscript"/>
          <w:lang w:val="en-US"/>
        </w:rPr>
        <w:t>max</w:t>
      </w:r>
      <w:proofErr w:type="spellEnd"/>
      <w:r w:rsidRPr="00041D3B">
        <w:rPr>
          <w:rFonts w:ascii="Times New Roman" w:hAnsi="Times New Roman" w:cs="Times New Roman"/>
          <w:lang w:val="en-US"/>
        </w:rPr>
        <w:t xml:space="preserve"> = 10000 / </w:t>
      </w:r>
      <w:r w:rsidR="00A01F95" w:rsidRPr="00041D3B">
        <w:rPr>
          <w:rFonts w:ascii="Cambria Math" w:hAnsi="Cambria Math" w:cs="Times New Roman"/>
          <w:lang w:val="en-US"/>
        </w:rPr>
        <w:t xml:space="preserve">𝛑 </w:t>
      </w:r>
      <w:r w:rsidRPr="00041D3B">
        <w:rPr>
          <w:rFonts w:ascii="Times New Roman" w:hAnsi="Times New Roman" w:cs="Times New Roman"/>
          <w:lang w:val="en-US"/>
        </w:rPr>
        <w:t>cd m</w:t>
      </w:r>
      <w:r w:rsidRPr="00041D3B">
        <w:rPr>
          <w:rFonts w:ascii="Times New Roman" w:hAnsi="Times New Roman" w:cs="Times New Roman"/>
          <w:vertAlign w:val="superscript"/>
          <w:lang w:val="en-US"/>
        </w:rPr>
        <w:t>-2</w:t>
      </w:r>
      <w:r w:rsidR="00A01F95" w:rsidRPr="00041D3B">
        <w:rPr>
          <w:rFonts w:ascii="Times New Roman" w:hAnsi="Times New Roman" w:cs="Times New Roman"/>
          <w:lang w:val="en-US"/>
        </w:rPr>
        <w:t xml:space="preserve"> </w:t>
      </w:r>
      <w:r w:rsidR="00A01F95" w:rsidRPr="00041D3B">
        <w:rPr>
          <w:rFonts w:ascii="Times New Roman" w:hAnsi="Times New Roman" w:cs="Times New Roman"/>
          <w:lang w:val="en-US"/>
        </w:rPr>
        <w:t>= 3183</w:t>
      </w:r>
      <w:r w:rsidR="00A01F95" w:rsidRPr="00041D3B">
        <w:rPr>
          <w:rFonts w:ascii="Cambria Math" w:hAnsi="Cambria Math" w:cs="Times New Roman"/>
          <w:lang w:val="en-US"/>
        </w:rPr>
        <w:t xml:space="preserve"> </w:t>
      </w:r>
      <w:r w:rsidR="00A01F95" w:rsidRPr="00041D3B">
        <w:rPr>
          <w:rFonts w:ascii="Times New Roman" w:hAnsi="Times New Roman" w:cs="Times New Roman"/>
          <w:lang w:val="en-US"/>
        </w:rPr>
        <w:t>cd m</w:t>
      </w:r>
      <w:r w:rsidR="00A01F95" w:rsidRPr="00041D3B">
        <w:rPr>
          <w:rFonts w:ascii="Times New Roman" w:hAnsi="Times New Roman" w:cs="Times New Roman"/>
          <w:vertAlign w:val="superscript"/>
          <w:lang w:val="en-US"/>
        </w:rPr>
        <w:t>-</w:t>
      </w:r>
      <w:proofErr w:type="gramStart"/>
      <w:r w:rsidR="00A01F95" w:rsidRPr="00041D3B">
        <w:rPr>
          <w:rFonts w:ascii="Times New Roman" w:hAnsi="Times New Roman" w:cs="Times New Roman"/>
          <w:vertAlign w:val="superscript"/>
          <w:lang w:val="en-US"/>
        </w:rPr>
        <w:t>2</w:t>
      </w:r>
      <w:r w:rsidR="00041D3B" w:rsidRPr="00041D3B">
        <w:rPr>
          <w:rFonts w:ascii="Helvetica" w:hAnsi="Helvetica" w:cs="Times New Roman"/>
          <w:lang w:val="en-US"/>
        </w:rPr>
        <w:t xml:space="preserve"> </w:t>
      </w:r>
      <w:r w:rsidR="00041D3B">
        <w:rPr>
          <w:rFonts w:ascii="Helvetica" w:hAnsi="Helvetica" w:cs="Times New Roman"/>
          <w:lang w:val="en-US"/>
        </w:rPr>
        <w:t>,</w:t>
      </w:r>
      <w:proofErr w:type="gramEnd"/>
    </w:p>
    <w:p w14:paraId="7A065CD4" w14:textId="71060077" w:rsidR="00C17101" w:rsidRPr="00041D3B" w:rsidRDefault="00C17101" w:rsidP="00041D3B">
      <w:pPr>
        <w:pStyle w:val="ListParagraph"/>
        <w:numPr>
          <w:ilvl w:val="0"/>
          <w:numId w:val="1"/>
        </w:numPr>
        <w:rPr>
          <w:rFonts w:ascii="Times New Roman" w:hAnsi="Times New Roman" w:cs="Times New Roman"/>
          <w:lang w:val="en-US"/>
        </w:rPr>
      </w:pPr>
      <w:r w:rsidRPr="00041D3B">
        <w:rPr>
          <w:rFonts w:ascii="Helvetica" w:hAnsi="Helvetica" w:cs="Times New Roman"/>
          <w:lang w:val="en-US"/>
        </w:rPr>
        <w:t>Background luminance:</w:t>
      </w:r>
      <w:r w:rsidRPr="00041D3B">
        <w:rPr>
          <w:rFonts w:ascii="Helvetica" w:hAnsi="Helvetica" w:cs="Times New Roman"/>
          <w:i/>
          <w:iCs/>
          <w:lang w:val="en-US"/>
        </w:rPr>
        <w:t xml:space="preserve"> </w:t>
      </w:r>
      <w:r w:rsidRPr="00041D3B">
        <w:rPr>
          <w:rFonts w:ascii="Times New Roman" w:hAnsi="Times New Roman" w:cs="Times New Roman"/>
          <w:i/>
          <w:iCs/>
          <w:lang w:val="en-US"/>
        </w:rPr>
        <w:t>L</w:t>
      </w:r>
      <w:r w:rsidRPr="00041D3B">
        <w:rPr>
          <w:rFonts w:ascii="Times New Roman" w:hAnsi="Times New Roman" w:cs="Times New Roman"/>
          <w:vertAlign w:val="subscript"/>
          <w:lang w:val="en-US"/>
        </w:rPr>
        <w:t>B</w:t>
      </w:r>
      <w:r w:rsidRPr="00041D3B">
        <w:rPr>
          <w:rFonts w:ascii="Times New Roman" w:hAnsi="Times New Roman" w:cs="Times New Roman"/>
          <w:lang w:val="en-US"/>
        </w:rPr>
        <w:t xml:space="preserve"> = 10 cd m</w:t>
      </w:r>
      <w:r w:rsidRPr="00041D3B">
        <w:rPr>
          <w:rFonts w:ascii="Times New Roman" w:hAnsi="Times New Roman" w:cs="Times New Roman"/>
          <w:vertAlign w:val="superscript"/>
          <w:lang w:val="en-US"/>
        </w:rPr>
        <w:t>-</w:t>
      </w:r>
      <w:proofErr w:type="gramStart"/>
      <w:r w:rsidRPr="00041D3B">
        <w:rPr>
          <w:rFonts w:ascii="Times New Roman" w:hAnsi="Times New Roman" w:cs="Times New Roman"/>
          <w:vertAlign w:val="superscript"/>
          <w:lang w:val="en-US"/>
        </w:rPr>
        <w:t>2</w:t>
      </w:r>
      <w:r w:rsidR="00041D3B" w:rsidRPr="00041D3B">
        <w:rPr>
          <w:rFonts w:ascii="Helvetica" w:hAnsi="Helvetica" w:cs="Times New Roman"/>
          <w:lang w:val="en-US"/>
        </w:rPr>
        <w:t xml:space="preserve"> </w:t>
      </w:r>
      <w:r w:rsidR="00041D3B">
        <w:rPr>
          <w:rFonts w:ascii="Helvetica" w:hAnsi="Helvetica" w:cs="Times New Roman"/>
          <w:lang w:val="en-US"/>
        </w:rPr>
        <w:t>,</w:t>
      </w:r>
      <w:proofErr w:type="gramEnd"/>
      <w:r w:rsidR="00041D3B">
        <w:rPr>
          <w:rFonts w:ascii="Helvetica" w:hAnsi="Helvetica" w:cs="Times New Roman"/>
          <w:lang w:val="en-US"/>
        </w:rPr>
        <w:t xml:space="preserve"> and</w:t>
      </w:r>
    </w:p>
    <w:p w14:paraId="7EAE772E" w14:textId="5F2B6118" w:rsidR="00C17101" w:rsidRPr="00041D3B" w:rsidRDefault="00C17101" w:rsidP="00041D3B">
      <w:pPr>
        <w:pStyle w:val="ListParagraph"/>
        <w:numPr>
          <w:ilvl w:val="0"/>
          <w:numId w:val="1"/>
        </w:numPr>
        <w:rPr>
          <w:rFonts w:ascii="Helvetica" w:hAnsi="Helvetica" w:cs="Times New Roman"/>
          <w:lang w:val="en-US"/>
        </w:rPr>
      </w:pPr>
      <w:r w:rsidRPr="00041D3B">
        <w:rPr>
          <w:rFonts w:ascii="Helvetica" w:hAnsi="Helvetica" w:cs="Times New Roman"/>
          <w:lang w:val="en-US"/>
        </w:rPr>
        <w:t xml:space="preserve">Step size is </w:t>
      </w:r>
      <w:r w:rsidRPr="00041D3B">
        <w:rPr>
          <w:rFonts w:ascii="Times New Roman" w:hAnsi="Times New Roman" w:cs="Times New Roman"/>
          <w:lang w:val="en-US"/>
        </w:rPr>
        <w:t xml:space="preserve">0.025 </w:t>
      </w:r>
      <w:r w:rsidRPr="00041D3B">
        <w:rPr>
          <w:rFonts w:ascii="Times New Roman" w:hAnsi="Times New Roman" w:cs="Times New Roman"/>
          <w:lang w:val="en-US"/>
        </w:rPr>
        <w:t>cd m</w:t>
      </w:r>
      <w:r w:rsidRPr="00041D3B">
        <w:rPr>
          <w:rFonts w:ascii="Times New Roman" w:hAnsi="Times New Roman" w:cs="Times New Roman"/>
          <w:vertAlign w:val="superscript"/>
          <w:lang w:val="en-US"/>
        </w:rPr>
        <w:t>-</w:t>
      </w:r>
      <w:proofErr w:type="gramStart"/>
      <w:r w:rsidRPr="00041D3B">
        <w:rPr>
          <w:rFonts w:ascii="Times New Roman" w:hAnsi="Times New Roman" w:cs="Times New Roman"/>
          <w:vertAlign w:val="superscript"/>
          <w:lang w:val="en-US"/>
        </w:rPr>
        <w:t>2</w:t>
      </w:r>
      <w:r w:rsidR="00041D3B" w:rsidRPr="00041D3B">
        <w:rPr>
          <w:rFonts w:ascii="Helvetica" w:hAnsi="Helvetica" w:cs="Times New Roman"/>
          <w:lang w:val="en-US"/>
        </w:rPr>
        <w:t xml:space="preserve"> </w:t>
      </w:r>
      <w:r w:rsidR="00041D3B">
        <w:rPr>
          <w:rFonts w:ascii="Helvetica" w:hAnsi="Helvetica" w:cs="Times New Roman"/>
          <w:lang w:val="en-US"/>
        </w:rPr>
        <w:t>.</w:t>
      </w:r>
      <w:proofErr w:type="gramEnd"/>
    </w:p>
    <w:p w14:paraId="721ED68F" w14:textId="6CCFBAE2" w:rsidR="00244B06" w:rsidRDefault="00041D3B" w:rsidP="00244B06">
      <w:pPr>
        <w:rPr>
          <w:rFonts w:ascii="Helvetica" w:hAnsi="Helvetica" w:cs="Times New Roman"/>
          <w:lang w:val="en-US"/>
        </w:rPr>
      </w:pPr>
      <w:r>
        <w:rPr>
          <w:rFonts w:ascii="Helvetica" w:hAnsi="Helvetica" w:cs="Times New Roman"/>
          <w:lang w:val="en-US"/>
        </w:rPr>
        <w:t>Since sen</w:t>
      </w:r>
      <w:r w:rsidR="009A67B0">
        <w:rPr>
          <w:rFonts w:ascii="Helvetica" w:hAnsi="Helvetica" w:cs="Times New Roman"/>
          <w:lang w:val="en-US"/>
        </w:rPr>
        <w:t>sitivity</w:t>
      </w:r>
      <w:r w:rsidR="007040F1">
        <w:rPr>
          <w:rFonts w:ascii="Helvetica" w:hAnsi="Helvetica" w:cs="Times New Roman"/>
          <w:lang w:val="en-US"/>
        </w:rPr>
        <w:t>, say,</w:t>
      </w:r>
      <w:r w:rsidR="00244B06">
        <w:rPr>
          <w:rFonts w:ascii="Helvetica" w:hAnsi="Helvetica" w:cs="Times New Roman"/>
          <w:lang w:val="en-US"/>
        </w:rPr>
        <w:t xml:space="preserve"> </w:t>
      </w:r>
      <w:r w:rsidR="007040F1" w:rsidRPr="007040F1">
        <w:rPr>
          <w:rFonts w:ascii="Times New Roman" w:hAnsi="Times New Roman" w:cs="Times New Roman"/>
          <w:i/>
          <w:iCs/>
          <w:lang w:val="en-US"/>
        </w:rPr>
        <w:t>d</w:t>
      </w:r>
      <w:r w:rsidR="007040F1">
        <w:rPr>
          <w:rFonts w:ascii="Helvetica" w:hAnsi="Helvetica" w:cs="Times New Roman"/>
          <w:lang w:val="en-US"/>
        </w:rPr>
        <w:t xml:space="preserve">, in </w:t>
      </w:r>
      <w:r w:rsidR="00244B06">
        <w:rPr>
          <w:rFonts w:ascii="Helvetica" w:hAnsi="Helvetica" w:cs="Times New Roman"/>
          <w:lang w:val="en-US"/>
        </w:rPr>
        <w:t>dB</w:t>
      </w:r>
      <w:r w:rsidR="007040F1">
        <w:rPr>
          <w:rFonts w:ascii="Helvetica" w:hAnsi="Helvetica" w:cs="Times New Roman"/>
          <w:lang w:val="en-US"/>
        </w:rPr>
        <w:t>,</w:t>
      </w:r>
      <w:r w:rsidR="00244B06">
        <w:rPr>
          <w:rFonts w:ascii="Helvetica" w:hAnsi="Helvetica" w:cs="Times New Roman"/>
          <w:lang w:val="en-US"/>
        </w:rPr>
        <w:t xml:space="preserve"> is defined for a </w:t>
      </w:r>
      <w:r w:rsidR="007040F1">
        <w:rPr>
          <w:rFonts w:ascii="Helvetica" w:hAnsi="Helvetica" w:cs="Times New Roman"/>
          <w:lang w:val="en-US"/>
        </w:rPr>
        <w:t xml:space="preserve">stimulus </w:t>
      </w:r>
      <w:r w:rsidR="009A67B0">
        <w:rPr>
          <w:rFonts w:ascii="Helvetica" w:hAnsi="Helvetica" w:cs="Times New Roman"/>
          <w:lang w:val="en-US"/>
        </w:rPr>
        <w:t>luminance</w:t>
      </w:r>
      <w:r w:rsidR="00244B06">
        <w:rPr>
          <w:rFonts w:ascii="Helvetica" w:hAnsi="Helvetica" w:cs="Times New Roman"/>
          <w:lang w:val="en-US"/>
        </w:rPr>
        <w:t xml:space="preserve"> </w:t>
      </w:r>
      <w:r w:rsidR="00F55246" w:rsidRPr="00244B06">
        <w:rPr>
          <w:rFonts w:ascii="Times New Roman" w:hAnsi="Times New Roman" w:cs="Times New Roman"/>
          <w:i/>
          <w:iCs/>
          <w:lang w:val="en-US"/>
        </w:rPr>
        <w:t>L</w:t>
      </w:r>
      <w:r w:rsidR="00244B06">
        <w:rPr>
          <w:rFonts w:ascii="Helvetica" w:hAnsi="Helvetica" w:cs="Times New Roman"/>
          <w:lang w:val="en-US"/>
        </w:rPr>
        <w:t xml:space="preserve"> as</w:t>
      </w:r>
    </w:p>
    <w:p w14:paraId="0EC07601" w14:textId="77777777" w:rsidR="009A67B0" w:rsidRDefault="009A67B0" w:rsidP="00244B06">
      <w:pPr>
        <w:rPr>
          <w:rFonts w:ascii="Helvetica" w:hAnsi="Helvetica" w:cs="Times New Roman"/>
          <w:lang w:val="en-US"/>
        </w:rPr>
      </w:pPr>
    </w:p>
    <w:p w14:paraId="4B2CB52A" w14:textId="22B198CE" w:rsidR="00244B06" w:rsidRDefault="00E4765F" w:rsidP="00244B06">
      <w:pPr>
        <w:rPr>
          <w:rFonts w:ascii="Helvetica" w:hAnsi="Helvetica" w:cs="Times New Roman"/>
          <w:lang w:val="en-US"/>
        </w:rPr>
      </w:pPr>
      <m:oMathPara>
        <m:oMath>
          <m:r>
            <w:rPr>
              <w:rFonts w:ascii="Cambria Math" w:hAnsi="Cambria Math" w:cs="Times New Roman"/>
              <w:lang w:val="en-US"/>
            </w:rPr>
            <m:t>d=10</m:t>
          </m:r>
          <m:func>
            <m:funcPr>
              <m:ctrlPr>
                <w:rPr>
                  <w:rFonts w:ascii="Cambria Math" w:hAnsi="Cambria Math" w:cs="Times New Roman"/>
                  <w:i/>
                  <w:lang w:val="en-US"/>
                </w:rPr>
              </m:ctrlPr>
            </m:funcPr>
            <m:fName>
              <m:r>
                <m:rPr>
                  <m:sty m:val="p"/>
                </m:rPr>
                <w:rPr>
                  <w:rFonts w:ascii="Cambria Math" w:hAnsi="Cambria Math" w:cs="Times New Roman"/>
                  <w:lang w:val="en-US"/>
                </w:rPr>
                <m:t>log</m:t>
              </m:r>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m:rPr>
                              <m:sty m:val="p"/>
                            </m:rPr>
                            <w:rPr>
                              <w:rFonts w:ascii="Cambria Math" w:hAnsi="Cambria Math" w:cs="Times New Roman"/>
                              <w:lang w:val="en-US"/>
                            </w:rPr>
                            <m:t>max</m:t>
                          </m:r>
                        </m:sub>
                      </m:sSub>
                    </m:num>
                    <m:den>
                      <m:r>
                        <w:rPr>
                          <w:rFonts w:ascii="Cambria Math" w:hAnsi="Cambria Math" w:cs="Times New Roman"/>
                          <w:lang w:val="en-US"/>
                        </w:rPr>
                        <m:t>L-</m:t>
                      </m:r>
                      <m:sSub>
                        <m:sSubPr>
                          <m:ctrlPr>
                            <w:rPr>
                              <w:rFonts w:ascii="Cambria Math" w:hAnsi="Cambria Math" w:cs="Times New Roman"/>
                              <w:i/>
                              <w:lang w:val="en-US"/>
                            </w:rPr>
                          </m:ctrlPr>
                        </m:sSubPr>
                        <m:e>
                          <m:r>
                            <w:rPr>
                              <w:rFonts w:ascii="Cambria Math" w:hAnsi="Cambria Math" w:cs="Times New Roman"/>
                              <w:lang w:val="en-US"/>
                            </w:rPr>
                            <m:t>L</m:t>
                          </m:r>
                        </m:e>
                        <m:sub>
                          <m:r>
                            <m:rPr>
                              <m:sty m:val="p"/>
                            </m:rPr>
                            <w:rPr>
                              <w:rFonts w:ascii="Cambria Math" w:hAnsi="Cambria Math" w:cs="Times New Roman"/>
                              <w:lang w:val="en-US"/>
                            </w:rPr>
                            <m:t>B</m:t>
                          </m:r>
                        </m:sub>
                      </m:sSub>
                    </m:den>
                  </m:f>
                </m:e>
              </m:d>
            </m:e>
          </m:func>
          <m:r>
            <w:rPr>
              <w:rFonts w:ascii="Cambria Math" w:hAnsi="Cambria Math" w:cs="Times New Roman"/>
              <w:lang w:val="en-US"/>
            </w:rPr>
            <m:t xml:space="preserve">=25-10 </m:t>
          </m:r>
          <m:func>
            <m:funcPr>
              <m:ctrlPr>
                <w:rPr>
                  <w:rFonts w:ascii="Cambria Math" w:hAnsi="Cambria Math" w:cs="Times New Roman"/>
                  <w:i/>
                  <w:lang w:val="en-US"/>
                </w:rPr>
              </m:ctrlPr>
            </m:funcPr>
            <m:fName>
              <m:r>
                <m:rPr>
                  <m:sty m:val="p"/>
                </m:rPr>
                <w:rPr>
                  <w:rFonts w:ascii="Cambria Math" w:hAnsi="Cambria Math" w:cs="Times New Roman"/>
                  <w:lang w:val="en-US"/>
                </w:rPr>
                <m:t>log</m:t>
              </m: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L-</m:t>
                      </m:r>
                      <m:sSub>
                        <m:sSubPr>
                          <m:ctrlPr>
                            <w:rPr>
                              <w:rFonts w:ascii="Cambria Math" w:hAnsi="Cambria Math" w:cs="Times New Roman"/>
                              <w:i/>
                              <w:lang w:val="en-US"/>
                            </w:rPr>
                          </m:ctrlPr>
                        </m:sSubPr>
                        <m:e>
                          <m:r>
                            <w:rPr>
                              <w:rFonts w:ascii="Cambria Math" w:hAnsi="Cambria Math" w:cs="Times New Roman"/>
                              <w:lang w:val="en-US"/>
                            </w:rPr>
                            <m:t>L</m:t>
                          </m:r>
                        </m:e>
                        <m:sub>
                          <m:r>
                            <m:rPr>
                              <m:sty m:val="p"/>
                            </m:rPr>
                            <w:rPr>
                              <w:rFonts w:ascii="Cambria Math" w:hAnsi="Cambria Math" w:cs="Times New Roman"/>
                              <w:lang w:val="en-US"/>
                            </w:rPr>
                            <m:t>B</m:t>
                          </m:r>
                        </m:sub>
                      </m:sSub>
                    </m:num>
                    <m:den>
                      <m:sSub>
                        <m:sSubPr>
                          <m:ctrlPr>
                            <w:rPr>
                              <w:rFonts w:ascii="Cambria Math" w:hAnsi="Cambria Math" w:cs="Times New Roman"/>
                              <w:i/>
                              <w:lang w:val="en-US"/>
                            </w:rPr>
                          </m:ctrlPr>
                        </m:sSubPr>
                        <m:e>
                          <m:r>
                            <w:rPr>
                              <w:rFonts w:ascii="Cambria Math" w:hAnsi="Cambria Math" w:cs="Times New Roman"/>
                              <w:lang w:val="en-US"/>
                            </w:rPr>
                            <m:t>L</m:t>
                          </m:r>
                        </m:e>
                        <m:sub>
                          <m:r>
                            <m:rPr>
                              <m:sty m:val="p"/>
                            </m:rPr>
                            <w:rPr>
                              <w:rFonts w:ascii="Cambria Math" w:hAnsi="Cambria Math" w:cs="Times New Roman"/>
                              <w:lang w:val="en-US"/>
                            </w:rPr>
                            <m:t>B</m:t>
                          </m:r>
                        </m:sub>
                      </m:sSub>
                    </m:den>
                  </m:f>
                </m:e>
              </m:d>
            </m:e>
          </m:func>
          <m:r>
            <w:rPr>
              <w:rFonts w:ascii="Cambria Math" w:hAnsi="Cambria Math" w:cs="Times New Roman"/>
              <w:lang w:val="en-US"/>
            </w:rPr>
            <m:t xml:space="preserve"> ,</m:t>
          </m:r>
        </m:oMath>
      </m:oMathPara>
    </w:p>
    <w:p w14:paraId="0B48DBCD" w14:textId="77777777" w:rsidR="009A67B0" w:rsidRDefault="009A67B0">
      <w:pPr>
        <w:rPr>
          <w:rFonts w:ascii="Helvetica" w:hAnsi="Helvetica" w:cs="Times New Roman"/>
          <w:lang w:val="en-US"/>
        </w:rPr>
      </w:pPr>
    </w:p>
    <w:p w14:paraId="5586E43B" w14:textId="3A31C2F5" w:rsidR="00357C6D" w:rsidRDefault="00E776BA">
      <w:pPr>
        <w:rPr>
          <w:rFonts w:ascii="Helvetica" w:hAnsi="Helvetica" w:cs="Times New Roman"/>
          <w:lang w:val="en-US"/>
        </w:rPr>
      </w:pPr>
      <w:r>
        <w:rPr>
          <w:rFonts w:ascii="Helvetica" w:hAnsi="Helvetica" w:cs="Times New Roman"/>
          <w:lang w:val="en-US"/>
        </w:rPr>
        <w:t xml:space="preserve">where </w:t>
      </w:r>
      <w:r w:rsidRPr="00357C6D">
        <w:rPr>
          <w:rFonts w:ascii="Times New Roman" w:hAnsi="Times New Roman" w:cs="Times New Roman"/>
          <w:lang w:val="en-US"/>
        </w:rPr>
        <w:t>log</w:t>
      </w:r>
      <w:r>
        <w:rPr>
          <w:rFonts w:ascii="Helvetica" w:hAnsi="Helvetica" w:cs="Times New Roman"/>
          <w:lang w:val="en-US"/>
        </w:rPr>
        <w:t xml:space="preserve"> is in base 10</w:t>
      </w:r>
      <w:r w:rsidR="009A67B0">
        <w:rPr>
          <w:rFonts w:ascii="Helvetica" w:hAnsi="Helvetica" w:cs="Times New Roman"/>
          <w:lang w:val="en-US"/>
        </w:rPr>
        <w:t xml:space="preserve"> (see eq. 3 in Appendix in [1]), w</w:t>
      </w:r>
      <w:r>
        <w:rPr>
          <w:rFonts w:ascii="Helvetica" w:hAnsi="Helvetica" w:cs="Times New Roman"/>
          <w:lang w:val="en-US"/>
        </w:rPr>
        <w:t xml:space="preserve">e can express stimulus </w:t>
      </w:r>
      <w:r w:rsidR="009A67B0">
        <w:rPr>
          <w:rFonts w:ascii="Helvetica" w:hAnsi="Helvetica" w:cs="Times New Roman"/>
          <w:lang w:val="en-US"/>
        </w:rPr>
        <w:t>luminance</w:t>
      </w:r>
      <w:r w:rsidR="009A67B0">
        <w:rPr>
          <w:rFonts w:ascii="Helvetica" w:hAnsi="Helvetica" w:cs="Times New Roman"/>
          <w:lang w:val="en-US"/>
        </w:rPr>
        <w:t xml:space="preserve"> </w:t>
      </w:r>
      <w:r>
        <w:rPr>
          <w:rFonts w:ascii="Helvetica" w:hAnsi="Helvetica" w:cs="Times New Roman"/>
          <w:lang w:val="en-US"/>
        </w:rPr>
        <w:t xml:space="preserve">as a function of the sensitivity </w:t>
      </w:r>
      <w:r w:rsidRPr="00E776BA">
        <w:rPr>
          <w:rFonts w:ascii="Helvetica" w:hAnsi="Helvetica" w:cs="Times New Roman"/>
          <w:i/>
          <w:iCs/>
          <w:lang w:val="en-US"/>
        </w:rPr>
        <w:t>d</w:t>
      </w:r>
      <w:r>
        <w:rPr>
          <w:rFonts w:ascii="Helvetica" w:hAnsi="Helvetica" w:cs="Times New Roman"/>
          <w:lang w:val="en-US"/>
        </w:rPr>
        <w:t xml:space="preserve"> for the HFA, </w:t>
      </w:r>
      <w:r w:rsidR="00146979">
        <w:rPr>
          <w:rFonts w:ascii="Helvetica" w:hAnsi="Helvetica" w:cs="Times New Roman"/>
          <w:lang w:val="en-US"/>
        </w:rPr>
        <w:t>thus</w:t>
      </w:r>
    </w:p>
    <w:p w14:paraId="775D06B4" w14:textId="77777777" w:rsidR="009A67B0" w:rsidRDefault="009A67B0">
      <w:pPr>
        <w:rPr>
          <w:rFonts w:ascii="Helvetica" w:hAnsi="Helvetica" w:cs="Times New Roman"/>
          <w:lang w:val="en-US"/>
        </w:rPr>
      </w:pPr>
    </w:p>
    <w:p w14:paraId="38D27310" w14:textId="2BDF82AC" w:rsidR="00A01F95" w:rsidRDefault="00D53893" w:rsidP="00A01F95">
      <w:pPr>
        <w:rPr>
          <w:rFonts w:ascii="Helvetica" w:hAnsi="Helvetica" w:cs="Times New Roman"/>
          <w:lang w:val="en-US"/>
        </w:rPr>
      </w:pPr>
      <m:oMathPara>
        <m:oMath>
          <m:r>
            <w:rPr>
              <w:rFonts w:ascii="Cambria Math" w:hAnsi="Cambria Math" w:cs="Times New Roman"/>
              <w:lang w:val="en-US"/>
            </w:rPr>
            <m:t>L</m:t>
          </m:r>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10</m:t>
              </m:r>
            </m:e>
            <m:sup>
              <m:f>
                <m:fPr>
                  <m:type m:val="lin"/>
                  <m:ctrlPr>
                    <w:rPr>
                      <w:rFonts w:ascii="Cambria Math" w:hAnsi="Cambria Math" w:cs="Times New Roman"/>
                      <w:i/>
                      <w:lang w:val="en-US"/>
                    </w:rPr>
                  </m:ctrlPr>
                </m:fPr>
                <m:num>
                  <m:d>
                    <m:dPr>
                      <m:ctrlPr>
                        <w:rPr>
                          <w:rFonts w:ascii="Cambria Math" w:hAnsi="Cambria Math" w:cs="Times New Roman"/>
                          <w:i/>
                          <w:lang w:val="en-US"/>
                        </w:rPr>
                      </m:ctrlPr>
                    </m:dPr>
                    <m:e>
                      <m:r>
                        <w:rPr>
                          <w:rFonts w:ascii="Cambria Math" w:hAnsi="Cambria Math" w:cs="Times New Roman"/>
                          <w:lang w:val="en-US"/>
                        </w:rPr>
                        <m:t>3</m:t>
                      </m:r>
                      <m:r>
                        <w:rPr>
                          <w:rFonts w:ascii="Cambria Math" w:hAnsi="Cambria Math" w:cs="Times New Roman"/>
                          <w:lang w:val="en-US"/>
                        </w:rPr>
                        <m:t>5-d</m:t>
                      </m:r>
                    </m:e>
                  </m:d>
                </m:num>
                <m:den>
                  <m:r>
                    <w:rPr>
                      <w:rFonts w:ascii="Cambria Math" w:hAnsi="Cambria Math" w:cs="Times New Roman"/>
                      <w:lang w:val="en-US"/>
                    </w:rPr>
                    <m:t>10</m:t>
                  </m:r>
                </m:den>
              </m:f>
            </m:sup>
          </m:sSup>
          <m:r>
            <w:rPr>
              <w:rFonts w:ascii="Cambria Math" w:hAnsi="Cambria Math" w:cs="Times New Roman"/>
              <w:lang w:val="en-US"/>
            </w:rPr>
            <m:t>+10</m:t>
          </m:r>
          <m:r>
            <w:rPr>
              <w:rFonts w:ascii="Cambria Math" w:eastAsiaTheme="minorEastAsia" w:hAnsi="Cambria Math" w:cs="Times New Roman"/>
              <w:lang w:val="en-US"/>
            </w:rPr>
            <m:t xml:space="preserve"> </m:t>
          </m:r>
          <m:r>
            <w:rPr>
              <w:rFonts w:ascii="Cambria Math" w:eastAsiaTheme="minorEastAsia" w:hAnsi="Cambria Math" w:cs="Times New Roman"/>
              <w:lang w:val="en-US"/>
            </w:rPr>
            <m:t>.</m:t>
          </m:r>
        </m:oMath>
      </m:oMathPara>
    </w:p>
    <w:p w14:paraId="46EE85C7" w14:textId="45A49822" w:rsidR="009A67B0" w:rsidRPr="00D44028" w:rsidRDefault="00D44028">
      <w:pPr>
        <w:rPr>
          <w:rFonts w:ascii="Helvetica" w:hAnsi="Helvetica" w:cs="Times New Roman"/>
          <w:sz w:val="18"/>
          <w:szCs w:val="18"/>
          <w:lang w:val="en-US"/>
        </w:rPr>
      </w:pPr>
      <w:r w:rsidRPr="00D44028">
        <w:rPr>
          <w:rFonts w:ascii="Helvetica" w:hAnsi="Helvetica" w:cs="Times New Roman"/>
          <w:sz w:val="18"/>
          <w:szCs w:val="18"/>
          <w:lang w:val="en-US"/>
        </w:rPr>
        <w:t>***In case you are wondering, yes, I have checked this equation with Excel and it is correct</w:t>
      </w:r>
    </w:p>
    <w:p w14:paraId="351DC9CB" w14:textId="77777777" w:rsidR="00D44028" w:rsidRDefault="00D44028">
      <w:pPr>
        <w:rPr>
          <w:rFonts w:ascii="Helvetica" w:hAnsi="Helvetica" w:cs="Times New Roman"/>
          <w:lang w:val="en-US"/>
        </w:rPr>
      </w:pPr>
    </w:p>
    <w:p w14:paraId="29EE5F80" w14:textId="04C06E05" w:rsidR="00A01F95" w:rsidRDefault="00DE7268">
      <w:pPr>
        <w:rPr>
          <w:rFonts w:ascii="Helvetica" w:hAnsi="Helvetica" w:cs="Times New Roman"/>
          <w:lang w:val="en-US"/>
        </w:rPr>
      </w:pPr>
      <w:r>
        <w:rPr>
          <w:rFonts w:ascii="Helvetica" w:hAnsi="Helvetica" w:cs="Times New Roman"/>
          <w:lang w:val="en-US"/>
        </w:rPr>
        <w:t xml:space="preserve">From this equation, </w:t>
      </w:r>
      <w:r w:rsidR="00E1758A">
        <w:rPr>
          <w:rFonts w:ascii="Helvetica" w:hAnsi="Helvetica" w:cs="Times New Roman"/>
          <w:lang w:val="en-US"/>
        </w:rPr>
        <w:t xml:space="preserve">it is easy </w:t>
      </w:r>
      <w:r w:rsidR="004530DE">
        <w:rPr>
          <w:rFonts w:ascii="Helvetica" w:hAnsi="Helvetica" w:cs="Times New Roman"/>
          <w:lang w:val="en-US"/>
        </w:rPr>
        <w:t xml:space="preserve">see </w:t>
      </w:r>
      <w:r w:rsidR="00E1758A">
        <w:rPr>
          <w:rFonts w:ascii="Helvetica" w:hAnsi="Helvetica" w:cs="Times New Roman"/>
          <w:lang w:val="en-US"/>
        </w:rPr>
        <w:t>that</w:t>
      </w:r>
      <w:r w:rsidR="004530DE">
        <w:rPr>
          <w:rFonts w:ascii="Helvetica" w:hAnsi="Helvetica" w:cs="Times New Roman"/>
          <w:lang w:val="en-US"/>
        </w:rPr>
        <w:t>,</w:t>
      </w:r>
      <w:r w:rsidR="00E1758A">
        <w:rPr>
          <w:rFonts w:ascii="Helvetica" w:hAnsi="Helvetica" w:cs="Times New Roman"/>
          <w:lang w:val="en-US"/>
        </w:rPr>
        <w:t xml:space="preserve"> </w:t>
      </w:r>
      <w:r w:rsidR="00E1758A" w:rsidRPr="004530DE">
        <w:rPr>
          <w:rFonts w:ascii="Helvetica" w:hAnsi="Helvetica" w:cs="Times New Roman"/>
          <w:b/>
          <w:bCs/>
          <w:lang w:val="en-US"/>
        </w:rPr>
        <w:t xml:space="preserve">for a background luminance of </w:t>
      </w:r>
      <w:r w:rsidR="00E1758A" w:rsidRPr="004530DE">
        <w:rPr>
          <w:rFonts w:ascii="Times New Roman" w:hAnsi="Times New Roman" w:cs="Times New Roman"/>
          <w:b/>
          <w:bCs/>
          <w:lang w:val="en-US"/>
        </w:rPr>
        <w:t>10 cd m</w:t>
      </w:r>
      <w:r w:rsidR="00E1758A" w:rsidRPr="004530DE">
        <w:rPr>
          <w:rFonts w:ascii="Times New Roman" w:hAnsi="Times New Roman" w:cs="Times New Roman"/>
          <w:b/>
          <w:bCs/>
          <w:vertAlign w:val="superscript"/>
          <w:lang w:val="en-US"/>
        </w:rPr>
        <w:t>-2</w:t>
      </w:r>
      <w:r w:rsidR="00E1758A">
        <w:rPr>
          <w:rFonts w:ascii="Helvetica" w:hAnsi="Helvetica" w:cs="Times New Roman"/>
          <w:lang w:val="en-US"/>
        </w:rPr>
        <w:t xml:space="preserve">, flooring at 10 dB, 15 dB, or 20 dB correspond </w:t>
      </w:r>
      <w:r w:rsidR="004530DE">
        <w:rPr>
          <w:rFonts w:ascii="Helvetica" w:hAnsi="Helvetica" w:cs="Times New Roman"/>
          <w:lang w:val="en-US"/>
        </w:rPr>
        <w:t xml:space="preserve">respectively </w:t>
      </w:r>
      <w:r w:rsidR="00E1758A" w:rsidRPr="004530DE">
        <w:rPr>
          <w:rFonts w:ascii="Helvetica" w:hAnsi="Helvetica" w:cs="Times New Roman"/>
          <w:b/>
          <w:bCs/>
          <w:lang w:val="en-US"/>
        </w:rPr>
        <w:t>to capping</w:t>
      </w:r>
      <w:r w:rsidR="004530DE" w:rsidRPr="004530DE">
        <w:rPr>
          <w:rFonts w:ascii="Helvetica" w:hAnsi="Helvetica" w:cs="Times New Roman"/>
          <w:b/>
          <w:bCs/>
          <w:lang w:val="en-US"/>
        </w:rPr>
        <w:t xml:space="preserve"> at </w:t>
      </w:r>
      <w:r w:rsidR="004530DE" w:rsidRPr="004530DE">
        <w:rPr>
          <w:rFonts w:ascii="Times New Roman" w:hAnsi="Times New Roman" w:cs="Times New Roman"/>
          <w:b/>
          <w:bCs/>
          <w:lang w:val="en-US"/>
        </w:rPr>
        <w:t>326</w:t>
      </w:r>
      <w:r w:rsidR="004530DE" w:rsidRPr="004530DE">
        <w:rPr>
          <w:rFonts w:ascii="Times New Roman" w:hAnsi="Times New Roman" w:cs="Times New Roman"/>
          <w:b/>
          <w:bCs/>
          <w:lang w:val="en-US"/>
        </w:rPr>
        <w:t xml:space="preserve"> cd m</w:t>
      </w:r>
      <w:r w:rsidR="004530DE" w:rsidRPr="004530DE">
        <w:rPr>
          <w:rFonts w:ascii="Times New Roman" w:hAnsi="Times New Roman" w:cs="Times New Roman"/>
          <w:b/>
          <w:bCs/>
          <w:vertAlign w:val="superscript"/>
          <w:lang w:val="en-US"/>
        </w:rPr>
        <w:t>-2</w:t>
      </w:r>
      <w:r w:rsidR="004530DE" w:rsidRPr="004530DE">
        <w:rPr>
          <w:rFonts w:ascii="Helvetica" w:hAnsi="Helvetica" w:cs="Times New Roman"/>
          <w:b/>
          <w:bCs/>
          <w:lang w:val="en-US"/>
        </w:rPr>
        <w:t>,</w:t>
      </w:r>
      <w:r w:rsidR="004530DE" w:rsidRPr="004530DE">
        <w:rPr>
          <w:rFonts w:ascii="Times New Roman" w:hAnsi="Times New Roman" w:cs="Times New Roman"/>
          <w:b/>
          <w:bCs/>
          <w:lang w:val="en-US"/>
        </w:rPr>
        <w:t xml:space="preserve"> 110</w:t>
      </w:r>
      <w:r w:rsidR="004530DE" w:rsidRPr="004530DE">
        <w:rPr>
          <w:rFonts w:ascii="Times New Roman" w:hAnsi="Times New Roman" w:cs="Times New Roman"/>
          <w:b/>
          <w:bCs/>
          <w:lang w:val="en-US"/>
        </w:rPr>
        <w:t xml:space="preserve"> cd m</w:t>
      </w:r>
      <w:r w:rsidR="004530DE" w:rsidRPr="004530DE">
        <w:rPr>
          <w:rFonts w:ascii="Times New Roman" w:hAnsi="Times New Roman" w:cs="Times New Roman"/>
          <w:b/>
          <w:bCs/>
          <w:vertAlign w:val="superscript"/>
          <w:lang w:val="en-US"/>
        </w:rPr>
        <w:t>-2</w:t>
      </w:r>
      <w:r w:rsidR="004530DE" w:rsidRPr="004530DE">
        <w:rPr>
          <w:rFonts w:ascii="Helvetica" w:hAnsi="Helvetica" w:cs="Times New Roman"/>
          <w:b/>
          <w:bCs/>
          <w:lang w:val="en-US"/>
        </w:rPr>
        <w:t xml:space="preserve">, </w:t>
      </w:r>
      <w:r w:rsidR="004530DE" w:rsidRPr="004530DE">
        <w:rPr>
          <w:rFonts w:ascii="Helvetica" w:hAnsi="Helvetica" w:cs="Times New Roman"/>
          <w:b/>
          <w:bCs/>
          <w:lang w:val="en-US"/>
        </w:rPr>
        <w:t xml:space="preserve">or </w:t>
      </w:r>
      <w:r w:rsidR="004530DE" w:rsidRPr="004530DE">
        <w:rPr>
          <w:rFonts w:ascii="Times New Roman" w:hAnsi="Times New Roman" w:cs="Times New Roman"/>
          <w:b/>
          <w:bCs/>
          <w:lang w:val="en-US"/>
        </w:rPr>
        <w:t>42</w:t>
      </w:r>
      <w:r w:rsidR="004530DE" w:rsidRPr="004530DE">
        <w:rPr>
          <w:rFonts w:ascii="Times New Roman" w:hAnsi="Times New Roman" w:cs="Times New Roman"/>
          <w:b/>
          <w:bCs/>
          <w:lang w:val="en-US"/>
        </w:rPr>
        <w:t xml:space="preserve"> cd m</w:t>
      </w:r>
      <w:r w:rsidR="004530DE" w:rsidRPr="004530DE">
        <w:rPr>
          <w:rFonts w:ascii="Times New Roman" w:hAnsi="Times New Roman" w:cs="Times New Roman"/>
          <w:b/>
          <w:bCs/>
          <w:vertAlign w:val="superscript"/>
          <w:lang w:val="en-US"/>
        </w:rPr>
        <w:t>-2</w:t>
      </w:r>
      <w:r w:rsidR="004530DE">
        <w:rPr>
          <w:rFonts w:ascii="Helvetica" w:hAnsi="Helvetica" w:cs="Times New Roman"/>
          <w:lang w:val="en-US"/>
        </w:rPr>
        <w:t xml:space="preserve">. </w:t>
      </w:r>
      <w:r w:rsidR="004530DE" w:rsidRPr="004530DE">
        <w:rPr>
          <w:rFonts w:ascii="Helvetica" w:hAnsi="Helvetica" w:cs="Times New Roman"/>
          <w:color w:val="FF0000"/>
          <w:lang w:val="en-US"/>
        </w:rPr>
        <w:t xml:space="preserve">From these estimates, it seems we have more than enough dynamic range if we do the </w:t>
      </w:r>
      <w:r w:rsidR="004530DE" w:rsidRPr="00D44028">
        <w:rPr>
          <w:rFonts w:ascii="Helvetica" w:hAnsi="Helvetica" w:cs="Times New Roman"/>
          <w:b/>
          <w:bCs/>
          <w:color w:val="FF0000"/>
          <w:lang w:val="en-US"/>
        </w:rPr>
        <w:t>flooring</w:t>
      </w:r>
      <w:r w:rsidR="004530DE" w:rsidRPr="004530DE">
        <w:rPr>
          <w:rFonts w:ascii="Helvetica" w:hAnsi="Helvetica" w:cs="Times New Roman"/>
          <w:color w:val="FF0000"/>
          <w:lang w:val="en-US"/>
        </w:rPr>
        <w:t xml:space="preserve"> at (HFA </w:t>
      </w:r>
      <w:r w:rsidR="004530DE" w:rsidRPr="004530DE">
        <w:rPr>
          <w:rFonts w:ascii="Times New Roman" w:hAnsi="Times New Roman" w:cs="Times New Roman"/>
          <w:color w:val="FF0000"/>
          <w:lang w:val="en-US"/>
        </w:rPr>
        <w:t>dB</w:t>
      </w:r>
      <w:r w:rsidR="004530DE" w:rsidRPr="004530DE">
        <w:rPr>
          <w:rFonts w:ascii="Helvetica" w:hAnsi="Helvetica" w:cs="Times New Roman"/>
          <w:color w:val="FF0000"/>
          <w:lang w:val="en-US"/>
        </w:rPr>
        <w:t xml:space="preserve"> </w:t>
      </w:r>
      <w:r w:rsidR="004530DE" w:rsidRPr="004530DE">
        <w:rPr>
          <w:rFonts w:ascii="Helvetica" w:hAnsi="Helvetica" w:cs="Times New Roman"/>
          <w:color w:val="FF0000"/>
          <w:lang w:val="en-US"/>
        </w:rPr>
        <w:t xml:space="preserve">scale) of </w:t>
      </w:r>
      <w:r w:rsidR="004530DE" w:rsidRPr="00D44028">
        <w:rPr>
          <w:rFonts w:ascii="Times New Roman" w:hAnsi="Times New Roman" w:cs="Times New Roman"/>
          <w:b/>
          <w:bCs/>
          <w:color w:val="FF0000"/>
          <w:lang w:val="en-US"/>
        </w:rPr>
        <w:t>15 dB</w:t>
      </w:r>
      <w:r w:rsidR="004530DE" w:rsidRPr="00D44028">
        <w:rPr>
          <w:rFonts w:ascii="Helvetica" w:hAnsi="Helvetica" w:cs="Times New Roman"/>
          <w:b/>
          <w:bCs/>
          <w:color w:val="FF0000"/>
          <w:lang w:val="en-US"/>
        </w:rPr>
        <w:t xml:space="preserve"> or </w:t>
      </w:r>
      <w:r w:rsidR="004530DE" w:rsidRPr="00D44028">
        <w:rPr>
          <w:rFonts w:ascii="Times New Roman" w:hAnsi="Times New Roman" w:cs="Times New Roman"/>
          <w:b/>
          <w:bCs/>
          <w:color w:val="FF0000"/>
          <w:lang w:val="en-US"/>
        </w:rPr>
        <w:t>20 dB</w:t>
      </w:r>
      <w:r w:rsidR="004530DE" w:rsidRPr="004530DE">
        <w:rPr>
          <w:rFonts w:ascii="Helvetica" w:hAnsi="Helvetica" w:cs="Times New Roman"/>
          <w:color w:val="FF0000"/>
          <w:lang w:val="en-US"/>
        </w:rPr>
        <w:t xml:space="preserve">, even at a </w:t>
      </w:r>
      <w:r w:rsidR="004530DE" w:rsidRPr="004530DE">
        <w:rPr>
          <w:rFonts w:ascii="Helvetica" w:hAnsi="Helvetica" w:cs="Times New Roman"/>
          <w:b/>
          <w:bCs/>
          <w:color w:val="FF0000"/>
          <w:lang w:val="en-US"/>
        </w:rPr>
        <w:t xml:space="preserve">background luminance of </w:t>
      </w:r>
      <w:r w:rsidR="004530DE" w:rsidRPr="004530DE">
        <w:rPr>
          <w:rFonts w:ascii="Times New Roman" w:hAnsi="Times New Roman" w:cs="Times New Roman"/>
          <w:b/>
          <w:bCs/>
          <w:color w:val="FF0000"/>
          <w:lang w:val="en-US"/>
        </w:rPr>
        <w:t>10 cd m</w:t>
      </w:r>
      <w:r w:rsidR="004530DE" w:rsidRPr="004530DE">
        <w:rPr>
          <w:rFonts w:ascii="Times New Roman" w:hAnsi="Times New Roman" w:cs="Times New Roman"/>
          <w:b/>
          <w:bCs/>
          <w:color w:val="FF0000"/>
          <w:vertAlign w:val="superscript"/>
          <w:lang w:val="en-US"/>
        </w:rPr>
        <w:t>-2</w:t>
      </w:r>
      <w:r w:rsidR="004530DE" w:rsidRPr="004530DE">
        <w:rPr>
          <w:rFonts w:ascii="Helvetica" w:hAnsi="Helvetica" w:cs="Times New Roman"/>
          <w:color w:val="FF0000"/>
          <w:lang w:val="en-US"/>
        </w:rPr>
        <w:t>.</w:t>
      </w:r>
      <w:r w:rsidR="00256957" w:rsidRPr="00256957">
        <w:rPr>
          <w:rFonts w:ascii="Helvetica" w:hAnsi="Helvetica" w:cs="Times New Roman"/>
          <w:color w:val="000000" w:themeColor="text1"/>
          <w:lang w:val="en-US"/>
        </w:rPr>
        <w:t xml:space="preserve"> And about </w:t>
      </w:r>
      <w:r w:rsidR="00256957">
        <w:rPr>
          <w:rFonts w:ascii="Helvetica" w:hAnsi="Helvetica" w:cs="Times New Roman"/>
          <w:color w:val="000000" w:themeColor="text1"/>
          <w:lang w:val="en-US"/>
        </w:rPr>
        <w:t>enough if we use the 10 dB flooring value.</w:t>
      </w:r>
    </w:p>
    <w:p w14:paraId="274174DC" w14:textId="152CEFEB" w:rsidR="009A67B0" w:rsidRDefault="009A67B0">
      <w:pPr>
        <w:rPr>
          <w:rFonts w:ascii="Helvetica" w:hAnsi="Helvetica" w:cs="Times New Roman"/>
          <w:lang w:val="en-US"/>
        </w:rPr>
      </w:pPr>
    </w:p>
    <w:p w14:paraId="399B3682" w14:textId="12448E82" w:rsidR="009A67B0" w:rsidRDefault="009A67B0" w:rsidP="009A67B0">
      <w:pPr>
        <w:rPr>
          <w:rFonts w:ascii="Helvetica" w:hAnsi="Helvetica" w:cs="Times New Roman"/>
          <w:lang w:val="en-US"/>
        </w:rPr>
      </w:pPr>
      <w:r>
        <w:rPr>
          <w:rFonts w:ascii="Helvetica" w:hAnsi="Helvetica" w:cs="Times New Roman"/>
          <w:lang w:val="en-US"/>
        </w:rPr>
        <w:t>[</w:t>
      </w:r>
      <w:r>
        <w:rPr>
          <w:rFonts w:ascii="Helvetica" w:hAnsi="Helvetica" w:cs="Times New Roman"/>
          <w:lang w:val="en-US"/>
        </w:rPr>
        <w:t>1]</w:t>
      </w:r>
      <w:r>
        <w:rPr>
          <w:rFonts w:ascii="Helvetica" w:hAnsi="Helvetica" w:cs="Times New Roman"/>
          <w:lang w:val="en-US"/>
        </w:rPr>
        <w:t xml:space="preserve"> </w:t>
      </w:r>
      <w:r w:rsidRPr="00244B06">
        <w:rPr>
          <w:rFonts w:ascii="Helvetica" w:hAnsi="Helvetica" w:cs="Times New Roman"/>
          <w:lang w:val="en-US"/>
        </w:rPr>
        <w:t>Sun</w:t>
      </w:r>
      <w:r>
        <w:rPr>
          <w:rFonts w:ascii="Helvetica" w:hAnsi="Helvetica" w:cs="Times New Roman"/>
          <w:lang w:val="en-US"/>
        </w:rPr>
        <w:t xml:space="preserve"> et al</w:t>
      </w:r>
      <w:r w:rsidRPr="00244B06">
        <w:rPr>
          <w:rFonts w:ascii="Helvetica" w:hAnsi="Helvetica" w:cs="Times New Roman"/>
          <w:lang w:val="en-US"/>
        </w:rPr>
        <w:t>.</w:t>
      </w:r>
      <w:r>
        <w:rPr>
          <w:rFonts w:ascii="Helvetica" w:hAnsi="Helvetica" w:cs="Times New Roman"/>
          <w:lang w:val="en-US"/>
        </w:rPr>
        <w:t xml:space="preserve"> “</w:t>
      </w:r>
      <w:r w:rsidRPr="00244B06">
        <w:rPr>
          <w:rFonts w:ascii="Helvetica" w:hAnsi="Helvetica" w:cs="Times New Roman"/>
          <w:lang w:val="en-US"/>
        </w:rPr>
        <w:t>Linearity Can Account for the Similarity Among Conventional, Frequency-Doubling, and Gabor-Based Perimetric Tests in the Glaucomatous Macula</w:t>
      </w:r>
      <w:r>
        <w:rPr>
          <w:rFonts w:ascii="Helvetica" w:hAnsi="Helvetica" w:cs="Times New Roman"/>
          <w:lang w:val="en-US"/>
        </w:rPr>
        <w:t>”</w:t>
      </w:r>
      <w:r w:rsidRPr="00244B06">
        <w:rPr>
          <w:rFonts w:ascii="Helvetica" w:hAnsi="Helvetica" w:cs="Times New Roman"/>
          <w:lang w:val="en-US"/>
        </w:rPr>
        <w:t xml:space="preserve"> Optometry and Vision Science</w:t>
      </w:r>
      <w:r>
        <w:rPr>
          <w:rFonts w:ascii="Helvetica" w:hAnsi="Helvetica" w:cs="Times New Roman"/>
          <w:lang w:val="en-US"/>
        </w:rPr>
        <w:t xml:space="preserve"> 83(7), </w:t>
      </w:r>
      <w:r w:rsidRPr="00244B06">
        <w:rPr>
          <w:rFonts w:ascii="Helvetica" w:hAnsi="Helvetica" w:cs="Times New Roman"/>
          <w:lang w:val="en-US"/>
        </w:rPr>
        <w:t>2006</w:t>
      </w:r>
      <w:r>
        <w:rPr>
          <w:rFonts w:ascii="Helvetica" w:hAnsi="Helvetica" w:cs="Times New Roman"/>
          <w:lang w:val="en-US"/>
        </w:rPr>
        <w:t>.</w:t>
      </w:r>
    </w:p>
    <w:p w14:paraId="77FCD599" w14:textId="77777777" w:rsidR="009A67B0" w:rsidRDefault="009A67B0">
      <w:pPr>
        <w:rPr>
          <w:rFonts w:ascii="Helvetica" w:hAnsi="Helvetica" w:cs="Times New Roman"/>
          <w:lang w:val="en-US"/>
        </w:rPr>
      </w:pPr>
    </w:p>
    <w:sectPr w:rsidR="009A67B0" w:rsidSect="00774E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A1AA8"/>
    <w:multiLevelType w:val="hybridMultilevel"/>
    <w:tmpl w:val="AA96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01"/>
    <w:rsid w:val="00007ECC"/>
    <w:rsid w:val="0001105A"/>
    <w:rsid w:val="00021F0B"/>
    <w:rsid w:val="00026512"/>
    <w:rsid w:val="00041D3B"/>
    <w:rsid w:val="00052167"/>
    <w:rsid w:val="00074913"/>
    <w:rsid w:val="000A119B"/>
    <w:rsid w:val="000A5A60"/>
    <w:rsid w:val="000A7602"/>
    <w:rsid w:val="000F23F8"/>
    <w:rsid w:val="0010738F"/>
    <w:rsid w:val="001167AF"/>
    <w:rsid w:val="00127D23"/>
    <w:rsid w:val="00131479"/>
    <w:rsid w:val="00133B46"/>
    <w:rsid w:val="00146979"/>
    <w:rsid w:val="00147770"/>
    <w:rsid w:val="00177943"/>
    <w:rsid w:val="00177E7D"/>
    <w:rsid w:val="0019473D"/>
    <w:rsid w:val="00196504"/>
    <w:rsid w:val="001A426A"/>
    <w:rsid w:val="001A449A"/>
    <w:rsid w:val="001A5AC8"/>
    <w:rsid w:val="001D01FD"/>
    <w:rsid w:val="001D5068"/>
    <w:rsid w:val="001E0239"/>
    <w:rsid w:val="001E6354"/>
    <w:rsid w:val="001F0B51"/>
    <w:rsid w:val="0021089E"/>
    <w:rsid w:val="002177E1"/>
    <w:rsid w:val="002276A9"/>
    <w:rsid w:val="002278C9"/>
    <w:rsid w:val="00230134"/>
    <w:rsid w:val="00232A37"/>
    <w:rsid w:val="00234231"/>
    <w:rsid w:val="00236845"/>
    <w:rsid w:val="002426E6"/>
    <w:rsid w:val="00244B06"/>
    <w:rsid w:val="00256957"/>
    <w:rsid w:val="00271F2B"/>
    <w:rsid w:val="00291573"/>
    <w:rsid w:val="00297F9B"/>
    <w:rsid w:val="002A0FD9"/>
    <w:rsid w:val="00307C63"/>
    <w:rsid w:val="00322FA3"/>
    <w:rsid w:val="00341440"/>
    <w:rsid w:val="0035339C"/>
    <w:rsid w:val="00357C6D"/>
    <w:rsid w:val="0037307D"/>
    <w:rsid w:val="00374CA2"/>
    <w:rsid w:val="00384544"/>
    <w:rsid w:val="00385596"/>
    <w:rsid w:val="003A4FF8"/>
    <w:rsid w:val="003A5165"/>
    <w:rsid w:val="003B637E"/>
    <w:rsid w:val="003E4BF0"/>
    <w:rsid w:val="003E7330"/>
    <w:rsid w:val="003F4BA7"/>
    <w:rsid w:val="00405932"/>
    <w:rsid w:val="00405AF5"/>
    <w:rsid w:val="00424687"/>
    <w:rsid w:val="00432B61"/>
    <w:rsid w:val="00443C5B"/>
    <w:rsid w:val="00443E21"/>
    <w:rsid w:val="004530DE"/>
    <w:rsid w:val="00455287"/>
    <w:rsid w:val="00461EDD"/>
    <w:rsid w:val="00463FD8"/>
    <w:rsid w:val="00466234"/>
    <w:rsid w:val="00467EB8"/>
    <w:rsid w:val="00476FBD"/>
    <w:rsid w:val="00480815"/>
    <w:rsid w:val="004A12A4"/>
    <w:rsid w:val="004A3915"/>
    <w:rsid w:val="004A4453"/>
    <w:rsid w:val="004B6DBE"/>
    <w:rsid w:val="004C39A5"/>
    <w:rsid w:val="004C7B7A"/>
    <w:rsid w:val="004E332A"/>
    <w:rsid w:val="004E7210"/>
    <w:rsid w:val="00503440"/>
    <w:rsid w:val="00513392"/>
    <w:rsid w:val="005161DC"/>
    <w:rsid w:val="00523818"/>
    <w:rsid w:val="00524598"/>
    <w:rsid w:val="00535F80"/>
    <w:rsid w:val="00546C82"/>
    <w:rsid w:val="00561602"/>
    <w:rsid w:val="0058315C"/>
    <w:rsid w:val="005A33D9"/>
    <w:rsid w:val="005C3459"/>
    <w:rsid w:val="005D55DB"/>
    <w:rsid w:val="005E41D1"/>
    <w:rsid w:val="005E4D34"/>
    <w:rsid w:val="005F109F"/>
    <w:rsid w:val="00605CDB"/>
    <w:rsid w:val="00606B5A"/>
    <w:rsid w:val="00614055"/>
    <w:rsid w:val="006347C9"/>
    <w:rsid w:val="0063598B"/>
    <w:rsid w:val="0064417E"/>
    <w:rsid w:val="006676C8"/>
    <w:rsid w:val="00674C09"/>
    <w:rsid w:val="006A0D60"/>
    <w:rsid w:val="006B175C"/>
    <w:rsid w:val="006B434F"/>
    <w:rsid w:val="006C045B"/>
    <w:rsid w:val="006C36DB"/>
    <w:rsid w:val="006E6081"/>
    <w:rsid w:val="006E60F5"/>
    <w:rsid w:val="006E6DAE"/>
    <w:rsid w:val="006F7E98"/>
    <w:rsid w:val="0070208C"/>
    <w:rsid w:val="007037A3"/>
    <w:rsid w:val="007040F1"/>
    <w:rsid w:val="00705B76"/>
    <w:rsid w:val="007258DA"/>
    <w:rsid w:val="00735407"/>
    <w:rsid w:val="00744C24"/>
    <w:rsid w:val="00766AAF"/>
    <w:rsid w:val="00770C6E"/>
    <w:rsid w:val="00774EB6"/>
    <w:rsid w:val="00775F1B"/>
    <w:rsid w:val="007770B3"/>
    <w:rsid w:val="00783DDD"/>
    <w:rsid w:val="0079740D"/>
    <w:rsid w:val="007B09A1"/>
    <w:rsid w:val="007B0B6C"/>
    <w:rsid w:val="008159E9"/>
    <w:rsid w:val="00844F4E"/>
    <w:rsid w:val="008517B9"/>
    <w:rsid w:val="00853D04"/>
    <w:rsid w:val="00864BDF"/>
    <w:rsid w:val="00876C85"/>
    <w:rsid w:val="0087791F"/>
    <w:rsid w:val="00896663"/>
    <w:rsid w:val="008C319A"/>
    <w:rsid w:val="00914887"/>
    <w:rsid w:val="009151D0"/>
    <w:rsid w:val="00923221"/>
    <w:rsid w:val="0093668D"/>
    <w:rsid w:val="0096500D"/>
    <w:rsid w:val="009666C2"/>
    <w:rsid w:val="00973C04"/>
    <w:rsid w:val="00973C8F"/>
    <w:rsid w:val="00993DC6"/>
    <w:rsid w:val="009A67B0"/>
    <w:rsid w:val="009B5673"/>
    <w:rsid w:val="009C423F"/>
    <w:rsid w:val="009D6411"/>
    <w:rsid w:val="009E31A2"/>
    <w:rsid w:val="00A01F95"/>
    <w:rsid w:val="00A04DCC"/>
    <w:rsid w:val="00A1017A"/>
    <w:rsid w:val="00A32018"/>
    <w:rsid w:val="00A43C34"/>
    <w:rsid w:val="00A45988"/>
    <w:rsid w:val="00A46601"/>
    <w:rsid w:val="00A52E3C"/>
    <w:rsid w:val="00A61C8C"/>
    <w:rsid w:val="00A7508B"/>
    <w:rsid w:val="00A81B1A"/>
    <w:rsid w:val="00A91542"/>
    <w:rsid w:val="00A93E2C"/>
    <w:rsid w:val="00A94AC4"/>
    <w:rsid w:val="00AA2B83"/>
    <w:rsid w:val="00AA2F4B"/>
    <w:rsid w:val="00AD432C"/>
    <w:rsid w:val="00AE17DB"/>
    <w:rsid w:val="00B131E1"/>
    <w:rsid w:val="00B1505B"/>
    <w:rsid w:val="00B40FC2"/>
    <w:rsid w:val="00B438D0"/>
    <w:rsid w:val="00B46E94"/>
    <w:rsid w:val="00B52256"/>
    <w:rsid w:val="00B554C2"/>
    <w:rsid w:val="00B56669"/>
    <w:rsid w:val="00B62241"/>
    <w:rsid w:val="00B75A5D"/>
    <w:rsid w:val="00B9052A"/>
    <w:rsid w:val="00BA7B7C"/>
    <w:rsid w:val="00BC28F6"/>
    <w:rsid w:val="00BC59B0"/>
    <w:rsid w:val="00BC67AF"/>
    <w:rsid w:val="00BF77C5"/>
    <w:rsid w:val="00C07232"/>
    <w:rsid w:val="00C17101"/>
    <w:rsid w:val="00C175CD"/>
    <w:rsid w:val="00C26EB5"/>
    <w:rsid w:val="00C4448A"/>
    <w:rsid w:val="00C91B01"/>
    <w:rsid w:val="00CA1641"/>
    <w:rsid w:val="00CB2DE7"/>
    <w:rsid w:val="00CD5EDB"/>
    <w:rsid w:val="00CD686D"/>
    <w:rsid w:val="00D20E7D"/>
    <w:rsid w:val="00D358B7"/>
    <w:rsid w:val="00D44028"/>
    <w:rsid w:val="00D53893"/>
    <w:rsid w:val="00D565BC"/>
    <w:rsid w:val="00D63E4B"/>
    <w:rsid w:val="00D86051"/>
    <w:rsid w:val="00DA1A31"/>
    <w:rsid w:val="00DA57A4"/>
    <w:rsid w:val="00DD79E2"/>
    <w:rsid w:val="00DE5A7C"/>
    <w:rsid w:val="00DE7268"/>
    <w:rsid w:val="00E1758A"/>
    <w:rsid w:val="00E30E5F"/>
    <w:rsid w:val="00E4765F"/>
    <w:rsid w:val="00E47D67"/>
    <w:rsid w:val="00E56C42"/>
    <w:rsid w:val="00E6034C"/>
    <w:rsid w:val="00E72FEB"/>
    <w:rsid w:val="00E76E6D"/>
    <w:rsid w:val="00E776BA"/>
    <w:rsid w:val="00E955E0"/>
    <w:rsid w:val="00EA0AEB"/>
    <w:rsid w:val="00ED29C5"/>
    <w:rsid w:val="00ED4659"/>
    <w:rsid w:val="00EE691F"/>
    <w:rsid w:val="00EF029F"/>
    <w:rsid w:val="00F0000C"/>
    <w:rsid w:val="00F0010F"/>
    <w:rsid w:val="00F01881"/>
    <w:rsid w:val="00F07623"/>
    <w:rsid w:val="00F12752"/>
    <w:rsid w:val="00F305A1"/>
    <w:rsid w:val="00F30ABA"/>
    <w:rsid w:val="00F4207A"/>
    <w:rsid w:val="00F465F0"/>
    <w:rsid w:val="00F55246"/>
    <w:rsid w:val="00F604A1"/>
    <w:rsid w:val="00FA2DF2"/>
    <w:rsid w:val="00FA4A94"/>
    <w:rsid w:val="00FA51F0"/>
    <w:rsid w:val="00FB5B6E"/>
    <w:rsid w:val="00FE1C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12F8C08"/>
  <w15:chartTrackingRefBased/>
  <w15:docId w15:val="{4D4A56AE-E111-5F49-8934-FAB85CCE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65F"/>
    <w:rPr>
      <w:color w:val="808080"/>
    </w:rPr>
  </w:style>
  <w:style w:type="paragraph" w:styleId="ListParagraph">
    <w:name w:val="List Paragraph"/>
    <w:basedOn w:val="Normal"/>
    <w:uiPriority w:val="34"/>
    <w:qFormat/>
    <w:rsid w:val="0004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Marín Franch</dc:creator>
  <cp:keywords/>
  <dc:description/>
  <cp:lastModifiedBy>Iván Marín Franch</cp:lastModifiedBy>
  <cp:revision>21</cp:revision>
  <dcterms:created xsi:type="dcterms:W3CDTF">2020-04-25T10:54:00Z</dcterms:created>
  <dcterms:modified xsi:type="dcterms:W3CDTF">2020-04-25T14:46:00Z</dcterms:modified>
</cp:coreProperties>
</file>