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Dissertation Front Sheet</w:t>
      </w:r>
    </w:p>
    <w:p w:rsidR="007C6CFD" w:rsidRDefault="002216B3" w:rsidP="007C6CFD">
      <w:pPr>
        <w:pStyle w:val="DocumentTitle"/>
        <w:jc w:val="left"/>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8pt;height:106.8pt">
            <v:imagedata r:id="rId9" o:title="wee UWS logo"/>
          </v:shape>
        </w:pict>
      </w:r>
    </w:p>
    <w:p w:rsidR="007C6CFD" w:rsidRDefault="007C6CFD" w:rsidP="00893A79">
      <w:pPr>
        <w:pStyle w:val="DocumentTitle"/>
      </w:pPr>
    </w:p>
    <w:p w:rsidR="00893A79" w:rsidRDefault="00893A79" w:rsidP="00893A79">
      <w:pPr>
        <w:pStyle w:val="DocumentTitle"/>
      </w:pPr>
      <w:r>
        <w:t>&lt;Project Title&gt;</w:t>
      </w:r>
    </w:p>
    <w:p w:rsidR="00893A79" w:rsidRDefault="00893A79" w:rsidP="00893A79">
      <w:pPr>
        <w:pStyle w:val="DocumentTitle"/>
        <w:rPr>
          <w:szCs w:val="36"/>
        </w:rPr>
      </w:pPr>
    </w:p>
    <w:p w:rsidR="00893A79" w:rsidRDefault="00893A79" w:rsidP="00893A79">
      <w:pPr>
        <w:pStyle w:val="DocumentTitle"/>
        <w:rPr>
          <w:szCs w:val="36"/>
        </w:rPr>
      </w:pPr>
    </w:p>
    <w:p w:rsidR="00893A79" w:rsidRDefault="00893A79" w:rsidP="00893A79">
      <w:pPr>
        <w:pStyle w:val="DocumentSubtitle"/>
      </w:pPr>
      <w:r>
        <w:t>&lt;Sub-title (if used)&gt;</w:t>
      </w:r>
    </w:p>
    <w:p w:rsidR="00893A79" w:rsidRDefault="00893A79" w:rsidP="00893A79">
      <w:pPr>
        <w:pStyle w:val="DocumentSubtitle"/>
      </w:pPr>
    </w:p>
    <w:p w:rsidR="00893A79" w:rsidRDefault="00893A79" w:rsidP="00893A79">
      <w:pPr>
        <w:pStyle w:val="DocumentSubtitle"/>
      </w:pPr>
    </w:p>
    <w:p w:rsidR="00893A79" w:rsidRDefault="00893A79" w:rsidP="00893A79">
      <w:pPr>
        <w:pStyle w:val="DocumentSubtitle"/>
      </w:pPr>
    </w:p>
    <w:p w:rsidR="00893A79" w:rsidRDefault="00893A79" w:rsidP="00893A79">
      <w:pPr>
        <w:pStyle w:val="DocumentAuthorName"/>
      </w:pPr>
      <w:r>
        <w:t>&lt;Your Name&gt;</w:t>
      </w:r>
    </w:p>
    <w:p w:rsidR="00893A79" w:rsidRDefault="00893A79" w:rsidP="00893A79">
      <w:pPr>
        <w:pStyle w:val="DocumentAuthorName"/>
      </w:pPr>
      <w:r>
        <w:t>&lt;Your Matric no.&gt;</w:t>
      </w: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PlaceandDate"/>
      </w:pPr>
      <w:r>
        <w:t xml:space="preserve">Thesis Project for the partial fulfilment </w:t>
      </w:r>
    </w:p>
    <w:p w:rsidR="00893A79" w:rsidRDefault="00893A79" w:rsidP="00893A79">
      <w:pPr>
        <w:pStyle w:val="DocumentPlaceandDate"/>
      </w:pPr>
      <w:r>
        <w:t xml:space="preserve">of the requirements for the Master Degree </w:t>
      </w:r>
    </w:p>
    <w:p w:rsidR="00893A79" w:rsidRDefault="00893A79" w:rsidP="00893A79">
      <w:pPr>
        <w:pStyle w:val="DocumentPlaceandDate"/>
      </w:pPr>
      <w:r>
        <w:t>in Information Technology/E-Business Management</w:t>
      </w:r>
      <w:r w:rsidR="007C6CFD">
        <w:t xml:space="preserve"> / Advanced Computer Systems Development</w:t>
      </w:r>
      <w:r>
        <w:t xml:space="preserve"> (delete one)</w:t>
      </w:r>
    </w:p>
    <w:p w:rsidR="00893A79" w:rsidRDefault="00893A79" w:rsidP="00893A79">
      <w:pPr>
        <w:pStyle w:val="DocumentPlaceandDate"/>
      </w:pPr>
    </w:p>
    <w:p w:rsidR="00893A79" w:rsidRDefault="00893A79" w:rsidP="00893A79">
      <w:pPr>
        <w:pStyle w:val="DocumentPlaceandDate"/>
        <w:rPr>
          <w:szCs w:val="32"/>
        </w:rPr>
      </w:pPr>
    </w:p>
    <w:p w:rsidR="005A328B" w:rsidRDefault="00893A79" w:rsidP="00893A79">
      <w:pPr>
        <w:pStyle w:val="DocumentPlaceandDate"/>
        <w:rPr>
          <w:szCs w:val="28"/>
        </w:rPr>
      </w:pPr>
      <w:r>
        <w:rPr>
          <w:szCs w:val="28"/>
        </w:rPr>
        <w:t xml:space="preserve">University of </w:t>
      </w:r>
      <w:r w:rsidR="005A328B">
        <w:rPr>
          <w:szCs w:val="28"/>
        </w:rPr>
        <w:t>the West of Scotland</w:t>
      </w:r>
    </w:p>
    <w:p w:rsidR="00893A79" w:rsidRDefault="00893A79" w:rsidP="00893A79">
      <w:pPr>
        <w:pStyle w:val="DocumentPlaceandDate"/>
        <w:rPr>
          <w:szCs w:val="28"/>
        </w:rPr>
      </w:pPr>
      <w:r>
        <w:rPr>
          <w:szCs w:val="28"/>
        </w:rPr>
        <w:t>School of Computing</w:t>
      </w:r>
    </w:p>
    <w:p w:rsidR="006C085D" w:rsidRPr="00893A79" w:rsidRDefault="00893A79" w:rsidP="00893A79">
      <w:pPr>
        <w:pStyle w:val="DocumentPlaceandDate"/>
        <w:rPr>
          <w:szCs w:val="28"/>
        </w:rPr>
      </w:pPr>
      <w:r w:rsidRPr="00893A79">
        <w:rPr>
          <w:szCs w:val="28"/>
        </w:rPr>
        <w:t>&lt;Date of submission&gt;</w:t>
      </w:r>
    </w:p>
    <w:p>
      <w:r>
        <w:br w:type="page"/>
      </w:r>
    </w:p>
    <w:p>
      <w:pPr>
        <w:pStyle w:val="Heading1"/>
      </w:pPr>
      <w:r>
        <w:t>Declaration of Originality</w:t>
      </w:r>
    </w:p>
    <w:p w:rsidR="008C7221" w:rsidRDefault="005D3713" w:rsidP="00E65CDC">
      <w:pPr>
        <w:jc w:val="center"/>
      </w:pPr>
      <w:r>
        <w:rPr>
          <w:noProof/>
          <w:lang w:eastAsia="en-GB"/>
        </w:rPr>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E65CDC" w:rsidRDefault="00E65CDC" w:rsidP="00E65CDC">
      <w:pPr>
        <w:jc w:val="center"/>
      </w:pPr>
    </w:p>
    <w:p w:rsidR="00E65CDC" w:rsidRDefault="00E65CDC" w:rsidP="00E65CDC">
      <w:pPr>
        <w:jc w:val="center"/>
      </w:pPr>
    </w:p>
    <w:p w:rsidR="00E65CDC" w:rsidRDefault="00E65CDC" w:rsidP="00E65CDC">
      <w:pPr>
        <w:jc w:val="center"/>
      </w:pPr>
    </w:p>
    <w:p w:rsidR="00E65CDC" w:rsidRPr="00E65CDC" w:rsidRDefault="00E65CDC" w:rsidP="00E65CDC">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work</w:t>
      </w:r>
      <w:proofErr w:type="gramEnd"/>
      <w:r>
        <w:rPr>
          <w:rFonts w:ascii="TimesNewRoman" w:hAnsi="TimesNewRoman" w:cs="TimesNewRoman"/>
          <w:sz w:val="28"/>
          <w:szCs w:val="28"/>
        </w:rPr>
        <w:t xml:space="preserve"> and that I have not submitted it for any other</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course</w:t>
      </w:r>
      <w:proofErr w:type="gramEnd"/>
      <w:r>
        <w:rPr>
          <w:rFonts w:ascii="TimesNewRoman" w:hAnsi="TimesNewRoman" w:cs="TimesNewRoman"/>
          <w:sz w:val="28"/>
          <w:szCs w:val="28"/>
        </w:rPr>
        <w:t xml:space="preserve"> or degree.</w:t>
      </w: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Pr="00E65CDC" w:rsidRDefault="00E65CDC" w:rsidP="00E65CDC">
      <w:pPr>
        <w:jc w:val="center"/>
        <w:rPr>
          <w:sz w:val="40"/>
          <w:szCs w:val="40"/>
        </w:rPr>
      </w:pPr>
      <w:r>
        <w:rPr>
          <w:rFonts w:ascii="TimesNewRoman" w:hAnsi="TimesNewRoman" w:cs="TimesNewRoman"/>
          <w:sz w:val="28"/>
          <w:szCs w:val="28"/>
        </w:rPr>
        <w:t>Signature_______________________</w:t>
      </w:r>
    </w:p>
    <w:p>
      <w:r>
        <w:br w:type="page"/>
      </w:r>
    </w:p>
    <w:p>
      <w:pPr>
        <w:pStyle w:val="Heading1"/>
      </w:pPr>
      <w:r>
        <w:t>Library Release Form</w:t>
      </w:r>
    </w:p>
    <w:p w:rsidR="004A031E" w:rsidRDefault="004A031E">
      <w:pPr>
        <w:pStyle w:val="Title"/>
        <w:rPr>
          <w:rFonts w:ascii="Arial" w:hAnsi="Arial" w:cs="Arial"/>
        </w:rPr>
      </w:pPr>
      <w:bookmarkStart w:id="1" w:name="_GoBack"/>
      <w:bookmarkEnd w:id="1"/>
    </w:p>
    <w:p w:rsidR="004A031E" w:rsidRDefault="006D1248" w:rsidP="006D1248">
      <w:pPr>
        <w:jc w:val="center"/>
        <w:rPr>
          <w:rFonts w:ascii="Arial" w:hAnsi="Arial" w:cs="Arial"/>
          <w:b/>
          <w:w w:val="150"/>
        </w:rPr>
      </w:pPr>
      <w:r>
        <w:rPr>
          <w:rFonts w:ascii="Arial" w:hAnsi="Arial" w:cs="Arial"/>
          <w:b/>
          <w:w w:val="15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4pt;height:43.2pt">
            <v:imagedata r:id="rId11" o:title="big UWS logo"/>
          </v:shape>
        </w:pict>
      </w:r>
    </w:p>
    <w:p w:rsidR="004A031E" w:rsidRDefault="004A031E">
      <w:pPr>
        <w:pStyle w:val="Title"/>
        <w:rPr>
          <w:rFonts w:ascii="Arial" w:hAnsi="Arial" w:cs="Arial"/>
        </w:rPr>
      </w:pPr>
    </w:p>
    <w:p w:rsidR="004A031E" w:rsidRDefault="004A031E">
      <w:pPr>
        <w:pStyle w:val="Title"/>
        <w:rPr>
          <w:rFonts w:ascii="Arial" w:hAnsi="Arial" w:cs="Arial"/>
        </w:rPr>
      </w:pPr>
    </w:p>
    <w:p w:rsidR="00DE2720" w:rsidRPr="004A031E" w:rsidRDefault="00DE2720">
      <w:pPr>
        <w:pStyle w:val="Title"/>
        <w:rPr>
          <w:rFonts w:ascii="Arial" w:hAnsi="Arial" w:cs="Arial"/>
        </w:rPr>
      </w:pPr>
      <w:r w:rsidRPr="004A031E">
        <w:rPr>
          <w:rFonts w:ascii="Arial" w:hAnsi="Arial" w:cs="Arial"/>
        </w:rPr>
        <w:t>Library Form to Accompany MSc Project</w:t>
      </w:r>
    </w:p>
    <w:p w:rsidR="00DE2720" w:rsidRPr="004A031E" w:rsidRDefault="00DE2720">
      <w:pPr>
        <w:jc w:val="center"/>
        <w:rPr>
          <w:rFonts w:ascii="Arial" w:hAnsi="Arial" w:cs="Arial"/>
          <w:b/>
          <w:sz w:val="28"/>
          <w:u w:val="single"/>
        </w:rPr>
      </w:pPr>
    </w:p>
    <w:p w:rsidR="00DE2720" w:rsidRPr="004A031E" w:rsidRDefault="00DE2720">
      <w:pPr>
        <w:pStyle w:val="Subtitle"/>
        <w:rPr>
          <w:rFonts w:ascii="Arial" w:hAnsi="Arial" w:cs="Arial"/>
        </w:rPr>
      </w:pPr>
      <w:r w:rsidRPr="004A031E">
        <w:rPr>
          <w:rFonts w:ascii="Arial" w:hAnsi="Arial" w:cs="Arial"/>
        </w:rPr>
        <w:t>To be completed in full</w:t>
      </w:r>
    </w:p>
    <w:p w:rsidR="00DE2720" w:rsidRPr="004A031E" w:rsidRDefault="00DE2720">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Surname: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First Name:</w:t>
            </w:r>
            <w:r w:rsidRPr="004A031E">
              <w:rPr>
                <w:rFonts w:ascii="Arial" w:hAnsi="Arial" w:cs="Arial"/>
                <w:b/>
                <w:sz w:val="24"/>
              </w:rPr>
              <w:tab/>
            </w:r>
            <w:r w:rsidRPr="004A031E">
              <w:rPr>
                <w:rFonts w:ascii="Arial" w:hAnsi="Arial" w:cs="Arial"/>
                <w:b/>
                <w:sz w:val="24"/>
              </w:rPr>
              <w:tab/>
            </w:r>
            <w:r w:rsidRPr="004A031E">
              <w:rPr>
                <w:rFonts w:ascii="Arial" w:hAnsi="Arial" w:cs="Arial"/>
                <w:b/>
                <w:sz w:val="24"/>
              </w:rPr>
              <w:tab/>
              <w:t xml:space="preserve">                          Initials:</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38644E">
            <w:pPr>
              <w:rPr>
                <w:rFonts w:ascii="Arial" w:hAnsi="Arial" w:cs="Arial"/>
                <w:b/>
                <w:sz w:val="24"/>
              </w:rPr>
            </w:pPr>
            <w:r>
              <w:rPr>
                <w:rFonts w:ascii="Arial" w:hAnsi="Arial" w:cs="Arial"/>
                <w:b/>
                <w:sz w:val="24"/>
              </w:rPr>
              <w:t>Banner</w:t>
            </w:r>
            <w:r w:rsidR="00DE2720" w:rsidRPr="004A031E">
              <w:rPr>
                <w:rFonts w:ascii="Arial" w:hAnsi="Arial" w:cs="Arial"/>
                <w:b/>
                <w:sz w:val="24"/>
              </w:rPr>
              <w:t xml:space="preserve"> No:</w:t>
            </w:r>
            <w:r w:rsidR="00DE2720"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Code: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Title:</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Supervisor:</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Title: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Session:</w:t>
            </w:r>
            <w:r w:rsidRPr="004A031E">
              <w:rPr>
                <w:rFonts w:ascii="Arial" w:hAnsi="Arial" w:cs="Arial"/>
                <w:b/>
                <w:sz w:val="24"/>
              </w:rPr>
              <w:tab/>
            </w:r>
            <w:r w:rsidRPr="004A031E">
              <w:rPr>
                <w:rFonts w:ascii="Arial" w:hAnsi="Arial" w:cs="Arial"/>
                <w:b/>
                <w:sz w:val="24"/>
              </w:rPr>
              <w:tab/>
              <w:t xml:space="preserve">                                     Date of Submission:</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Signature:</w:t>
            </w:r>
          </w:p>
          <w:p w:rsidR="00DE2720" w:rsidRPr="004A031E" w:rsidRDefault="00DE2720">
            <w:pPr>
              <w:rPr>
                <w:rFonts w:ascii="Arial" w:hAnsi="Arial" w:cs="Arial"/>
                <w:b/>
                <w:sz w:val="24"/>
              </w:rPr>
            </w:pPr>
          </w:p>
        </w:tc>
      </w:tr>
    </w:tbl>
    <w:p w:rsidR="00DE2720" w:rsidRPr="004A031E" w:rsidRDefault="00DE2720">
      <w:pPr>
        <w:jc w:val="center"/>
        <w:rPr>
          <w:rFonts w:ascii="Arial" w:hAnsi="Arial" w:cs="Arial"/>
          <w:sz w:val="28"/>
        </w:rPr>
      </w:pPr>
    </w:p>
    <w:p w:rsidR="00DE2720" w:rsidRPr="004A031E" w:rsidRDefault="00DE2720">
      <w:pPr>
        <w:jc w:val="center"/>
        <w:rPr>
          <w:rFonts w:ascii="Arial" w:hAnsi="Arial" w:cs="Arial"/>
          <w:b/>
          <w:sz w:val="24"/>
        </w:rPr>
      </w:pPr>
      <w:r w:rsidRPr="004A031E">
        <w:rPr>
          <w:rFonts w:ascii="Arial" w:hAnsi="Arial" w:cs="Arial"/>
          <w:b/>
          <w:sz w:val="24"/>
        </w:rPr>
        <w:t>Please ensure that a copy of this form is included with your project before submission.</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12"/>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r>
        <w:t>Arka Talukder | B01821011</w:t>
      </w:r>
    </w:p>
    <w:p>
      <w:r>
        <w:t>MSc Cyber Security (Full-time)</w:t>
      </w:r>
    </w:p>
    <w:p>
      <w:r>
        <w:t>University of the West of Scotland</w:t>
      </w:r>
    </w:p>
    <w:p>
      <w:r>
        <w:t>School of Computing, Engineering and Physical Sciences</w:t>
      </w:r>
    </w:p>
    <w:p>
      <w:r>
        <w:t>Supervisor: Dr. Raja Ujjan</w:t>
      </w:r>
    </w:p>
    <w:p>
      <w:r>
        <w:t>Humanized submission file: this document is synchronised with the main thesis Markdown (Dissertation_Arka_Talukder.md) for identical technical method, tables, figures, references, and Harvard (UWS) citations, so the Word export matches supervisor and programme requirements (no alternative data splits or unverified claims). Regenerate the paired .docx with: python scripts/sync_humanized_md_and_docx.py.</w:t>
      </w:r>
    </w:p>
    <w:p>
      <w:pPr>
        <w:pStyle w:val="Heading1"/>
      </w:pPr>
      <w:r>
        <w:t>1. Abstract</w:t>
      </w:r>
    </w:p>
    <w:p>
      <w:r>
        <w:t>Internet of Things (IoT) deployments produce large flow telemetry that Security Operations Centres (SOCs) must triage on CPU-only edge infrastructure. Detectors should be accurate, privacy-aware, and explainable, so analysts can act on alerts without extra investigation delay.</w:t>
      </w:r>
    </w:p>
    <w:p>
      <w:r>
        <w:t>This dissertation develops an end-to-end prototype on CICIoT2023 (Pinto et al. 2023). Flows are standardised, grouped into windows, converted into kNN similarity graphs, and classified by a dynamic GNN (GAT + GRU) built with PyTorch Geometric. The same architecture is trained centrally and with Flower FedAvg across three non-IID clients (Dirichlet alpha = 0.5). Explainability combines Captum Integrated Gradients and GAT attention, and results are served as ECS-like JSON through a FastAPI endpoint.</w:t>
      </w:r>
    </w:p>
    <w:p>
      <w:r>
        <w:t>Results. On the held-out test split, central and federated GNN runs achieve F1 = 100% and ROC-AUC = 100% with zero false positives, while Random Forest and MLP achieve F1 = 99.86% and 99.42%. Mean CPU inference is about 23 ms per five-window sequence, and federated communication is about 31 MB over ten rounds. Ablation, sensitivity, and multi-seed checks support these findings.</w:t>
      </w:r>
    </w:p>
    <w:p>
      <w:r>
        <w:t>Keywords: IoT security, dynamic graph neural network, federated learning, SIEM, explainable AI, edge AI, SOC, CICIoT2023</w:t>
      </w:r>
    </w:p>
    <w:p>
      <w:pPr>
        <w:pStyle w:val="Heading1"/>
      </w:pPr>
      <w:r>
        <w:t>Acknowledgements</w:t>
      </w:r>
    </w:p>
    <w:p>
      <w:r>
        <w:t>I thank my supervisor, Dr. Raja Ujjan, for technical guidance, feedback on design and evaluation, and support throughout the project. I thank my moderator, Muhsin Hassanu, for reviewing interim work and helping sharpen the final report. I also thank Dr. Daune West for support and academic encouragement during the submission period. I am grateful to School and programme staff for module materials and submission guidance, and to the MSc Project co-ordinator for administrative communication around milestones and ethics. Finally, I thank friends and family for patience during intensive writing and experiment runs.</w:t>
      </w:r>
    </w:p>
    <w:p>
      <w:pPr>
        <w:pStyle w:val="Heading1"/>
      </w:pPr>
      <w:r>
        <w:t>List of Abbreviations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AI</w:t>
            </w:r>
          </w:p>
        </w:tc>
        <w:tc>
          <w:tcPr>
            <w:tcW w:type="dxa" w:w="4500"/>
          </w:tcPr>
          <w:p>
            <w:pPr>
              <w:spacing w:line="240" w:lineRule="auto"/>
            </w:pPr>
            <w:r>
              <w:rPr>
                <w:rFonts w:ascii="Times New Roman" w:hAnsi="Times New Roman"/>
                <w:sz w:val="22"/>
              </w:rPr>
              <w:t>Artificial Intelligence</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BCE</w:t>
            </w:r>
          </w:p>
        </w:tc>
        <w:tc>
          <w:tcPr>
            <w:tcW w:type="dxa" w:w="4500"/>
          </w:tcPr>
          <w:p>
            <w:pPr>
              <w:spacing w:line="240" w:lineRule="auto"/>
            </w:pPr>
            <w:r>
              <w:rPr>
                <w:rFonts w:ascii="Times New Roman" w:hAnsi="Times New Roman"/>
                <w:sz w:val="22"/>
              </w:rPr>
              <w:t>Binary Cross-Entropy (loss)</w:t>
            </w:r>
          </w:p>
        </w:tc>
      </w:tr>
      <w:tr>
        <w:tc>
          <w:tcPr>
            <w:tcW w:type="dxa" w:w="4500"/>
          </w:tcPr>
          <w:p>
            <w:pPr>
              <w:spacing w:line="240" w:lineRule="auto"/>
            </w:pPr>
            <w:r>
              <w:rPr>
                <w:rFonts w:ascii="Times New Roman" w:hAnsi="Times New Roman"/>
                <w:sz w:val="22"/>
              </w:rPr>
              <w:t>CICIoT</w:t>
            </w:r>
          </w:p>
        </w:tc>
        <w:tc>
          <w:tcPr>
            <w:tcW w:type="dxa" w:w="4500"/>
          </w:tcPr>
          <w:p>
            <w:pPr>
              <w:spacing w:line="240" w:lineRule="auto"/>
            </w:pPr>
            <w:r>
              <w:rPr>
                <w:rFonts w:ascii="Times New Roman" w:hAnsi="Times New Roman"/>
                <w:sz w:val="22"/>
              </w:rPr>
              <w:t>Canadian Institute for Cybersecurity IoT benchmark family (this work: CICIoT2023)</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CyBOK</w:t>
            </w:r>
          </w:p>
        </w:tc>
        <w:tc>
          <w:tcPr>
            <w:tcW w:type="dxa" w:w="4500"/>
          </w:tcPr>
          <w:p>
            <w:pPr>
              <w:spacing w:line="240" w:lineRule="auto"/>
            </w:pPr>
            <w:r>
              <w:rPr>
                <w:rFonts w:ascii="Times New Roman" w:hAnsi="Times New Roman"/>
                <w:sz w:val="22"/>
              </w:rPr>
              <w:t>Cyber Security Body of Knowledge</w:t>
            </w:r>
          </w:p>
        </w:tc>
      </w:tr>
      <w:tr>
        <w:tc>
          <w:tcPr>
            <w:tcW w:type="dxa" w:w="4500"/>
          </w:tcPr>
          <w:p>
            <w:pPr>
              <w:spacing w:line="240" w:lineRule="auto"/>
            </w:pPr>
            <w:r>
              <w:rPr>
                <w:rFonts w:ascii="Times New Roman" w:hAnsi="Times New Roman"/>
                <w:sz w:val="22"/>
              </w:rPr>
              <w:t>DDoS</w:t>
            </w:r>
          </w:p>
        </w:tc>
        <w:tc>
          <w:tcPr>
            <w:tcW w:type="dxa" w:w="4500"/>
          </w:tcPr>
          <w:p>
            <w:pPr>
              <w:spacing w:line="240" w:lineRule="auto"/>
            </w:pPr>
            <w:r>
              <w:rPr>
                <w:rFonts w:ascii="Times New Roman" w:hAnsi="Times New Roman"/>
                <w:sz w:val="22"/>
              </w:rPr>
              <w:t>Distributed Denial of Service</w:t>
            </w:r>
          </w:p>
        </w:tc>
      </w:tr>
      <w:tr>
        <w:tc>
          <w:tcPr>
            <w:tcW w:type="dxa" w:w="4500"/>
          </w:tcPr>
          <w:p>
            <w:pPr>
              <w:spacing w:line="240" w:lineRule="auto"/>
            </w:pPr>
            <w:r>
              <w:rPr>
                <w:rFonts w:ascii="Times New Roman" w:hAnsi="Times New Roman"/>
                <w:sz w:val="22"/>
              </w:rPr>
              <w:t>DL</w:t>
            </w:r>
          </w:p>
        </w:tc>
        <w:tc>
          <w:tcPr>
            <w:tcW w:type="dxa" w:w="4500"/>
          </w:tcPr>
          <w:p>
            <w:pPr>
              <w:spacing w:line="240" w:lineRule="auto"/>
            </w:pPr>
            <w:r>
              <w:rPr>
                <w:rFonts w:ascii="Times New Roman" w:hAnsi="Times New Roman"/>
                <w:sz w:val="22"/>
              </w:rPr>
              <w:t>Deep Learning</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ENISA</w:t>
            </w:r>
          </w:p>
        </w:tc>
        <w:tc>
          <w:tcPr>
            <w:tcW w:type="dxa" w:w="4500"/>
          </w:tcPr>
          <w:p>
            <w:pPr>
              <w:spacing w:line="240" w:lineRule="auto"/>
            </w:pPr>
            <w:r>
              <w:rPr>
                <w:rFonts w:ascii="Times New Roman" w:hAnsi="Times New Roman"/>
                <w:sz w:val="22"/>
              </w:rPr>
              <w:t>European Union Agency for Cybersecurity</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GCN</w:t>
            </w:r>
          </w:p>
        </w:tc>
        <w:tc>
          <w:tcPr>
            <w:tcW w:type="dxa" w:w="4500"/>
          </w:tcPr>
          <w:p>
            <w:pPr>
              <w:spacing w:line="240" w:lineRule="auto"/>
            </w:pPr>
            <w:r>
              <w:rPr>
                <w:rFonts w:ascii="Times New Roman" w:hAnsi="Times New Roman"/>
                <w:sz w:val="22"/>
              </w:rPr>
              <w:t>Graph Convolutional Network</w:t>
            </w:r>
          </w:p>
        </w:tc>
      </w:tr>
      <w:tr>
        <w:tc>
          <w:tcPr>
            <w:tcW w:type="dxa" w:w="4500"/>
          </w:tcPr>
          <w:p>
            <w:pPr>
              <w:spacing w:line="240" w:lineRule="auto"/>
            </w:pPr>
            <w:r>
              <w:rPr>
                <w:rFonts w:ascii="Times New Roman" w:hAnsi="Times New Roman"/>
                <w:sz w:val="22"/>
              </w:rPr>
              <w:t>GDPR</w:t>
            </w:r>
          </w:p>
        </w:tc>
        <w:tc>
          <w:tcPr>
            <w:tcW w:type="dxa" w:w="4500"/>
          </w:tcPr>
          <w:p>
            <w:pPr>
              <w:spacing w:line="240" w:lineRule="auto"/>
            </w:pPr>
            <w:r>
              <w:rPr>
                <w:rFonts w:ascii="Times New Roman" w:hAnsi="Times New Roman"/>
                <w:sz w:val="22"/>
              </w:rPr>
              <w:t>General Data Protection Regulation (EU)</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GPU</w:t>
            </w:r>
          </w:p>
        </w:tc>
        <w:tc>
          <w:tcPr>
            <w:tcW w:type="dxa" w:w="4500"/>
          </w:tcPr>
          <w:p>
            <w:pPr>
              <w:spacing w:line="240" w:lineRule="auto"/>
            </w:pPr>
            <w:r>
              <w:rPr>
                <w:rFonts w:ascii="Times New Roman" w:hAnsi="Times New Roman"/>
                <w:sz w:val="22"/>
              </w:rPr>
              <w:t>Graphics Processing Unit</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IDS</w:t>
            </w:r>
          </w:p>
        </w:tc>
        <w:tc>
          <w:tcPr>
            <w:tcW w:type="dxa" w:w="4500"/>
          </w:tcPr>
          <w:p>
            <w:pPr>
              <w:spacing w:line="240" w:lineRule="auto"/>
            </w:pPr>
            <w:r>
              <w:rPr>
                <w:rFonts w:ascii="Times New Roman" w:hAnsi="Times New Roman"/>
                <w:sz w:val="22"/>
              </w:rPr>
              <w:t>Intrusion Detection System</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IPS</w:t>
            </w:r>
          </w:p>
        </w:tc>
        <w:tc>
          <w:tcPr>
            <w:tcW w:type="dxa" w:w="4500"/>
          </w:tcPr>
          <w:p>
            <w:pPr>
              <w:spacing w:line="240" w:lineRule="auto"/>
            </w:pPr>
            <w:r>
              <w:rPr>
                <w:rFonts w:ascii="Times New Roman" w:hAnsi="Times New Roman"/>
                <w:sz w:val="22"/>
              </w:rPr>
              <w:t>Intrusion Prevention System</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LSTM</w:t>
            </w:r>
          </w:p>
        </w:tc>
        <w:tc>
          <w:tcPr>
            <w:tcW w:type="dxa" w:w="4500"/>
          </w:tcPr>
          <w:p>
            <w:pPr>
              <w:spacing w:line="240" w:lineRule="auto"/>
            </w:pPr>
            <w:r>
              <w:rPr>
                <w:rFonts w:ascii="Times New Roman" w:hAnsi="Times New Roman"/>
                <w:sz w:val="22"/>
              </w:rPr>
              <w:t>Long Short-Term Memory</w:t>
            </w:r>
          </w:p>
        </w:tc>
      </w:tr>
      <w:tr>
        <w:tc>
          <w:tcPr>
            <w:tcW w:type="dxa" w:w="4500"/>
          </w:tcPr>
          <w:p>
            <w:pPr>
              <w:spacing w:line="240" w:lineRule="auto"/>
            </w:pPr>
            <w:r>
              <w:rPr>
                <w:rFonts w:ascii="Times New Roman" w:hAnsi="Times New Roman"/>
                <w:sz w:val="22"/>
              </w:rPr>
              <w:t>ML</w:t>
            </w:r>
          </w:p>
        </w:tc>
        <w:tc>
          <w:tcPr>
            <w:tcW w:type="dxa" w:w="4500"/>
          </w:tcPr>
          <w:p>
            <w:pPr>
              <w:spacing w:line="240" w:lineRule="auto"/>
            </w:pPr>
            <w:r>
              <w:rPr>
                <w:rFonts w:ascii="Times New Roman" w:hAnsi="Times New Roman"/>
                <w:sz w:val="22"/>
              </w:rPr>
              <w:t>Machine Learning</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MITM</w:t>
            </w:r>
          </w:p>
        </w:tc>
        <w:tc>
          <w:tcPr>
            <w:tcW w:type="dxa" w:w="4500"/>
          </w:tcPr>
          <w:p>
            <w:pPr>
              <w:spacing w:line="240" w:lineRule="auto"/>
            </w:pPr>
            <w:r>
              <w:rPr>
                <w:rFonts w:ascii="Times New Roman" w:hAnsi="Times New Roman"/>
                <w:sz w:val="22"/>
              </w:rPr>
              <w:t>Man-in-the-Middle (attack pattern)</w:t>
            </w:r>
          </w:p>
        </w:tc>
      </w:tr>
      <w:tr>
        <w:tc>
          <w:tcPr>
            <w:tcW w:type="dxa" w:w="4500"/>
          </w:tcPr>
          <w:p>
            <w:pPr>
              <w:spacing w:line="240" w:lineRule="auto"/>
            </w:pPr>
            <w:r>
              <w:rPr>
                <w:rFonts w:ascii="Times New Roman" w:hAnsi="Times New Roman"/>
                <w:sz w:val="22"/>
              </w:rPr>
              <w:t>NCSC</w:t>
            </w:r>
          </w:p>
        </w:tc>
        <w:tc>
          <w:tcPr>
            <w:tcW w:type="dxa" w:w="4500"/>
          </w:tcPr>
          <w:p>
            <w:pPr>
              <w:spacing w:line="240" w:lineRule="auto"/>
            </w:pPr>
            <w:r>
              <w:rPr>
                <w:rFonts w:ascii="Times New Roman" w:hAnsi="Times New Roman"/>
                <w:sz w:val="22"/>
              </w:rPr>
              <w:t>National Cyber Security Centre (UK)</w:t>
            </w:r>
          </w:p>
        </w:tc>
      </w:tr>
      <w:tr>
        <w:tc>
          <w:tcPr>
            <w:tcW w:type="dxa" w:w="4500"/>
          </w:tcPr>
          <w:p>
            <w:pPr>
              <w:spacing w:line="240" w:lineRule="auto"/>
            </w:pPr>
            <w:r>
              <w:rPr>
                <w:rFonts w:ascii="Times New Roman" w:hAnsi="Times New Roman"/>
                <w:sz w:val="22"/>
              </w:rPr>
              <w:t>NIS2</w:t>
            </w:r>
          </w:p>
        </w:tc>
        <w:tc>
          <w:tcPr>
            <w:tcW w:type="dxa" w:w="4500"/>
          </w:tcPr>
          <w:p>
            <w:pPr>
              <w:spacing w:line="240" w:lineRule="auto"/>
            </w:pPr>
            <w:r>
              <w:rPr>
                <w:rFonts w:ascii="Times New Roman" w:hAnsi="Times New Roman"/>
                <w:sz w:val="22"/>
              </w:rPr>
              <w:t>EU Directive on measures for a high common level of cybersecurity</w:t>
            </w:r>
          </w:p>
        </w:tc>
      </w:tr>
      <w:tr>
        <w:tc>
          <w:tcPr>
            <w:tcW w:type="dxa" w:w="4500"/>
          </w:tcPr>
          <w:p>
            <w:pPr>
              <w:spacing w:line="240" w:lineRule="auto"/>
            </w:pPr>
            <w:r>
              <w:rPr>
                <w:rFonts w:ascii="Times New Roman" w:hAnsi="Times New Roman"/>
                <w:sz w:val="22"/>
              </w:rPr>
              <w:t>NIST</w:t>
            </w:r>
          </w:p>
        </w:tc>
        <w:tc>
          <w:tcPr>
            <w:tcW w:type="dxa" w:w="4500"/>
          </w:tcPr>
          <w:p>
            <w:pPr>
              <w:spacing w:line="240" w:lineRule="auto"/>
            </w:pPr>
            <w:r>
              <w:rPr>
                <w:rFonts w:ascii="Times New Roman" w:hAnsi="Times New Roman"/>
                <w:sz w:val="22"/>
              </w:rPr>
              <w:t>National Institute of Standards and Technology (US)</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Random Access Memory</w:t>
            </w:r>
          </w:p>
        </w:tc>
      </w:tr>
      <w:tr>
        <w:tc>
          <w:tcPr>
            <w:tcW w:type="dxa" w:w="4500"/>
          </w:tcPr>
          <w:p>
            <w:pPr>
              <w:spacing w:line="240" w:lineRule="auto"/>
            </w:pPr>
            <w:r>
              <w:rPr>
                <w:rFonts w:ascii="Times New Roman" w:hAnsi="Times New Roman"/>
                <w:sz w:val="22"/>
              </w:rPr>
              <w:t>RF</w:t>
            </w:r>
          </w:p>
        </w:tc>
        <w:tc>
          <w:tcPr>
            <w:tcW w:type="dxa" w:w="4500"/>
          </w:tcPr>
          <w:p>
            <w:pPr>
              <w:spacing w:line="240" w:lineRule="auto"/>
            </w:pPr>
            <w:r>
              <w:rPr>
                <w:rFonts w:ascii="Times New Roman" w:hAnsi="Times New Roman"/>
                <w:sz w:val="22"/>
              </w:rPr>
              <w:t>Random Forest (baseline classifier)</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RNN</w:t>
            </w:r>
          </w:p>
        </w:tc>
        <w:tc>
          <w:tcPr>
            <w:tcW w:type="dxa" w:w="4500"/>
          </w:tcPr>
          <w:p>
            <w:pPr>
              <w:spacing w:line="240" w:lineRule="auto"/>
            </w:pPr>
            <w:r>
              <w:rPr>
                <w:rFonts w:ascii="Times New Roman" w:hAnsi="Times New Roman"/>
                <w:sz w:val="22"/>
              </w:rPr>
              <w:t>Recurrent Neural Network</w:t>
            </w:r>
          </w:p>
        </w:tc>
      </w:tr>
      <w:tr>
        <w:tc>
          <w:tcPr>
            <w:tcW w:type="dxa" w:w="4500"/>
          </w:tcPr>
          <w:p>
            <w:pPr>
              <w:spacing w:line="240" w:lineRule="auto"/>
            </w:pPr>
            <w:r>
              <w:rPr>
                <w:rFonts w:ascii="Times New Roman" w:hAnsi="Times New Roman"/>
                <w:sz w:val="22"/>
              </w:rPr>
              <w:t>SDIoT</w:t>
            </w:r>
          </w:p>
        </w:tc>
        <w:tc>
          <w:tcPr>
            <w:tcW w:type="dxa" w:w="4500"/>
          </w:tcPr>
          <w:p>
            <w:pPr>
              <w:spacing w:line="240" w:lineRule="auto"/>
            </w:pPr>
            <w:r>
              <w:rPr>
                <w:rFonts w:ascii="Times New Roman" w:hAnsi="Times New Roman"/>
                <w:sz w:val="22"/>
              </w:rPr>
              <w:t>Software-Defined Internet of Things</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TPR</w:t>
            </w:r>
          </w:p>
        </w:tc>
        <w:tc>
          <w:tcPr>
            <w:tcW w:type="dxa" w:w="4500"/>
          </w:tcPr>
          <w:p>
            <w:pPr>
              <w:spacing w:line="240" w:lineRule="auto"/>
            </w:pPr>
            <w:r>
              <w:rPr>
                <w:rFonts w:ascii="Times New Roman" w:hAnsi="Times New Roman"/>
                <w:sz w:val="22"/>
              </w:rPr>
              <w:t>True Positive Rate (equals recall in binary classification)</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VAE</w:t>
            </w:r>
          </w:p>
        </w:tc>
        <w:tc>
          <w:tcPr>
            <w:tcW w:type="dxa" w:w="4500"/>
          </w:tcPr>
          <w:p>
            <w:pPr>
              <w:spacing w:line="240" w:lineRule="auto"/>
            </w:pPr>
            <w:r>
              <w:rPr>
                <w:rFonts w:ascii="Times New Roman" w:hAnsi="Times New Roman"/>
                <w:sz w:val="22"/>
              </w:rPr>
              <w:t>Variational Autoencoder (not used in this prototype; listed for generative-model context only)</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bl>
    <w:p>
      <w:pPr>
        <w:pStyle w:val="Heading1"/>
        <w:jc w:val="center"/>
      </w:pPr>
      <w:r>
        <w:rPr>
          <w:b/>
          <w:i w:val="0"/>
          <w:sz w:val="32"/>
        </w:rPr>
        <w:t>Chapter 1 – Introduction</w:t>
      </w:r>
    </w:p>
    <w:p>
      <w:pPr>
        <w:pStyle w:val="Heading2"/>
      </w:pPr>
      <w:r>
        <w:t>1.1 Chapter Overview</w:t>
      </w:r>
    </w:p>
    <w:p>
      <w:r>
        <w:t>This chapter introduces the project context, IoT flow telemetry, SOC alert volume, and practical limits at CPU-based edge nodes. It explains why this work combines dynamic graph learning, federated training, and explainable alerts in one pipeline, then states the research aim, sub-questions, scope, and chapter structure so later chapters can focus on method, implementation, and evidence.</w:t>
      </w:r>
    </w:p>
    <w:p>
      <w:pPr>
        <w:pStyle w:val="Heading2"/>
      </w:pPr>
      <w:r>
        <w:t>1.2 Background and Motivation</w:t>
      </w:r>
    </w:p>
    <w:p>
      <w:r>
        <w:t>The Internet of Things (IoT) has expanded very fast in homes, offices, campuses, and industrial sites. Smart plugs, cameras, sensors, and controllers are now everywhere. Many of these devices are low-cost and constrained, and security is often secondary during design. As a result, weak credentials, late patching, and misconfiguration are still common in real deployments.</w:t>
      </w:r>
    </w:p>
    <w:p>
      <w:r>
        <w:t>This means attack exposure remains high. A compromised IoT device can be used for botnet activity, service disruption, credential theft, or lateral movement into wider infrastructure. These are not rare scenarios in security reports. Because of this, continuous monitoring of network behaviour is needed, not optional, especially in environments with mixed old and new devices.</w:t>
      </w:r>
    </w:p>
    <w:p>
      <w:r>
        <w:t>Software-defined approaches (including SDN and software-defined IoT) allow operators to observe flow statistics from switches and routers in a centralised way. Flow summaries are often enough for intrusion detection without full packet capture, which reduces storage pressure and can ease some privacy concerns. The remaining challenge is to analyse those flows accurately, to explain decisions in a form analysts can use, and to do so on hardware that is realistic at the edge (often CPU-only).</w:t>
      </w:r>
    </w:p>
    <w:p>
      <w:r>
        <w:t>Security Operations Centres (SOCs) monitor networks, investigate alerts, and coordinate incident response, usually with SIEM platforms that aggregate logs and flow-derived events. A practical difficulty is alert fatigue: high volumes of alerts and many false positives reduce the time analysts can spend on genuine incidents. Alerts that only give a label, with no indication of why the model fired, slow triage further. There is therefore a need for detectors that are both accurate and explainable, so staff can trust and act on outputs under time pressure.</w:t>
      </w:r>
    </w:p>
    <w:p>
      <w:r>
        <w:t>Traditional models such as Random Forests or feed-forward networks can work on tabular flow features, yet traffic also has relational structure: flows resemble neighbours in feature space, share endpoints when identifiers exist, or arrive in short bursts that carry meaning together. Graph models treat flows as nodes and connect related flows with edges (here, kNN links in feature space because the public CICIoT2023 release does not provide device-level topology). Dynamic GNNs extend this idea by learning how graph snapshots evolve over short windows. Separately, IoT data are often distributed across sites where pooling raw flows is legally or politically difficult; federated learning trains one shared model while keeping raw data local. Many IoT gateways also cannot assume a GPU on every segment, so a CPU pipeline that returns SIEM-friendly JSON is closer to a deployable outcome than a GPU-only laboratory score.</w:t>
      </w:r>
    </w:p>
    <w:p>
      <w:pPr>
        <w:pStyle w:val="Heading2"/>
      </w:pPr>
      <w:r>
        <w:t>1.3 Research Aim and Questions</w:t>
      </w:r>
    </w:p>
    <w:p>
      <w:r>
        <w:t>This project aims to design and build a reproducible prototype for IoT attack detection using software-defined flow data, dynamic graph learning, federated training, and practical explanation outputs for SOC triage. The work focuses on feasibility under realistic constraints, especially CPU execution and non-IID federated partitions, while keeping the pipeline understandable for security operations usage.</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pPr>
        <w:pStyle w:val="ListNumber"/>
      </w:pPr>
      <w:r>
        <w:t>Does a dynamic graph model perform better than simple models like Random Forest and MLP?</w:t>
      </w:r>
    </w:p>
    <w:p>
      <w:pPr>
        <w:pStyle w:val="ListNumber"/>
      </w:pPr>
      <w:r>
        <w:t>Can federated learning maintain similar performance without sharing raw data?</w:t>
      </w:r>
    </w:p>
    <w:p>
      <w:pPr>
        <w:pStyle w:val="ListNumber"/>
      </w:pPr>
      <w:r>
        <w:t>Can the model generate useful explanations for SOC alert triage?</w:t>
      </w:r>
    </w:p>
    <w:p>
      <w:r>
        <w:t>Contributions (in this dissertation):</w:t>
      </w:r>
    </w:p>
    <w:p>
      <w:pPr>
        <w:pStyle w:val="ListBullet"/>
      </w:pPr>
      <w:r>
        <w:t>An end-to-end, CPU-oriented prototype that turns flow telemetry into kNN similarity graphs, trains a dynamic GNN (GAT + GRU), and outputs SIEM-shaped JSON alerts.</w:t>
      </w:r>
    </w:p>
    <w:p>
      <w:pPr>
        <w:pStyle w:val="ListBullet"/>
      </w:pPr>
      <w:r>
        <w:t>A centralised vs. federated comparison using the same architecture under Flower FedAvg with non-IID client partitions.</w:t>
      </w:r>
    </w:p>
    <w:p>
      <w:pPr>
        <w:pStyle w:val="ListBullet"/>
      </w:pPr>
      <w:r>
        <w:t>An explainability path that combines Integrated Gradients (feature attribution) with GAT attention (flow and structure cues), supported by ablation, sensitivity, and multi-seed evidence.</w:t>
      </w:r>
    </w:p>
    <w:p>
      <w:pPr>
        <w:pStyle w:val="ListBullet"/>
      </w:pPr>
      <w:r>
        <w:t>A submission-ready reproducibility trail through configuration, scripts, chapter mappings, and appendix artefacts.</w:t>
      </w:r>
    </w:p>
    <w:p>
      <w:r>
        <w:t>The work uses CICIoT2023 so choices and metrics can be compared with prior studies while still fitting an MSc time-box and resource budget.</w:t>
      </w:r>
    </w:p>
    <w:p>
      <w:pPr>
        <w:pStyle w:val="Heading3"/>
      </w:pPr>
      <w:r>
        <w:t>1.3.1 Objectives</w:t>
      </w:r>
    </w:p>
    <w:p>
      <w:r>
        <w:t>To answer the research questions above, the project pursues the following concrete objectives. Each objective is a deliverable artefact that is referenced again in Chapters 4–8 for evidence:</w:t>
      </w:r>
    </w:p>
    <w:p>
      <w:pPr>
        <w:pStyle w:val="ListNumber"/>
      </w:pPr>
      <w:r>
        <w:t>Literature objective. Conduct a critical review of IoT intrusion detection, graph and dynamic GNN methods, federated learning, and explainable AI for security, and identify the gap that this project fills (Chapter 2).</w:t>
      </w:r>
    </w:p>
    <w:p>
      <w:pPr>
        <w:pStyle w:val="ListNumber"/>
      </w:pPr>
      <w:r>
        <w:t>Dataset objective. Select a manageable subset of CICIoT2023 with both benign and attack traffic, fix train/validation/test splits, and document preprocessing (Sections 4.3 and 6.3).</w:t>
      </w:r>
    </w:p>
    <w:p>
      <w:pPr>
        <w:pStyle w:val="ListNumber"/>
      </w:pPr>
      <w:r>
        <w:t>Modelling objective. Implement two flow-level baselines (Random Forest, MLP) and one dynamic GNN (GAT + GRU) on identical splits for a controlled comparison (Sections 4.4 and 6.5).</w:t>
      </w:r>
    </w:p>
    <w:p>
      <w:pPr>
        <w:pStyle w:val="ListNumber"/>
      </w:pPr>
      <w:r>
        <w:t>Federated objective. Train the same GNN with Flower FedAvg across three non-IID clients for ten rounds, and evaluate the global checkpoint on the central test set (Sections 4.5, 6.6 and 8.3).</w:t>
      </w:r>
    </w:p>
    <w:p>
      <w:pPr>
        <w:pStyle w:val="ListNumber"/>
      </w:pPr>
      <w:r>
        <w:t>Explainability objective. Combine Captum Integrated Gradients with GAT attention to produce per-alert top features and top flows (Sections 4.6, 6.7 and 8.6).</w:t>
      </w:r>
    </w:p>
    <w:p>
      <w:pPr>
        <w:pStyle w:val="ListNumber"/>
      </w:pPr>
      <w:r>
        <w:t>SIEM objective. Serve the model through a FastAPI endpoint that returns ECS-like JSON alerts and report CPU inference latency (Sections 6.8, 6.9 and 8.5).</w:t>
      </w:r>
    </w:p>
    <w:p>
      <w:pPr>
        <w:pStyle w:val="ListNumber"/>
      </w:pPr>
      <w:r>
        <w:t>Evaluation objective. Define metrics, run ablation, sensitivity, and multi-seed checks, and report results with figures and tables (Chapters 7 and 8).</w:t>
      </w:r>
    </w:p>
    <w:p>
      <w:pPr>
        <w:pStyle w:val="ListNumber"/>
      </w:pPr>
      <w:r>
        <w:t>Reflection and write-up objective. Document the work in a final report aligned with the UWS guideline and MSc Project Handbook including a critical self-evaluation (Chapters 9 and 10).</w:t>
      </w:r>
    </w:p>
    <w:p>
      <w:pPr>
        <w:pStyle w:val="Heading2"/>
      </w:pPr>
      <w:r>
        <w:t>1.4 Scope and Limitations</w:t>
      </w:r>
    </w:p>
    <w:p>
      <w:r>
        <w:t>The project uses CICIoT2023 (Pinto et al. 2023) on a manageable subset within a 45-day MSc window. The public release includes 46 flow-level features but not reliable device topology fields for full host graph construction. Because of that, this implementation uses flow nodes with kNN feature-similarity edges and a GAT+GRU model stack, as justified in Section 2.5 and specified in Section 5.3.</w:t>
      </w:r>
    </w:p>
    <w:p>
      <w:r>
        <w:t>The scope includes Random Forest and MLP baselines, Flower FedAvg federation, Captum explainability, and FastAPI ECS-like alerts. The scope does not include production SIEM integration, formal SOC user studies, or large multi-organisation federation. Technical implementation detail is intentionally concentrated in Chapters 4 to 7 to avoid repeated text.</w:t>
      </w:r>
    </w:p>
    <w:p>
      <w:r>
        <w:t>Limits (summary): no production SIEM deployment, no formal SOC user study, CPU-only training and inference, three federated clients, and ten rounds in the reported federated run. Headline metrics are subset-specific and discussed honestly in Chapter 9. Contingency decisions, such as reduced data and reduced rounds if required, follow the risk treatment in Chapter 3. Reproduction uses the repository, config/experiment.yaml, and execution notes in Chapter 13.</w:t>
      </w:r>
    </w:p>
    <w:p>
      <w:pPr>
        <w:pStyle w:val="Heading2"/>
      </w:pPr>
      <w:r>
        <w:t>1.5 Dissertation Structure</w:t>
      </w:r>
    </w:p>
    <w:p>
      <w:r>
        <w:t>The chapter order follows the UWS MSc final-report pattern and the Updated Guideline for Final Report. It includes front matter, technical body chapters, references, and appendices in the expected sequence, but all content remains specific to this project topic and evidence.</w:t>
      </w:r>
    </w:p>
    <w:p>
      <w:r>
        <w:t>Chapter 2 reviews literature critically, with the extended comparative subsection in Section 2.10 to cover fifteen to twenty core sources. Chapter 3 records timeline, risks, and ethics process. Chapter 4 defines research design and methodology. Chapter 5 specifies pipeline and graph design. Chapter 6 documents implementation modules and integration points. Chapter 7 defines testing protocol and metric formulae. Chapter 8 reports results as evidence, with minimal interpretation. Chapter 9 provides discussion, conclusions, and recommendations linked to the research questions. Chapter 10 provides first-person critical self-evaluation. Chapters 11 and 12 contain references and bibliography. Chapter 13 contains appendices including process records, specification, reproducibility material, and handbook code-figure evidence.</w:t>
      </w:r>
    </w:p>
    <w:p>
      <w:pPr>
        <w:pStyle w:val="Heading2"/>
      </w:pPr>
      <w:r>
        <w:t>1.6 Alignment with the Marking Criteria in the Project Specification</w:t>
      </w:r>
    </w:p>
    <w:p>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
        <w:t>The chapter mapping is: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Criterion (weight)</w:t>
            </w:r>
          </w:p>
        </w:tc>
        <w:tc>
          <w:tcPr>
            <w:tcW w:type="dxa" w:w="4500"/>
          </w:tcPr>
          <w:p>
            <w:pPr>
              <w:spacing w:line="240" w:lineRule="auto"/>
            </w:pPr>
            <w:r>
              <w:rPr>
                <w:rFonts w:ascii="Times New Roman" w:hAnsi="Times New Roman"/>
                <w:sz w:val="22"/>
              </w:rPr>
              <w:t>Where it is addressed in this dissertation</w:t>
            </w:r>
          </w:p>
        </w:tc>
      </w:tr>
      <w:tr>
        <w:tc>
          <w:tcPr>
            <w:tcW w:type="dxa" w:w="4500"/>
          </w:tcPr>
          <w:p>
            <w:pPr>
              <w:spacing w:line="240" w:lineRule="auto"/>
            </w:pPr>
            <w:r>
              <w:rPr>
                <w:rFonts w:ascii="Times New Roman" w:hAnsi="Times New Roman"/>
                <w:sz w:val="22"/>
              </w:rPr>
              <w:t>Introduction (5%)</w:t>
            </w:r>
          </w:p>
        </w:tc>
        <w:tc>
          <w:tcPr>
            <w:tcW w:type="dxa" w:w="4500"/>
          </w:tcPr>
          <w:p>
            <w:pPr>
              <w:spacing w:line="240" w:lineRule="auto"/>
            </w:pPr>
            <w:r>
              <w:rPr>
                <w:rFonts w:ascii="Times New Roman" w:hAnsi="Times New Roman"/>
                <w:sz w:val="22"/>
              </w:rPr>
              <w:t>Chapter 1  -  aim, questions, scope, structure</w:t>
            </w:r>
          </w:p>
        </w:tc>
      </w:tr>
      <w:tr>
        <w:tc>
          <w:tcPr>
            <w:tcW w:type="dxa" w:w="4500"/>
          </w:tcPr>
          <w:p>
            <w:pPr>
              <w:spacing w:line="240" w:lineRule="auto"/>
            </w:pPr>
            <w:r>
              <w:rPr>
                <w:rFonts w:ascii="Times New Roman" w:hAnsi="Times New Roman"/>
                <w:sz w:val="22"/>
              </w:rPr>
              <w:t>Literature (20%)</w:t>
            </w:r>
          </w:p>
        </w:tc>
        <w:tc>
          <w:tcPr>
            <w:tcW w:type="dxa" w:w="4500"/>
          </w:tcPr>
          <w:p>
            <w:pPr>
              <w:spacing w:line="240" w:lineRule="auto"/>
            </w:pPr>
            <w:r>
              <w:rPr>
                <w:rFonts w:ascii="Times New Roman" w:hAnsi="Times New Roman"/>
                <w:sz w:val="22"/>
              </w:rPr>
              <w:t>Chapter 2  -  critical review, comparison table, figures, gap</w:t>
            </w:r>
          </w:p>
        </w:tc>
      </w:tr>
      <w:tr>
        <w:tc>
          <w:tcPr>
            <w:tcW w:type="dxa" w:w="4500"/>
          </w:tcPr>
          <w:p>
            <w:pPr>
              <w:spacing w:line="240" w:lineRule="auto"/>
            </w:pPr>
            <w:r>
              <w:rPr>
                <w:rFonts w:ascii="Times New Roman" w:hAnsi="Times New Roman"/>
                <w:sz w:val="22"/>
              </w:rPr>
              <w:t>Research design (20%)</w:t>
            </w:r>
          </w:p>
        </w:tc>
        <w:tc>
          <w:tcPr>
            <w:tcW w:type="dxa" w:w="4500"/>
          </w:tcPr>
          <w:p>
            <w:pPr>
              <w:spacing w:line="240" w:lineRule="auto"/>
            </w:pPr>
            <w:r>
              <w:rPr>
                <w:rFonts w:ascii="Times New Roman" w:hAnsi="Times New Roman"/>
                <w:sz w:val="22"/>
              </w:rPr>
              <w:t>Chapters 4–5  -  methodology, dataset, graph and system design</w:t>
            </w:r>
          </w:p>
        </w:tc>
      </w:tr>
      <w:tr>
        <w:tc>
          <w:tcPr>
            <w:tcW w:type="dxa" w:w="4500"/>
          </w:tcPr>
          <w:p>
            <w:pPr>
              <w:spacing w:line="240" w:lineRule="auto"/>
            </w:pPr>
            <w:r>
              <w:rPr>
                <w:rFonts w:ascii="Times New Roman" w:hAnsi="Times New Roman"/>
                <w:sz w:val="22"/>
              </w:rPr>
              <w:t>Implementation (25%)</w:t>
            </w:r>
          </w:p>
        </w:tc>
        <w:tc>
          <w:tcPr>
            <w:tcW w:type="dxa" w:w="4500"/>
          </w:tcPr>
          <w:p>
            <w:pPr>
              <w:spacing w:line="240" w:lineRule="auto"/>
            </w:pPr>
            <w:r>
              <w:rPr>
                <w:rFonts w:ascii="Times New Roman" w:hAnsi="Times New Roman"/>
                <w:sz w:val="22"/>
              </w:rPr>
              <w:t>Chapter 6  -  build, modules, tooling, reproducibility</w:t>
            </w:r>
          </w:p>
        </w:tc>
      </w:tr>
      <w:tr>
        <w:tc>
          <w:tcPr>
            <w:tcW w:type="dxa" w:w="4500"/>
          </w:tcPr>
          <w:p>
            <w:pPr>
              <w:spacing w:line="240" w:lineRule="auto"/>
            </w:pPr>
            <w:r>
              <w:rPr>
                <w:rFonts w:ascii="Times New Roman" w:hAnsi="Times New Roman"/>
                <w:sz w:val="22"/>
              </w:rPr>
              <w:t>Evaluation (5%)</w:t>
            </w:r>
          </w:p>
        </w:tc>
        <w:tc>
          <w:tcPr>
            <w:tcW w:type="dxa" w:w="4500"/>
          </w:tcPr>
          <w:p>
            <w:pPr>
              <w:spacing w:line="240" w:lineRule="auto"/>
            </w:pPr>
            <w:r>
              <w:rPr>
                <w:rFonts w:ascii="Times New Roman" w:hAnsi="Times New Roman"/>
                <w:sz w:val="22"/>
              </w:rPr>
              <w:t>Chapter 7  -  protocol, metrics, setup</w:t>
            </w:r>
          </w:p>
        </w:tc>
      </w:tr>
      <w:tr>
        <w:tc>
          <w:tcPr>
            <w:tcW w:type="dxa" w:w="4500"/>
          </w:tcPr>
          <w:p>
            <w:pPr>
              <w:spacing w:line="240" w:lineRule="auto"/>
            </w:pPr>
            <w:r>
              <w:rPr>
                <w:rFonts w:ascii="Times New Roman" w:hAnsi="Times New Roman"/>
                <w:sz w:val="22"/>
              </w:rPr>
              <w:t>Results presentation (5%)</w:t>
            </w:r>
          </w:p>
        </w:tc>
        <w:tc>
          <w:tcPr>
            <w:tcW w:type="dxa" w:w="4500"/>
          </w:tcPr>
          <w:p>
            <w:pPr>
              <w:spacing w:line="240" w:lineRule="auto"/>
            </w:pPr>
            <w:r>
              <w:rPr>
                <w:rFonts w:ascii="Times New Roman" w:hAnsi="Times New Roman"/>
                <w:sz w:val="22"/>
              </w:rPr>
              <w:t>Chapter 8  -  tables and figures, minimal interpretation</w:t>
            </w:r>
          </w:p>
        </w:tc>
      </w:tr>
      <w:tr>
        <w:tc>
          <w:tcPr>
            <w:tcW w:type="dxa" w:w="4500"/>
          </w:tcPr>
          <w:p>
            <w:pPr>
              <w:spacing w:line="240" w:lineRule="auto"/>
            </w:pPr>
            <w:r>
              <w:rPr>
                <w:rFonts w:ascii="Times New Roman" w:hAnsi="Times New Roman"/>
                <w:sz w:val="22"/>
              </w:rPr>
              <w:t>Conclusions &amp; recommendations (10%)</w:t>
            </w:r>
          </w:p>
        </w:tc>
        <w:tc>
          <w:tcPr>
            <w:tcW w:type="dxa" w:w="4500"/>
          </w:tcPr>
          <w:p>
            <w:pPr>
              <w:spacing w:line="240" w:lineRule="auto"/>
            </w:pPr>
            <w:r>
              <w:rPr>
                <w:rFonts w:ascii="Times New Roman" w:hAnsi="Times New Roman"/>
                <w:sz w:val="22"/>
              </w:rPr>
              <w:t>Chapter 9  -  answers to questions, implications, limits, future work</w:t>
            </w:r>
          </w:p>
        </w:tc>
      </w:tr>
      <w:tr>
        <w:tc>
          <w:tcPr>
            <w:tcW w:type="dxa" w:w="4500"/>
          </w:tcPr>
          <w:p>
            <w:pPr>
              <w:spacing w:line="240" w:lineRule="auto"/>
            </w:pPr>
            <w:r>
              <w:rPr>
                <w:rFonts w:ascii="Times New Roman" w:hAnsi="Times New Roman"/>
                <w:sz w:val="22"/>
              </w:rPr>
              <w:t>Critical self-evaluation (10%)</w:t>
            </w:r>
          </w:p>
        </w:tc>
        <w:tc>
          <w:tcPr>
            <w:tcW w:type="dxa" w:w="4500"/>
          </w:tcPr>
          <w:p>
            <w:pPr>
              <w:spacing w:line="240" w:lineRule="auto"/>
            </w:pPr>
            <w:r>
              <w:rPr>
                <w:rFonts w:ascii="Times New Roman" w:hAnsi="Times New Roman"/>
                <w:sz w:val="22"/>
              </w:rPr>
              <w:t>Chapter 10  -  reflection on process and learning</w:t>
            </w:r>
          </w:p>
        </w:tc>
      </w:tr>
    </w:tbl>
    <w:p>
      <w:pPr>
        <w:pStyle w:val="Heading2"/>
      </w:pPr>
      <w:r>
        <w:t>1.7 Chapter Summary</w:t>
      </w:r>
    </w:p>
    <w:p>
      <w:r>
        <w:t>Chapter 1 framed the SOC and IoT problem context, stated the research questions, and defined scope and boundaries, mapping the report to the marking criteria in Section 1.6. Chapter 2 next reviews the literature.</w:t>
      </w:r>
    </w:p>
    <w:p>
      <w:pPr>
        <w:pStyle w:val="Heading1"/>
        <w:jc w:val="center"/>
      </w:pPr>
      <w:r>
        <w:rPr>
          <w:b/>
          <w:i w:val="0"/>
          <w:sz w:val="32"/>
        </w:rPr>
        <w:t>Chapter 2 – Literature Review</w:t>
      </w:r>
    </w:p>
    <w:p>
      <w:pPr>
        <w:pStyle w:val="Heading2"/>
      </w:pPr>
      <w:r>
        <w:t>2.1 Chapter Overview</w:t>
      </w:r>
    </w:p>
    <w:p>
      <w:r>
        <w:t>This chapter reviews prior work on IoT intrusion detection, SOC/SIEM alerting needs, graph and dynamic GNN methods, federated learning, and explainable AI in security. It compares studies critically, names what is under-tested at the integration level, and links findings to the design of this prototype. The programme literature criterion is at least 15% of the final report; in the source Markdown, Chapter 2 is approximately 20–21% of the total word count (recalculate if the body text changes materially), so length aligns with the handbook band (see also the specification’s ~20% weight for Context / Literature in Section 1.6). Dataset sizes, fixed splits, and configuration numbers are left to the methodology and evaluation chapters (Section 7.6 and Section 6.2) so this chapter remains analytical, not a second methods section. In the final Word file, all body text, figure captions, and subheadings will follow a single UWS-recommended typeface and size hierarchy; author-generated figures use Matplotlib defaults unless the School template requires otherwise.</w:t>
      </w:r>
    </w:p>
    <w:p>
      <w:pPr>
        <w:pStyle w:val="Heading2"/>
      </w:pPr>
      <w:r>
        <w:t>2.2 Themes and Structure</w:t>
      </w:r>
    </w:p>
    <w:p>
      <w:r>
        <w:t>This review is selective, not exhaustive: it prioritises peer-reviewed articles and major surveys on (i) IoT and flow-based intrusion detection, (ii) graph and dynamic graph neural models for security analytics, (iii) federated learning under data-sovereignty constraints, and (iv) explainable machine learning in operational security contexts. Sections 2.2.1 and 2.2.2 state the search protocol and, separately, a debate-led view of the main technologies named in the dissertation title, so the chapter is not a glossary of terms.</w:t>
      </w:r>
    </w:p>
    <w:p>
      <w:r>
        <w:t>The narrative is argumentative, not encyclopaedic. Section 2.3 establishes threat and data context. Section 2.4 links SIEM operations to alert quality and analyst constraints. Sections 2.5–2.7 map directly to the three sub-questions: graph and temporal modelling, federated training, and explanations for triage. Table 1 and Figure 5 make the multi-pillar coverage of prior work visible. Section 2.8 answers the specification’s call for significance, limits of prior work, contribution, and counterarguments. Section 2.9 maps the story to CyBOK; Section 2.10 extends breadth to the required fifteen to twenty core sources.</w:t>
      </w:r>
    </w:p>
    <w:p>
      <w:pPr>
        <w:pStyle w:val="Heading3"/>
      </w:pPr>
      <w:r>
        <w:t>2.2.1 Literature Search Strategy and Primary Databases</w:t>
      </w:r>
    </w:p>
    <w:p>
      <w:r>
        <w:t>Main retrieval route. Searches were run primarily through Google Scholar for first discovery (keywords: IoT intrusion detection, graph neural network, CICIoT2023, federated learning, explainable; year filters 2017–2026 where available). Peer-reviewed full texts were then obtained from publisher platforms IEEE Xplore, SpringerLink, MDPI (open access journals), and ScienceDirect (Elsevier), in line with programme and supervisor guidance. These venues host the core papers used for claims in this chapter (e.g. dataset description, GNN/IDS surveys, FedAvg, IoT FL experiments, XAI for security).</w:t>
      </w:r>
    </w:p>
    <w:p>
      <w:r>
        <w:t>Traceability and inclusion rules. Backward snowballing from survey papers (Zhong et al. 2024; Wang et al. 2025) and from the CICIoT2023 reference list (Pinto et al. 2023) identified additional GNN, temporal-graph, and IoT-IDS primary studies. Forward checks on Google Scholar (cited-by) were used to confirm that foundational methods (e.g. GAT, FedAvg, Integrated Gradients) are cited in later security applications. Grey sources (unverified blogs, uncited GitHub readmes) were not used to support empirical claims. A small number of arXiv or arXiv-linked items appear in Chapter 12 (tooling: Flower, PyG, PyTorch) or, where unavoidable, in Chapter 11 for widely adopted artefacts (e.g. Captum) with DOIs, not as substitutes for peer-reviewed security evidence. Documentation for ECS-like field patterns is implementation context, not a literature finding.</w:t>
      </w:r>
    </w:p>
    <w:p>
      <w:pPr>
        <w:pStyle w:val="Heading3"/>
      </w:pPr>
      <w:r>
        <w:t>2.2.2 Main Technology Pillars: Synthesis, Debate, and Fit with the Title</w:t>
      </w:r>
    </w:p>
    <w:p>
      <w:r>
        <w:t>The dissertation title strings together SIEM orientation, dynamic graph learning, edge AI (CPU inference), and federated learning. The subsections below do not define “what is an attack”; they state how the literature justifies taking each ingredient seriously at once, where authors disagree, and what that implies for a single MSc prototype (Pinto et al. 2023; Zhong et al. 2024; McMahan et al. 2017; Qu et al. 2020; Cuppens and Miège 2002).</w:t>
      </w:r>
    </w:p>
    <w:p>
      <w:pPr>
        <w:pStyle w:val="Heading3"/>
      </w:pPr>
      <w:r>
        <w:t>2.2.2.1 Software-Defined Flow Observability and the Detection Surface</w:t>
      </w:r>
    </w:p>
    <w:p>
      <w:r>
        <w:t>Software-defined and controller-centric IoT/SDN narratives matter here because they determine where flow aggregates become visible and how far an edge node can see (ENISA 2017). That visibility is a policy-technical trade-off, not a neutral given: more observation supports detection; it also increases handling obligations under data-protection framing. The CICIoT2023 design (Pinto et al. 2023) reflects research practice: label-rich flow features without full raw capture, comparable across papers. The debate is not “IoT is risky” (Kolias et al. 2017) but whether flow-level ML generalises to production mixes - something surveys flag as an open deployment gap (Wang et al. 2025; Zhong et al. 2024). This work accepts that limit and uses one public benchmark to keep comparisons honest.</w:t>
      </w:r>
    </w:p>
    <w:p>
      <w:pPr>
        <w:pStyle w:val="Heading3"/>
      </w:pPr>
      <w:r>
        <w:t>2.2.2.2 Similarity Graphs and Dynamic GNNs as a Design Bet, Not a Slogan</w:t>
      </w:r>
    </w:p>
    <w:p>
      <w:r>
        <w:t>Tabular classifiers on strong flow features are hard to beat on some tasks; GNNs are justified when relational structure carries signal beyond a single row (Ngo et al. 2025; Velickovic et al. 2018; Zhong et al. 2024). Tension 1  -  structure vs. cost: GNN+sequence stacks increase CPU time per window (Basak et al. 2025; Lusa et al. 2025); the literature therefore supports ablation and latency reporting, not a priori superiority. Tension 2  -  topology vs. privacy: the public CICIoT2023 release does not support full device-level IP graphs, so kNN in feature space is a documented compromise (Ngo et al. 2025), not a claim to physical topology. Tension 3  -  attention vs. ground truth: GAT salience is not proof of attack intent; X-GANet-style work pairs accuracy with interpretability claims that still assume offline evaluation (Basak et al. 2025). The title’s “dynamic GNN” is thus a testable stack (GAT+GRU) against RF/MLP, not a marketing label.</w:t>
      </w:r>
    </w:p>
    <w:p>
      <w:pPr>
        <w:pStyle w:val="Heading3"/>
      </w:pPr>
      <w:r>
        <w:t>2.2.2.3 Edge AI, Federated Training, and What “Privacy” Can Mean</w:t>
      </w:r>
    </w:p>
    <w:p>
      <w:r>
        <w:t>Edge AI in this project means CPU inference and deployment-shaped outputs (Lazzarini et al. 2023; Albanbay et al. 2025), not a claim that every edge device trains continuously. Federated learning is introduced where raw flows cannot be pooled (McMahan et al. 2017; Qu et al. 2020). The literature is explicit that non-IID client splits and client counts change convergence (Albanbay et al. 2025); that is a counterargument to any story that “FL always matches central training.” A second counterargument is privacy: FedAvg omits raw centralisation; it does not by itself guarantee differential privacy or robustness to gradient-based inference under strong threats (McMahan et al. 2017; discussion in Section 2.6.2). The title’s pairing of edge and federated is therefore a situational fit: each addresses a different constraint (inference site vs. training data custody).</w:t>
      </w:r>
    </w:p>
    <w:p>
      <w:pPr>
        <w:pStyle w:val="Heading3"/>
      </w:pPr>
      <w:r>
        <w:t>2.2.2.4 Explainable, SIEM-Ready Outputs Versus Alert Economics</w:t>
      </w:r>
    </w:p>
    <w:p>
      <w:r>
        <w:t>A SIEM-oriented story requires more than a score: analyst time and false-positive load are long-standing operational themes (Cuppens and Miège 2002). XAI in IoT streams can improve transparency (Alabbadi and Bajaber 2025), but SHAP, IG, and attention disagree on what to privilege (Lundberg and Lee 2017; Sundararajan et al. 2017; Velickovic et al. 2018). The debate this chapter takes seriously is whether explanation payloads change triage or merely transfer work (see Section 2.4.2). The thesis therefore treats ECS-like JSON as a plausible ingestion move, to be read alongside measured latency and selective explanation (Section 2.7.2), not as proof of organisational adoption.</w:t>
      </w:r>
    </w:p>
    <w:p>
      <w:r>
        <w:t>Continuity note: Sections 2.3–2.7 develop the same four strands with additional primary studies and figures; they should be read as the evidential layer for the argumentative synthesis already given in Section 2.2.2, not as separate “definitions of basics.”</w:t>
      </w:r>
    </w:p>
    <w:p>
      <w:pPr>
        <w:pStyle w:val="Heading2"/>
      </w:pPr>
      <w:r>
        <w:t>2.3 IoT Security and the Need for Detection</w:t>
      </w:r>
    </w:p>
    <w:p>
      <w:r>
        <w:t>Strategic policy documents also stress that IoT deployments introduce concentrated risk when devices are left under-protected, which motivates defence in depth at the network-observability level (ENISA 2017). Empirical work shows the same at device level: many products ship with default credentials, missing patches, or weak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studied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and ML-based methods learn normal traffic or decision boundaries in feature space; surveys document widespread use of classifiers on flow and packet data (Zhong et al. 2024; Pinto et al. 2023). The CICIoT2023 dataset used in this project was published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 Figure 1 (categories aligned with the discussion in Kolias et al. 2017; Pinto et al. 2023; Wang et al. 2025; Zhong et al. 2024) summarises the main intrusion detection families relevant to IoT and this project. Critically, taxonomies simplify messy commercial stacks where signature tiers, ML tiers, and vendor playbooks overlap; the figure is a navigation aid for this thesis, not a complete map of every deployed SOC architecture.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038475"/>
                  <wp:docPr id="2" name="Picture 2"/>
                  <wp:cNvGraphicFramePr>
                    <a:graphicFrameLocks noChangeAspect="1"/>
                  </wp:cNvGraphicFramePr>
                  <a:graphic>
                    <a:graphicData uri="http://schemas.openxmlformats.org/drawingml/2006/picture">
                      <pic:pic>
                        <pic:nvPicPr>
                          <pic:cNvPr id="2" name="literature_ids_taxonomy.png"/>
                          <pic:cNvPicPr/>
                        </pic:nvPicPr>
                        <pic:blipFill>
                          <a:blip r:embed="rId13"/>
                          <a:stretch>
                            <a:fillRect/>
                          </a:stretch>
                        </pic:blipFill>
                        <pic:spPr>
                          <a:xfrm>
                            <a:off x="0" y="0"/>
                            <a:ext cx="5029200" cy="3038475"/>
                          </a:xfrm>
                          <a:prstGeom prst="rect"/>
                        </pic:spPr>
                      </pic:pic>
                    </a:graphicData>
                  </a:graphic>
                </wp:inline>
              </w:drawing>
            </w:r>
          </w:p>
        </w:tc>
      </w:tr>
    </w:tbl>
    <w:p>
      <w:pPr>
        <w:pStyle w:val="Caption"/>
      </w:pPr>
      <w:r>
        <w:t>Figure 1: Taxonomy of IDS approaches relevant to IoT and this project (Chapter 2, Section 2.3)</w:t>
      </w:r>
    </w:p>
    <w:p>
      <w:r>
        <w:rPr>
          <w:i/>
        </w:rPr>
        <w:t>Sources: (Kolias et al. 2017); (Pinto et al. 2023); (Wang et al. 2025); (Zhong et al. 2024). Full references in Chapter 11.</w:t>
      </w:r>
    </w:p>
    <w:p>
      <w:pPr>
        <w:pStyle w:val="Heading2"/>
      </w:pPr>
      <w:r>
        <w:t>2.4 SIEM, SOC Workflows, and Alert Quality</w:t>
      </w:r>
    </w:p>
    <w:p>
      <w:pPr>
        <w:pStyle w:val="Heading3"/>
      </w:pPr>
      <w:r>
        <w:t>2.4.1 Alert Volume, Triage, and the Need for Explanations</w:t>
      </w:r>
    </w:p>
    <w:p>
      <w:r>
        <w:t>SOC teams use SIEM and related tools to collect logs and flow data and to generate alerts. A well-known problem is alert fatigue: too many alerts and too many false positives make it hard for analysts to focus on real threats (Cuppens and Miège 2002). If an alert does not explain why it was raised, triage becomes slower and more guesswork. Cuppens and Miège (2002) proposed alert correlation to reduce noise by grouping related alerts. The main problem endures: many detection systems still output labels without a faithful account of the evidence. This matters because analyst time is a finite resource; the argument is not new, but it directly motivates XAI in the sections that follow (Cuppens and Miège 2002).</w:t>
      </w:r>
    </w:p>
    <w:p>
      <w:r>
        <w:t>The Elastic Common Schema (ECS) provides a vendor-neutral field pattern for security events: event type, outcome, source, destination, and extensions. ECS-like JSON (field names and nesting inspired by that schema) is used in this project so that alerts can be ingested by Elastic, Splunk, and similar platforms without a bespoke format per tool (vendor documentation; this dissertation does not claim endorsement or certification by any vendor).</w:t>
      </w:r>
    </w:p>
    <w:p>
      <w:pPr>
        <w:pStyle w:val="Heading3"/>
      </w:pPr>
      <w:r>
        <w:t>2.4.2 Explainability, SIEM Ecosystems, and Limits of “Better JSON”</w:t>
      </w:r>
    </w:p>
    <w:p>
      <w:r>
        <w:t>Major SIEM products (e.g. Splunk, Elastic, Microsoft Sentinel) support custom rules and ML-assisted detections, but the deployment of explainable model outputs in tier-1 triage is still uneven in the published record; vendors emphasise playbooks and case workflows as much as raw explanation objects. For academic ML papers, a standard comparison is to local explanation tools: Lundberg and Lee (2017) formalise SHAP for additive feature attribution, while gradient methods such as Integrated Gradients (Sundararajan et al. 2017) target deep networks. In a SOC context, explanations that point to flows, devices, or time windows can support a faster escalation decision. This project instantiates that idea with top features and top flows in the alert. Critically, correlation and a cleaner schema do not by themselves show that analysts will trust or rely on a model’s escalation when queues already exceed service levels - workload and incentive effects remain contested in the operations literature; formatting alone does not end that debate.</w:t>
      </w:r>
    </w:p>
    <w:p>
      <w:pPr>
        <w:pStyle w:val="Heading2"/>
      </w:pPr>
      <w:r>
        <w:t>2.5 Graph Neural Networks and Dynamic Graphs</w:t>
      </w:r>
    </w:p>
    <w:p>
      <w:pPr>
        <w:pStyle w:val="Heading3"/>
      </w:pPr>
      <w:r>
        <w:t>2.5.1 GNNs, Attention, and Attribute-Based Graphs in Intrusion Detection</w:t>
      </w:r>
    </w:p>
    <w:p>
      <w:r>
        <w:t>Graph neural networks (GNNs) work on data that has a graph structure: nodes and edges. In network security, nodes can be hosts or flows and edges can be similarity or adjacency in feature space. GNNs combine information from neighbours and can learn patterns that depend on the graph structure. Message passing (each node update aggregates neighbour messages) encodes relational structure that flat tabular classifiers (one row per flow) treat as independent samples (Velickovic et al. 2018; Wang et al. 2025). Graph Attention Networks (GATs) allow learned weights over neighbours (Velickovic et al. 2018), which is useful when some edges matter more for the decision. Han et al. (2025) proposed DIMK-GCN for intrusion detection with multi-scale graph views. Ngo et al. (2025) showed that attribute-based graphs (e.g. kNN in feature space) are viable when device identifiers are missing - this directly supports the kNN construction in this project on CICIoT2023 public releases. When topology IP graphs are not available, similarity graphs are a principled fallback (Ngo et al. 2025). Critically, attention highlights salient edges; it is not a causal proof of intent, and the XAI community continues to ask whether saliency tracks ground-truth attack steps or only the model’s margin (see also Basak et al. 2025).</w:t>
      </w:r>
    </w:p>
    <w:p>
      <w:pPr>
        <w:pStyle w:val="Heading3"/>
      </w:pPr>
      <w:r>
        <w:t>2.5.2 Dynamic (Temporal) Graphs and the GAT+GRU Pattern</w:t>
      </w:r>
    </w:p>
    <w:p>
      <w:r>
        <w:t>Networks change over time. Dynamic (temporal) graph models stack a GNN over each snapshot and a sequence model across snapshots - see Zheng et al. (2019) for attention-based temporal GCNs on dynamic graphs. Lusa et al. (2025) combine temporal edge features with GraphSAGE for NID. Basak et al. (2025) report both high accuracy and interpretable GNN attention for NID. For IoT flow data, a GAT+GRU design tests whether structure and time add value over Random Forest and MLP on the same splits. The net benefit is data-dependent; the literature supports a fair comparison rather than a universal claim of dominance. GNNs usually cost more CPU time per prediction than tabular models - an edge deployment concern this project measures in Section 8.5. Figure 2 summarises the GAT+GRU data path in the sense of the cited temporal-graph literature (Velickovic et al. 2018; Zheng et al. 2019; Lusa et al. 2025; Basak et al. 2025): GAT on each window’s graph, then GRU on the sequence of window embeddings, then a classifier. The diagram is author-original; it does not reproduce a figure from any single prior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035976"/>
                  <wp:docPr id="3" name="Picture 3"/>
                  <wp:cNvGraphicFramePr>
                    <a:graphicFrameLocks noChangeAspect="1"/>
                  </wp:cNvGraphicFramePr>
                  <a:graphic>
                    <a:graphicData uri="http://schemas.openxmlformats.org/drawingml/2006/picture">
                      <pic:pic>
                        <pic:nvPicPr>
                          <pic:cNvPr id="3" name="literature_dynamic_gnn_concept.png"/>
                          <pic:cNvPicPr/>
                        </pic:nvPicPr>
                        <pic:blipFill>
                          <a:blip r:embed="rId14"/>
                          <a:stretch>
                            <a:fillRect/>
                          </a:stretch>
                        </pic:blipFill>
                        <pic:spPr>
                          <a:xfrm>
                            <a:off x="0" y="0"/>
                            <a:ext cx="5029200" cy="2035976"/>
                          </a:xfrm>
                          <a:prstGeom prst="rect"/>
                        </pic:spPr>
                      </pic:pic>
                    </a:graphicData>
                  </a:graphic>
                </wp:inline>
              </w:drawing>
            </w:r>
          </w:p>
        </w:tc>
      </w:tr>
    </w:tbl>
    <w:p>
      <w:pPr>
        <w:pStyle w:val="Caption"/>
      </w:pPr>
      <w:r>
        <w:t>Figure 2: Conceptual flow of a dynamic GNN (GAT + GRU) for temporal graph classification (Chapter 2, Section 2.5)</w:t>
      </w:r>
    </w:p>
    <w:p>
      <w:r>
        <w:rPr>
          <w:i/>
        </w:rPr>
        <w:t>Sources: (Velickovic et al. 2018); (Zheng et al. 2019); (Lusa et al. 2025); (Basak et al. 2025). Full references in Chapter 11.</w:t>
      </w:r>
    </w:p>
    <w:p>
      <w:pPr>
        <w:pStyle w:val="Heading2"/>
      </w:pPr>
      <w:r>
        <w:t>2.6 Federated Learning and Privacy</w:t>
      </w:r>
    </w:p>
    <w:p>
      <w:pPr>
        <w:pStyle w:val="Heading3"/>
      </w:pPr>
      <w:r>
        <w:t>2.6.1 FedAvg, Assumptions, and Communication</w:t>
      </w:r>
    </w:p>
    <w:p>
      <w:r>
        <w:t>Federated learning trains a model across many clients without centralising raw data. Each client trains locally and sends only model updates (gradients or weights) to a server; the server aggregates and broadcasts a global model. FedAvg (McMahan et al. 2017) is the baseline: the server averages client parameters, often weighted by local dataset size. This reduces the direct need to store all raw flow captures in one central pool, which is relevant to data-sovereignty discussions for multi-site settings (Lazzarini et al. 2023; Albanbay et al. 2025). In IoT and edge deployments, bandwidth limits favour shipping parameters (order of megabytes) rather than full raw traffic (which can be far larger). Figure 3 is an author schematic of the FedAvg role model described in McMahan et al. (2017), not a reproduction of a figure from that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36019"/>
                  <wp:docPr id="4" name="Picture 4"/>
                  <wp:cNvGraphicFramePr>
                    <a:graphicFrameLocks noChangeAspect="1"/>
                  </wp:cNvGraphicFramePr>
                  <a:graphic>
                    <a:graphicData uri="http://schemas.openxmlformats.org/drawingml/2006/picture">
                      <pic:pic>
                        <pic:nvPicPr>
                          <pic:cNvPr id="4" name="literature_fedavg_flow.png"/>
                          <pic:cNvPicPr/>
                        </pic:nvPicPr>
                        <pic:blipFill>
                          <a:blip r:embed="rId15"/>
                          <a:stretch>
                            <a:fillRect/>
                          </a:stretch>
                        </pic:blipFill>
                        <pic:spPr>
                          <a:xfrm>
                            <a:off x="0" y="0"/>
                            <a:ext cx="5029200" cy="2436019"/>
                          </a:xfrm>
                          <a:prstGeom prst="rect"/>
                        </pic:spPr>
                      </pic:pic>
                    </a:graphicData>
                  </a:graphic>
                </wp:inline>
              </w:drawing>
            </w:r>
          </w:p>
        </w:tc>
      </w:tr>
    </w:tbl>
    <w:p>
      <w:pPr>
        <w:pStyle w:val="Caption"/>
      </w:pPr>
      <w:r>
        <w:t>Figure 3: Federated learning (FedAvg) flow  -  no raw data leaves clients (Chapter 2, Section 2.6)</w:t>
      </w:r>
    </w:p>
    <w:p>
      <w:r>
        <w:rPr>
          <w:i/>
        </w:rPr>
        <w:t>Sources: (McMahan et al. 2017); (Lazzarini et al. 2023). Full references in Chapter 11.</w:t>
      </w:r>
    </w:p>
    <w:p>
      <w:pPr>
        <w:pStyle w:val="Heading3"/>
      </w:pPr>
      <w:r>
        <w:t>2.6.2 FL for IoT Intrusion Detection: Empirical Findings and Non-IID Reality</w:t>
      </w:r>
    </w:p>
    <w:p>
      <w:r>
        <w:t>Federated learning has been applied in IoT and fog settings. Qu et al. (2020) discuss decentralised privacy patterns in fog environments (including blockchain-linked federated designs), which helps explain why some edge operators refuse raw data pooling. Lazzarini et al. (2023) report IoT IDS experiments under FedAvg, with central-comparable performance when data conditions are stable. Albanbay et al. (2025) show that client count and the severity of non-IID splits affect both convergence and accuracy - a practical counterpoint to any claim that “FL is always free” or always matches central training without tuning. When class and attack-type mixes differ by site, the global model must integrate heterogeneous client updates; more rounds and careful aggregation can be required. This project uses Flower with three clients and a Dirichlet non-IID split to test federated GNN parity with central training, and logs communication volume (Chapter 8). Critically, FedAvg does not by itself provide differential privacy; gradient inversion and membership-style attacks remain part of the active research record under strong adversaries - this work assumes honest-but-curious coordination and a threat model suitable for the stated MSc scope.</w:t>
      </w:r>
    </w:p>
    <w:p>
      <w:pPr>
        <w:pStyle w:val="Heading2"/>
      </w:pPr>
      <w:r>
        <w:t>2.7 Explainability in ML-Based Security</w:t>
      </w:r>
    </w:p>
    <w:p>
      <w:pPr>
        <w:pStyle w:val="Heading3"/>
      </w:pPr>
      <w:r>
        <w:t>2.7.1 Post-hoc Attribution, Integrated Gradients, and Attention in GNNs</w:t>
      </w:r>
    </w:p>
    <w:p>
      <w:r>
        <w:t>Explainability is usually added after the model is trained. Post-hoc methods rank input features (or substructures) that influenced a prediction. Integrated Gradients (IG) is a gradient-based attribution: it attributes the score change from a baseline input to the actual input, with axioms discussed in Sundararajan et al. (2017). The implementation in this project uses Captum (Kokhlikyan et al. 2020), which integrates with PyTorch. For GAT networks, edge-level attention (Velickovic et al. 2018) provides a complementary view of which neighbours were emphasised. This dissertation uses IG for per-feature magnitudes and GAT attention for per-flow emphasis so that an analyst sees both “what in the feature vector” and “which flow rows” supported the alert. Figure 4 (methods aligned with Sundararajan et al. 2017; Velickovic et al. 2018; Kokhlikyan et al. 2020) sketches that dual path for SOC-style JSON.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31017"/>
                  <wp:docPr id="5" name="Picture 5"/>
                  <wp:cNvGraphicFramePr>
                    <a:graphicFrameLocks noChangeAspect="1"/>
                  </wp:cNvGraphicFramePr>
                  <a:graphic>
                    <a:graphicData uri="http://schemas.openxmlformats.org/drawingml/2006/picture">
                      <pic:pic>
                        <pic:nvPicPr>
                          <pic:cNvPr id="5" name="literature_explainability.png"/>
                          <pic:cNvPicPr/>
                        </pic:nvPicPr>
                        <pic:blipFill>
                          <a:blip r:embed="rId16"/>
                          <a:stretch>
                            <a:fillRect/>
                          </a:stretch>
                        </pic:blipFill>
                        <pic:spPr>
                          <a:xfrm>
                            <a:off x="0" y="0"/>
                            <a:ext cx="5029200" cy="2131017"/>
                          </a:xfrm>
                          <a:prstGeom prst="rect"/>
                        </pic:spPr>
                      </pic:pic>
                    </a:graphicData>
                  </a:graphic>
                </wp:inline>
              </w:drawing>
            </w:r>
          </w:p>
        </w:tc>
      </w:tr>
    </w:tbl>
    <w:p>
      <w:pPr>
        <w:pStyle w:val="Caption"/>
      </w:pPr>
      <w:r>
        <w:t>Figure 4: Explainability methods used for SOC-oriented alerts (Chapter 2, Section 2.7)</w:t>
      </w:r>
    </w:p>
    <w:p>
      <w:r>
        <w:rPr>
          <w:i/>
        </w:rPr>
        <w:t>Sources: (Sundararajan et al. 2017); (Velickovic et al. 2018); (Kokhlikyan et al. 2020). Full references in Chapter 11.</w:t>
      </w:r>
    </w:p>
    <w:p>
      <w:pPr>
        <w:pStyle w:val="Heading3"/>
      </w:pPr>
      <w:r>
        <w:t>2.7.2 XAI for IoT Streams, SHAP as Alternative, and Latency as a Counterargument</w:t>
      </w:r>
    </w:p>
    <w:p>
      <w:r>
        <w:t>Alabbadi and Bajaber (2025) evaluate XAI for intrusion detection on IoT streams and show that post-hoc explanations can improve transparency for analysts, but their work is not a full end-to-end SIEM hand-off. Lundberg and Lee (2017) define SHAP; SHAP is model-agnostic and widely used for tree and MLP baselines, whereas Integrated Gradients fits the GNN+Captum stack in this work. A practical counterargument to “explain every alert” is latency: IG needs many forward passes (the implementation default is 50); on GNN + sequence inputs the cost is non-trivial, so the code supports selective explanation. Field studies remain sparse on whether explanation payloads shorten time-to-triage on edge hardware - that limit is returned to in Chapter 9, not overstated here.</w:t>
      </w:r>
    </w:p>
    <w:p>
      <w:r>
        <w:t>Table 1 and Figure 5 summarise how prior studies cover the four project pillars. No single row in Table 1 combines GNN, federated training, XAI, and a SIEM-oriented alert wrapper in the way the present prototype does; that gap is made explicit in Section 2.8.</w:t>
      </w:r>
    </w:p>
    <w:p>
      <w:r>
        <w:t>Table 1: Comparison of selected related work (sources: Chapter 11)</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r>
        <w:rPr>
          <w:i/>
        </w:rPr>
        <w:t>Source: Author compilation from the papers cited in Chapter 11; table is descriptive only.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639230"/>
                  <wp:docPr id="6" name="Picture 6"/>
                  <wp:cNvGraphicFramePr>
                    <a:graphicFrameLocks noChangeAspect="1"/>
                  </wp:cNvGraphicFramePr>
                  <a:graphic>
                    <a:graphicData uri="http://schemas.openxmlformats.org/drawingml/2006/picture">
                      <pic:pic>
                        <pic:nvPicPr>
                          <pic:cNvPr id="6" name="literature_positioning.png"/>
                          <pic:cNvPicPr/>
                        </pic:nvPicPr>
                        <pic:blipFill>
                          <a:blip r:embed="rId17"/>
                          <a:stretch>
                            <a:fillRect/>
                          </a:stretch>
                        </pic:blipFill>
                        <pic:spPr>
                          <a:xfrm>
                            <a:off x="0" y="0"/>
                            <a:ext cx="5029200" cy="3639230"/>
                          </a:xfrm>
                          <a:prstGeom prst="rect"/>
                        </pic:spPr>
                      </pic:pic>
                    </a:graphicData>
                  </a:graphic>
                </wp:inline>
              </w:drawing>
            </w:r>
          </w:p>
        </w:tc>
      </w:tr>
    </w:tbl>
    <w:p>
      <w:pPr>
        <w:pStyle w:val="Caption"/>
      </w:pPr>
      <w:r>
        <w:t>Figure 5: Positioning of related work  -  GNN, federated learning, explainability, and SIEM-style alerts (Chapter 2, Section 2.7)</w:t>
      </w:r>
    </w:p>
    <w:p>
      <w:r>
        <w:rPr>
          <w:i/>
        </w:rP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Synthesis: Significance, Limitations of Prior Work, Contributions, and Gap</w:t>
      </w:r>
    </w:p>
    <w:p>
      <w:r>
        <w:t>This section addresses four items expected in a strong final-report literature review: (1) significance of the anticipated findings for the stated scope; (2) limitations in the literature and their impact on defensible claims; (3) a critical view of the contribution; and (4) how existing approaches partially cover the problem before the integrated gap is stated.</w:t>
      </w:r>
    </w:p>
    <w:p>
      <w:pPr>
        <w:pStyle w:val="Heading3"/>
      </w:pPr>
      <w:r>
        <w:t>2.8.1 How Existing Approaches Fill Part of the Problem (and Where They Stop)</w:t>
      </w:r>
    </w:p>
    <w:p>
      <w:r>
        <w:t>Good papers typically specialise. Yang et al. (2025) and Han et al. (2025) push GNN accuracy for IoT or NID but do not operationalise federated training or SIEM-shaped delivery. Lazzarini et al. (2023) and Albanbay et al. (2025) scale FedAvg under non-IID IoT partitions but generally do not pair that with a dynamic graph front end and end-to-end alerts. Alabbadi and Bajaber (2025) and Basak et al. (2025) foreground XAI in central or offline evaluations. Pinto et al. (2023) enable repeatable benchmarks on CICIoT2023 but do not prescribe a single detector architecture. Table 1 makes the pattern visible: the capability columns are rarely all “on” in one study; the final row (this project) is the only entry that attempts all four pillars in one CPU-first pipeline.</w:t>
      </w:r>
    </w:p>
    <w:p>
      <w:pPr>
        <w:pStyle w:val="Heading3"/>
      </w:pPr>
      <w:r>
        <w:t>2.8.2 Anticipated Significance (What Would Matter if the Evidence Holds)</w:t>
      </w:r>
    </w:p>
    <w:p>
      <w:r>
        <w:t>If, on fixed splits, a dynamic GNN matches or outperforms strong tabular baselines while emitting analyst-facing alerts, the significance is engineering and methodological: it demonstrates feasibility of combining concerns that the literature often splits across separate papers. The expected contribution is not a universal claim of best F1 on all IoT traffic; it is a transparent prototype with ablation, sensitivity, and multi-seed artefacts so that trade-offs (central vs. federated, latency vs. model depth) are visible to examiners and to readers with SOC-oriented interests.</w:t>
      </w:r>
    </w:p>
    <w:p>
      <w:pPr>
        <w:pStyle w:val="Heading3"/>
      </w:pPr>
      <w:r>
        <w:t>2.8.3 Limitations in the Literature and Their Impact on Claims</w:t>
      </w:r>
    </w:p>
    <w:p>
      <w:r>
        <w:t>Three limits recur. First, published benchmarks rely on lab datasets and subset choice can inflate apparent performance (Pinto et al. 2023; Chapters 8–9). Second, XAI work often reports attribution quality without operator time-to-triage (Alabbadi and Bajaber 2025; Section 2.7.2). Third, federated “privacy” narratives can outrun what FedAvg formally guarantees (McMahan et al. 2017; Section 2.6.2). These limits bound wording: the dissertation claims a documented pipeline and comparative evidence on CICIoT2023, not production readiness for arbitrary live tenants.</w:t>
      </w:r>
    </w:p>
    <w:p>
      <w:pPr>
        <w:pStyle w:val="Heading3"/>
      </w:pPr>
      <w:r>
        <w:t>2.8.4 Debate, Counterarguments, and the Consolidated Gap</w:t>
      </w:r>
    </w:p>
    <w:p>
      <w:r>
        <w:t>Counterargument 1  -  “Graphs are unnecessary if features are already strong.” The literature itself is split (Yang et al. 2025; Zhong et al. 2024). This work tests the claim with RF and MLP baselines on the same splits and reports false positive counts as well as headline F1. Counterargument 2  -  “Federated learning is privacy for free.” Qu et al. (2020) and Albanbay et al. (2025) show deployment subtleties; this work states honest-but-curious assumptions and measures bytes exchanged, not a differential-privacy bound. Counterargument 3  -  “Explainable alerts remove audit and workload risk.” Cuppens and Miège (2002) and Section 2.4.2 stress operational load; integrated gradients and GAT attention add artefacts for human review, not a guarantee of trust or policy compliance.</w:t>
      </w:r>
    </w:p>
    <w:p>
      <w:r>
        <w:t>Consolidated gap: No prior row in Table 1 unifies kNN temporal graphs, a GAT+GRU stack, Flower FedAvg, Captum integrated gradients and GAT attention cues, and ECS-like JSON alerts with RF/MLP baselines on a shared CICIoT2023 subset under one MSc-style reproducible package. Chapters 4–8 instantiate that gap as design and evidence; Chapter 9 returns to significance after the results.</w:t>
      </w:r>
    </w:p>
    <w:p>
      <w:pPr>
        <w:pStyle w:val="Heading2"/>
      </w:pPr>
      <w:r>
        <w:t>2.9 Mapping to CyBOK (Cyber Security Body of Knowledge)</w:t>
      </w:r>
    </w:p>
    <w:p>
      <w:r>
        <w:t>The agreed project specification (Appendix B) records this work against CyBOK knowledge areas. The dissertation aligns with the following topics in particular: Attacks &amp; Defences → Security Operations &amp; Incident Management (SIEM-style alerting, SOC triage, and intrusion detection outputs); Infrastructure Security → Network Security (flow-based analysis and IoT traffic classification); Systems Security → Distributed Systems Security (federated learning without centralising raw client data); and Software and Platform Security → Software Security (engineering of the prototype pipeline, APIs, and reproducible scripts). Together, these areas situate the project within the School’s CyBOK mapping and match the specification’s indicative coverage.</w:t>
      </w:r>
    </w:p>
    <w:p>
      <w:pPr>
        <w:pStyle w:val="Heading2"/>
      </w:pPr>
      <w:r>
        <w:t>2.10 Extended Comparative Review (Fifteen to Twenty Core Sources)</w:t>
      </w:r>
    </w:p>
    <w:p>
      <w:r>
        <w:t>The programme guideline asks for fifteen to twenty significant papers in the literature review. Earlier sections already developed themes with primary citations. This section groups further comparisons so the breadth requirement is explicit and each cluster carries named in-text references.</w:t>
      </w:r>
    </w:p>
    <w:p>
      <w:pPr>
        <w:pStyle w:val="Heading3"/>
      </w:pPr>
      <w:r>
        <w:t>2.10.1 Temporal Graphs, Fog Decentralisation, and Survey Evidence</w:t>
      </w:r>
    </w:p>
    <w:p>
      <w:r>
        <w:t>Zheng et al. (2019) show attention-based temporal GCNs for dynamic graphs; that line of work motivates stacking a sequence model (here, a GRU) on top of graph snapshots instead of classifying each window in isolation. Qu et al. (2020) discuss decentralised privacy patterns in fog computing, including blockchain-linked federated designs; this dissertation does not use blockchain, but the paper clarifies why edge sites may refuse raw data centralisation. Zhong et al. (2024) and Wang et al. (2025) survey GNN use in intrusion detection and where explainability and deployment gaps remain - useful for positioning the GAT+GRU and alert design choices in Sections 2.5 and 2.7.</w:t>
      </w:r>
    </w:p>
    <w:p>
      <w:pPr>
        <w:pStyle w:val="Heading3"/>
      </w:pPr>
      <w:r>
        <w:t>2.10.2 SHAP, Integrated Gradients, and Method Choice in This Prototype</w:t>
      </w:r>
    </w:p>
    <w:p>
      <w:r>
        <w:t>Lundberg and Lee (2017) formalise SHAP for additive feature attribution. This project uses Integrated Gradients (Sundararajan et al. 2017) and GAT attention because they fit the PyTorch and Captum stack and the graph output; SHAP remains a defensible choice for tree or tabular baselines in parallel studies. The extended review therefore does not claim IG is universally superior; it records an engineering-consistent choice tied to the implemented models.</w:t>
      </w:r>
    </w:p>
    <w:p>
      <w:pPr>
        <w:pStyle w:val="Heading3"/>
      </w:pPr>
      <w:r>
        <w:t>2.10.3 Botnets, Early Alert Correlation, and Lineage to Modern SIEM</w:t>
      </w:r>
    </w:p>
    <w:p>
      <w:r>
        <w:t>Kolias et al. (2017) document Mirai-style botnets in the IoT, which explains why flow-level DDoS patterns dominate many IoT benchmarks, including CICIoT2023. Cuppens and Miège (2002) give early alert-correlation ideas that prefigure today’s correlation rules and case workflows; present SIEM output still benefits from the same analyst-time logic even though field naming has standardised on JSON and ECS-like schemas (Section 2.4.1).</w:t>
      </w:r>
    </w:p>
    <w:p>
      <w:pPr>
        <w:pStyle w:val="Heading2"/>
      </w:pPr>
      <w:r>
        <w:t>2.11 Chapter Summary</w:t>
      </w:r>
    </w:p>
    <w:p>
      <w:r>
        <w:t>Chapter 2 moved from the search strategy and database choice (Sections 2.2.1–2.2.2) to strategic IoT risk and dataset context (2.3), SIEM triage and explainability limits (2.4), graph and temporal GNN design (2.5), federated training caveats (2.6), and attribution toolchains (2.7). Section 2.2.2 in particular situates the title’s main technologies in argument form (flow observability, graph cost/benefit, federation vs. edge inference, explainable alert economics) before the thematic sections add paper-level detail. Table 1 and Figure 5 visualise the gap by capability pillar; Section 2.8 ties anticipated significance, literature-side limits, counterarguments, and the consolidated research gap. Section 2.9 maps themes to CyBOK; Section 2.10 extends the source base to programme breadth. The next chapters turn from what others did to what this project built: fixed dataset handling, kNN temporal graphs, the GAT+GRU stack, Flower FedAvg, Captum, and FastAPI-delivered ECS-like alerts.</w:t>
      </w:r>
    </w:p>
    <w:p>
      <w:pPr>
        <w:pStyle w:val="Heading1"/>
        <w:jc w:val="center"/>
      </w:pPr>
      <w:r>
        <w:rPr>
          <w:b/>
          <w:i w:val="0"/>
          <w:sz w:val="32"/>
        </w:rPr>
        <w:t>Chapter 3 – Project Management</w:t>
      </w:r>
    </w:p>
    <w:p>
      <w:pPr>
        <w:pStyle w:val="Heading2"/>
      </w:pPr>
      <w:r>
        <w:t>3.1 Chapter Overview</w:t>
      </w:r>
    </w:p>
    <w:p>
      <w:r>
        <w:t>This chapter documents the project process: planning and milestones, risk management, the development environment and evidence prepared for supervisor meetings (Section 3.5), ethics posture (public dataset, no human participants), and how interim feedback was incorporated. It supports transparency of execution without duplicating the technical content presented in Chapters 4–7.</w:t>
      </w:r>
    </w:p>
    <w:p>
      <w:pPr>
        <w:pStyle w:val="Heading2"/>
      </w:pPr>
      <w:r>
        <w:t>3.2 Project Plan and Timeline (45-day MSc)</w:t>
      </w:r>
    </w:p>
    <w:p>
      <w:r>
        <w:t>Work was staged in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Each phase had concrete artefacts (metrics files, checkpoints, plots) to reduce ambiguity about “done.” Figure 6 shows the schedule as a Gantt chart with overlapping phase bars, which is more representative of real research execution than strictly sequential blocks.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05812"/>
                  <wp:docPr id="7" name="Picture 7"/>
                  <wp:cNvGraphicFramePr>
                    <a:graphicFrameLocks noChangeAspect="1"/>
                  </wp:cNvGraphicFramePr>
                  <a:graphic>
                    <a:graphicData uri="http://schemas.openxmlformats.org/drawingml/2006/picture">
                      <pic:pic>
                        <pic:nvPicPr>
                          <pic:cNvPr id="7" name="gantt_chart.png"/>
                          <pic:cNvPicPr/>
                        </pic:nvPicPr>
                        <pic:blipFill>
                          <a:blip r:embed="rId18"/>
                          <a:stretch>
                            <a:fillRect/>
                          </a:stretch>
                        </pic:blipFill>
                        <pic:spPr>
                          <a:xfrm>
                            <a:off x="0" y="0"/>
                            <a:ext cx="5029200" cy="2405812"/>
                          </a:xfrm>
                          <a:prstGeom prst="rect"/>
                        </pic:spPr>
                      </pic:pic>
                    </a:graphicData>
                  </a:graphic>
                </wp:inline>
              </w:drawing>
            </w:r>
          </w:p>
        </w:tc>
      </w:tr>
    </w:tbl>
    <w:p>
      <w:pPr>
        <w:pStyle w:val="Caption"/>
      </w:pPr>
      <w:r>
        <w:t>Figure 6: Project Gantt chart  -  six execution phases plus write-up across the 45-day MSc window (Chapter 3, Section 3.2)</w:t>
      </w:r>
    </w:p>
    <w:p>
      <w:r>
        <w:rPr>
          <w:i/>
        </w:rPr>
        <w:t>Source: Author’s own diagram (scripts/generate_gantt_chart.py).</w:t>
      </w:r>
    </w:p>
    <w:p>
      <w:pPr>
        <w:pStyle w:val="Heading2"/>
      </w:pPr>
      <w:r>
        <w:t>3.3 Risk Assessment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pPr>
        <w:pStyle w:val="Heading2"/>
      </w:pPr>
      <w:r>
        <w:t>3.4 Monitoring and Progress Reviews</w:t>
      </w:r>
    </w:p>
    <w:p>
      <w:r>
        <w:t>Progress was monitored on a weekly cadence with the supervisor and against the phase plan in Section 3.2. At each weekly meeting the agenda followed the same three points: (1) what was completed since the last meeting and which artefact in the repository proves it; (2) what is in progress and any blocker that needs supervisor input; (3) what is planned for the next week and which phase boundary it serves. Decisions and action items were captured in the project process documentation that is referenced in Appendix A so that activity is traceable beyond memory.</w:t>
      </w:r>
    </w:p>
    <w:p>
      <w:pPr>
        <w:pStyle w:val="Heading2"/>
      </w:pPr>
      <w:r>
        <w:t>3.5 Research Plan for Completion: IDE, Platform, and Evidence for Supervision</w:t>
      </w:r>
    </w:p>
    <w:p>
      <w:r>
        <w:t>The programme and supervisor may review where and how the code was built and how progress is demonstrated in meetings. This section records that information so it is maintained in the final report and can be revisited in follow-up supervisions, consistent with the handbook’s expectation of traceable development and Harvard (UWS) references for any non-original tools (University of the West of Scotland Library 2025).</w:t>
      </w:r>
    </w:p>
    <w:p>
      <w:r>
        <w:t>Working environment: Primary development used Cursor, an AI-assisted integrated development environment (IDE) based on the same editor stack as Visual Studio Code, running on Windows 10 (x64) (see also Table 5 in Section 6.2). The repository was cloned and edited in that IDE; version control, runs, and figures were produced on the same machine. Cursor is cited as a reputable, vendor-documented product (Anysphere, Inc. 2024), not as a source of research claims. Core language and tooling used alongside it are the Python implementation (Python Software Foundation 2023) and the Git version-control system (The Git Project 2023); both are standard, vendor-backed resources listed in the Chapter 12 bibliography. Citations in this report follow the UWS Library Harvard libguide** (University of the West of Scotland Library 2025).</w:t>
      </w:r>
    </w:p>
    <w:p>
      <w:r>
        <w:t>What supervisors can check in meetings: (1) the open Git history on the project repository; (2) frozen outputs under results/metrics/ and results/figures/ named in Chapter 13; (3) the Gantt phases in Section 3.2; (4) configuration in config/experiment.yaml. The student completed implementation, experiments, and dissertation drafting in this environment using Cursor for editing, terminal session runs as documented in README.md and SETUP_AND_RUN.md, and the MD → Word pipeline (scripts/dissertation_to_docx.py) for submission formatting.</w:t>
      </w:r>
    </w:p>
    <w:p>
      <w:r>
        <w:t>Not a substitute for design rationale: The IDE accelerates editing, navigation, and repeatability of commands; it does not replace the method described in Chapters 4–7 or the literature in Chapter 2, which are cited from peer-reviewed and established technical sources in Chapters 11–12 as per UWS practice.</w:t>
      </w:r>
    </w:p>
    <w:p>
      <w:pPr>
        <w:pStyle w:val="Heading2"/>
      </w:pPr>
      <w:r>
        <w:t>3.6 Ethics and Data</w:t>
      </w:r>
    </w:p>
    <w:p>
      <w:r>
        <w:t>Only public CICIoT2023 data is used; there are no human participants or proprietary organisational datasets. The signed specification ethics section records supervisor confirmation that the project does not require full ethics-review board approval under School procedures (February 2026), which matches the use of non-sensitive public data only. Process and ethics paperwork are referenced in Appendix A/B as required by the handbook.</w:t>
      </w:r>
    </w:p>
    <w:p>
      <w:pPr>
        <w:pStyle w:val="Heading2"/>
      </w:pPr>
      <w:r>
        <w:t>3.7 Interim Report Feedback Incorporated</w:t>
      </w:r>
    </w:p>
    <w:p>
      <w:r>
        <w:t>The MSc Project Handbook requires that feedback on the interim report (written and verbal from supervisor and moderator) be taken into account in the final submission. After interim submission, feedback reinforced: (1) keeping the end-to-end story visible (data → model → federation → explainability → SOC-shaped output), not only literature; (2) tightening the evaluation plan before reporting numbers; (3) being explicit about limits of a lab subset and very high test metrics; and (4) reserving effort for final analysis and write-up rather than scope creep.</w:t>
      </w:r>
    </w:p>
    <w:p>
      <w:r>
        <w:t>Actions taken in the final dissertation include: completing the full evaluation and results chapters (7–8) with tables and figures promised at interim; adding ablation, sensitivity, and multi-seed checks so result stability is evidenced (going beyond the interim contingency of dropping sensitivity if time ran short); strengthening critical reflection (Chapter 10) on methodology, federation, and the “100% metrics” question; and documenting reproducibility (Chapter 13). Any remaining suggestions from the interim review are acknowledged as limitations and future work in Chapter 9.</w:t>
      </w:r>
    </w:p>
    <w:p>
      <w:pPr>
        <w:pStyle w:val="Heading2"/>
      </w:pPr>
      <w:r>
        <w:t>3.8 Chapter Summary</w:t>
      </w:r>
    </w:p>
    <w:p>
      <w:r>
        <w:t>Transparent time-boxing and risk controls kept the project feasible while still delivering graph, federated, explainable, and deployable components. Section 3.5 documents the IDE and platform used for supervision-ready evidence; UWS Harvard-listed tool references are in Chapter 11; the Harvard libguide appears in Chapter 12 (University of the West of Scotland Library 2025).</w:t>
      </w:r>
    </w:p>
    <w:p>
      <w:pPr>
        <w:pStyle w:val="Heading1"/>
        <w:jc w:val="center"/>
      </w:pPr>
      <w:r>
        <w:rPr>
          <w:b/>
          <w:i w:val="0"/>
          <w:sz w:val="32"/>
        </w:rPr>
        <w:t>Chapter 4 – Research Design and Methodology</w:t>
      </w:r>
    </w:p>
    <w:p>
      <w:pPr>
        <w:pStyle w:val="Heading2"/>
      </w:pPr>
      <w:r>
        <w:t>4.1 Chapter Overview</w:t>
      </w:r>
    </w:p>
    <w:p>
      <w:r>
        <w:t>This chapter is the Research Method pillar: it states, in the author’s own terms, the stages, artefacts, and controls that turn secondary, pre-recorded CICIoT2023 flow tables into trained models and reported accuracy on a held-out test split. Programme guidance targets roughly fifteen percent or more of the final report for Research Method and a further fifteen percent or more for Research Method Deployment; here, Chapters 4–5 carry the method (design, pipeline, graph semantics) and Chapters 6–7 carry the deployment (code paths, testbed, experimental scenarios). Chapter 5 provides figures 7–9 and the authoritative graph rules; Chapter 6 gives module-level implementation; Section 7.5 defines metrics once. Together they satisfy the “two-chapter” structure without pasting abstract methodology from unrelated papers: every step below maps to a named file or script in the repository.</w:t>
      </w:r>
    </w:p>
    <w:p>
      <w:pPr>
        <w:pStyle w:val="Heading2"/>
      </w:pPr>
      <w:r>
        <w:t>4.2 Research Approach</w:t>
      </w:r>
    </w:p>
    <w:p>
      <w:r>
        <w:t>Epistemology. The work is empirical and artefact-driven: a software prototype (data pipeline → models → optional federation → explainability → API) is built and judged by reproducible metrics. Learning is always from pre-recorded flow rows supplied by the public benchmark; no live traffic is collected for training. Prediction on unseen flows is the operational sense of “accuracy” used here, implemented as held-out test metrics in Section 7.5 and Chapter 8.</w:t>
      </w:r>
    </w:p>
    <w:p>
      <w:r>
        <w:t>Proposed contribution (method-level). The methodology is not a restatement of a single prior paper. It is a compositional design that this project instantiates and measures: (i) feature-space kNN graphs to obtain structure without device IP topology in the public release, (ii) a GAT+GRU stack for relational + short-term temporal context, (iii) Flower FedAvg on Dirichlet-skewed clients, (iv) Captum integrated gradients and GAT attention for dual explanations, and (v) ECS-like JSON for SOC-shaped output - each with fixed hyperparameters in config/experiment.yaml and versioned code.</w:t>
      </w:r>
    </w:p>
    <w:p>
      <w:r>
        <w:t>Rigor funnel. (1) Public splits as released (train / validation / test CSVs), not a random re-split of one pool, so the benchmark’s intended separation is respected. (2) StandardScaler is fit on the training file only (first pass in src/data/preprocess.py), then transforms validation and test. (3) Tuning and early stopping use train + validation; test is for one-shot reporting. (4) Federated training never sends raw rows - only model parameters (see Section 4.5).</w:t>
      </w:r>
    </w:p>
    <w:p>
      <w:pPr>
        <w:pStyle w:val="Heading2"/>
      </w:pPr>
      <w:r>
        <w:t>4.3 Dataset and Subset</w:t>
      </w:r>
    </w:p>
    <w:p>
      <w:r>
        <w:t>Secondary data, primary use. CICIoT2023 (Pinto et al. 2023) is captured and labelled by the dataset authors in a testbed; this project consumes their pre-recorded CSVs as secondary data and applies a project-specific cleaning and learning pipeline. That distinction matters for ethics and for reproducibility: the thesis’s contribution is the transformations and models, not new packet capture.</w:t>
      </w:r>
    </w:p>
    <w:p>
      <w:r>
        <w:t>Row volume and class balance at flow level. For the frozen run reported in this dissertation, each of the three public split files was processed to 500,000 flow rows, preserving both benign and attack traffic at roughly 2.3% / 97.7% benign/attack in each split (see Table 4 for exact counts). Binary labels are derived by mapping the dataset’s label column to $y \in \{0,1\}$ (benign vs. attack) using the benign_labels list in the YAML. Forty-six numeric flow feature columns (rates, byte statistics, flag counts, protocol indicators) are listed exhaustively in config/experiment.yaml; no IP or timestamp fields are used as model inputs in this build.</w:t>
      </w:r>
    </w:p>
    <w:p>
      <w:r>
        <w:t>Feature extraction after split order. src/data/preprocess.py reads each split, drops/repairs inf / NaN in the 46 numerics, constructs binary_label, and applies the scaler in file order so that the training split fits the StandardScaler and the other splits only transform. That ordering is a leakage control: validation and test never influence the mean/variance used for $z$-scoring.</w:t>
      </w:r>
    </w:p>
    <w:p>
      <w:pPr>
        <w:pStyle w:val="Heading3"/>
      </w:pPr>
      <w:r>
        <w:t>4.3.1 Proposed pipeline stages, artefacts, and leakage controls</w:t>
      </w:r>
    </w:p>
    <w:p>
      <w:r>
        <w:t>Table 2 is the master stage list; later chapters reference the same order (Figure 7 is the visual analogue).</w:t>
      </w:r>
    </w:p>
    <w:p>
      <w:r>
        <w:t>Table 2: Proposed data and modelling pipeline stages (this project).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Stage</w:t>
            </w:r>
          </w:p>
        </w:tc>
        <w:tc>
          <w:tcPr>
            <w:tcW w:type="dxa" w:w="2250"/>
          </w:tcPr>
          <w:p>
            <w:pPr>
              <w:spacing w:line="240" w:lineRule="auto"/>
            </w:pPr>
            <w:r>
              <w:rPr>
                <w:rFonts w:ascii="Times New Roman" w:hAnsi="Times New Roman"/>
                <w:sz w:val="22"/>
              </w:rPr>
              <w:t>What happens</w:t>
            </w:r>
          </w:p>
        </w:tc>
        <w:tc>
          <w:tcPr>
            <w:tcW w:type="dxa" w:w="2250"/>
          </w:tcPr>
          <w:p>
            <w:pPr>
              <w:spacing w:line="240" w:lineRule="auto"/>
            </w:pPr>
            <w:r>
              <w:rPr>
                <w:rFonts w:ascii="Times New Roman" w:hAnsi="Times New Roman"/>
                <w:sz w:val="22"/>
              </w:rPr>
              <w:t>Main artefact / location</w:t>
            </w:r>
          </w:p>
        </w:tc>
        <w:tc>
          <w:tcPr>
            <w:tcW w:type="dxa" w:w="2250"/>
          </w:tcPr>
          <w:p>
            <w:pPr>
              <w:spacing w:line="240" w:lineRule="auto"/>
            </w:pPr>
            <w:r>
              <w:rPr>
                <w:rFonts w:ascii="Times New Roman" w:hAnsi="Times New Roman"/>
                <w:sz w:val="22"/>
              </w:rPr>
              <w:t>Leakage or scope control</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Ingest public CSVs per split</w:t>
            </w:r>
          </w:p>
        </w:tc>
        <w:tc>
          <w:tcPr>
            <w:tcW w:type="dxa" w:w="2250"/>
          </w:tcPr>
          <w:p>
            <w:pPr>
              <w:spacing w:line="240" w:lineRule="auto"/>
            </w:pPr>
            <w:r>
              <w:rPr>
                <w:rFonts w:ascii="Times New Roman" w:hAnsi="Times New Roman"/>
                <w:sz w:val="22"/>
              </w:rPr>
              <w:t>data/raw/{train,validation,test}.csv</w:t>
            </w:r>
          </w:p>
        </w:tc>
        <w:tc>
          <w:tcPr>
            <w:tcW w:type="dxa" w:w="2250"/>
          </w:tcPr>
          <w:p>
            <w:pPr>
              <w:spacing w:line="240" w:lineRule="auto"/>
            </w:pPr>
            <w:r>
              <w:rPr>
                <w:rFonts w:ascii="Times New Roman" w:hAnsi="Times New Roman"/>
                <w:sz w:val="22"/>
              </w:rPr>
              <w:t>Splits are as published (not re-drawn from one pool)</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Clean numerics, binarise labels, fit scaler on train only</w:t>
            </w:r>
          </w:p>
        </w:tc>
        <w:tc>
          <w:tcPr>
            <w:tcW w:type="dxa" w:w="2250"/>
          </w:tcPr>
          <w:p>
            <w:pPr>
              <w:spacing w:line="240" w:lineRule="auto"/>
            </w:pPr>
            <w:r>
              <w:rPr>
                <w:rFonts w:ascii="Times New Roman" w:hAnsi="Times New Roman"/>
                <w:sz w:val="22"/>
              </w:rPr>
              <w:t>src/data/preprocess.py  →  data/processed/*.parquet + scaler.joblib</w:t>
            </w:r>
          </w:p>
        </w:tc>
        <w:tc>
          <w:tcPr>
            <w:tcW w:type="dxa" w:w="2250"/>
          </w:tcPr>
          <w:p>
            <w:pPr>
              <w:spacing w:line="240" w:lineRule="auto"/>
            </w:pPr>
            <w:r>
              <w:rPr>
                <w:rFonts w:ascii="Times New Roman" w:hAnsi="Times New Roman"/>
                <w:sz w:val="22"/>
              </w:rPr>
              <w:t>Validation/test only transformed</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(Optional) cap rows per split for MSc budget</w:t>
            </w:r>
          </w:p>
        </w:tc>
        <w:tc>
          <w:tcPr>
            <w:tcW w:type="dxa" w:w="2250"/>
          </w:tcPr>
          <w:p>
            <w:pPr>
              <w:spacing w:line="240" w:lineRule="auto"/>
            </w:pPr>
            <w:r>
              <w:rPr>
                <w:rFonts w:ascii="Times New Roman" w:hAnsi="Times New Roman"/>
                <w:sz w:val="22"/>
              </w:rPr>
              <w:t>Same parquet rows</w:t>
            </w:r>
          </w:p>
        </w:tc>
        <w:tc>
          <w:tcPr>
            <w:tcW w:type="dxa" w:w="2250"/>
          </w:tcPr>
          <w:p>
            <w:pPr>
              <w:spacing w:line="240" w:lineRule="auto"/>
            </w:pPr>
            <w:r>
              <w:rPr>
                <w:rFonts w:ascii="Times New Roman" w:hAnsi="Times New Roman"/>
                <w:sz w:val="22"/>
              </w:rPr>
              <w:t>Documented row cap; all models see same files</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Build kNN windows and sequences per split</w:t>
            </w:r>
          </w:p>
        </w:tc>
        <w:tc>
          <w:tcPr>
            <w:tcW w:type="dxa" w:w="2250"/>
          </w:tcPr>
          <w:p>
            <w:pPr>
              <w:spacing w:line="240" w:lineRule="auto"/>
            </w:pPr>
            <w:r>
              <w:rPr>
                <w:rFonts w:ascii="Times New Roman" w:hAnsi="Times New Roman"/>
                <w:sz w:val="22"/>
              </w:rPr>
              <w:t>src/data/graph_builder.py, src/data/dataset.py; data/processed/*_graphs.pt</w:t>
            </w:r>
          </w:p>
        </w:tc>
        <w:tc>
          <w:tcPr>
            <w:tcW w:type="dxa" w:w="2250"/>
          </w:tcPr>
          <w:p>
            <w:pPr>
              <w:spacing w:line="240" w:lineRule="auto"/>
            </w:pPr>
            <w:r>
              <w:rPr>
                <w:rFonts w:ascii="Times New Roman" w:hAnsi="Times New Roman"/>
                <w:sz w:val="22"/>
              </w:rPr>
              <w:t>Graphs built inside each split; no cross-split windows</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Train / tune baselines and GNN on train; monitor val</w:t>
            </w:r>
          </w:p>
        </w:tc>
        <w:tc>
          <w:tcPr>
            <w:tcW w:type="dxa" w:w="2250"/>
          </w:tcPr>
          <w:p>
            <w:pPr>
              <w:spacing w:line="240" w:lineRule="auto"/>
            </w:pPr>
            <w:r>
              <w:rPr>
                <w:rFonts w:ascii="Times New Roman" w:hAnsi="Times New Roman"/>
                <w:sz w:val="22"/>
              </w:rPr>
              <w:t>results/checkpoints/, results/metrics/*.json</w:t>
            </w:r>
          </w:p>
        </w:tc>
        <w:tc>
          <w:tcPr>
            <w:tcW w:type="dxa" w:w="2250"/>
          </w:tcPr>
          <w:p>
            <w:pPr>
              <w:spacing w:line="240" w:lineRule="auto"/>
            </w:pPr>
            <w:r>
              <w:rPr>
                <w:rFonts w:ascii="Times New Roman" w:hAnsi="Times New Roman"/>
                <w:sz w:val="22"/>
              </w:rPr>
              <w:t>Test not used in loss or model selection</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Federated GNN: partition training rows across clients; FedAvg</w:t>
            </w:r>
          </w:p>
        </w:tc>
        <w:tc>
          <w:tcPr>
            <w:tcW w:type="dxa" w:w="2250"/>
          </w:tcPr>
          <w:p>
            <w:pPr>
              <w:spacing w:line="240" w:lineRule="auto"/>
            </w:pPr>
            <w:r>
              <w:rPr>
                <w:rFonts w:ascii="Times New Roman" w:hAnsi="Times New Roman"/>
                <w:sz w:val="22"/>
              </w:rPr>
              <w:t>src/federated/; round metrics JSON/CSV</w:t>
            </w:r>
          </w:p>
        </w:tc>
        <w:tc>
          <w:tcPr>
            <w:tcW w:type="dxa" w:w="2250"/>
          </w:tcPr>
          <w:p>
            <w:pPr>
              <w:spacing w:line="240" w:lineRule="auto"/>
            </w:pPr>
            <w:r>
              <w:rPr>
                <w:rFonts w:ascii="Times New Roman" w:hAnsi="Times New Roman"/>
                <w:sz w:val="22"/>
              </w:rPr>
              <w:t>Raw flows stay local; only weights exchanged</w:t>
            </w:r>
          </w:p>
        </w:tc>
      </w:tr>
      <w:tr>
        <w:tc>
          <w:tcPr>
            <w:tcW w:type="dxa" w:w="2250"/>
          </w:tcPr>
          <w:p>
            <w:pPr>
              <w:spacing w:line="240" w:lineRule="auto"/>
            </w:pPr>
            <w:r>
              <w:rPr>
                <w:rFonts w:ascii="Times New Roman" w:hAnsi="Times New Roman"/>
                <w:sz w:val="22"/>
              </w:rPr>
              <w:t>7</w:t>
            </w:r>
          </w:p>
        </w:tc>
        <w:tc>
          <w:tcPr>
            <w:tcW w:type="dxa" w:w="2250"/>
          </w:tcPr>
          <w:p>
            <w:pPr>
              <w:spacing w:line="240" w:lineRule="auto"/>
            </w:pPr>
            <w:r>
              <w:rPr>
                <w:rFonts w:ascii="Times New Roman" w:hAnsi="Times New Roman"/>
                <w:sz w:val="22"/>
              </w:rPr>
              <w:t>Final test metrics + CPU latency + comms + alerts</w:t>
            </w:r>
          </w:p>
        </w:tc>
        <w:tc>
          <w:tcPr>
            <w:tcW w:type="dxa" w:w="2250"/>
          </w:tcPr>
          <w:p>
            <w:pPr>
              <w:spacing w:line="240" w:lineRule="auto"/>
            </w:pPr>
            <w:r>
              <w:rPr>
                <w:rFonts w:ascii="Times New Roman" w:hAnsi="Times New Roman"/>
                <w:sz w:val="22"/>
              </w:rPr>
              <w:t>results/metrics/results_table.csv, src/siem/api.py</w:t>
            </w:r>
          </w:p>
        </w:tc>
        <w:tc>
          <w:tcPr>
            <w:tcW w:type="dxa" w:w="2250"/>
          </w:tcPr>
          <w:p>
            <w:pPr>
              <w:spacing w:line="240" w:lineRule="auto"/>
            </w:pPr>
            <w:r>
              <w:rPr>
                <w:rFonts w:ascii="Times New Roman" w:hAnsi="Times New Roman"/>
                <w:sz w:val="22"/>
              </w:rPr>
              <w:t>Single test evaluation policy (Chapter 7)</w:t>
            </w:r>
          </w:p>
        </w:tc>
      </w:tr>
    </w:tbl>
    <w:p>
      <w:r>
        <w:t>Italic paths denote examine-facing artefacts. If another researcher omits a stage (e.g. skips graph building and trains only on flows), the experiment is not the one reported here.</w:t>
      </w:r>
    </w:p>
    <w:p>
      <w:pPr>
        <w:pStyle w:val="Heading3"/>
      </w:pPr>
      <w:r>
        <w:t>4.3.2 Repository layout and frozen outputs</w:t>
      </w:r>
    </w:p>
    <w:p>
      <w:r>
        <w:t>Raw CICIoT2023 files are not committed. After Stage 2, train / validation / test parquet and the saved scaler live under data/processed/. Graph tensor caches and metrics/figures live under data/processed/ and results/ as listed in the repository README and Chapter 13. The dissertation’s numbers assume one frozen pass of the same config hash implied by the committed config/experiment.yaml.</w:t>
      </w:r>
    </w:p>
    <w:p>
      <w:pPr>
        <w:pStyle w:val="Heading3"/>
      </w:pPr>
      <w:r>
        <w:t>4.3.3 Empirical flow and graph sample sizes</w:t>
      </w:r>
    </w:p>
    <w:p>
      <w:r>
        <w:t>Table 4 records empirical sizes (from results/metrics/dataset_stats.json) for the run underlying Chapter 8. Flow row counts are per-split totals; graph counts follow the configured window = 50 flows, sequence length = 5, and knn_k = 5 (Table 3).</w:t>
      </w:r>
    </w:p>
    <w:p>
      <w:r>
        <w:t>Table 4: Empirical sample sizes: flows, graph windows, and sequences.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Split</w:t>
            </w:r>
          </w:p>
        </w:tc>
        <w:tc>
          <w:tcPr>
            <w:tcW w:type="dxa" w:w="1500"/>
          </w:tcPr>
          <w:p>
            <w:pPr>
              <w:spacing w:line="240" w:lineRule="auto"/>
            </w:pPr>
            <w:r>
              <w:rPr>
                <w:rFonts w:ascii="Times New Roman" w:hAnsi="Times New Roman"/>
                <w:sz w:val="22"/>
              </w:rPr>
              <w:t>Flow rows (total)</w:t>
            </w:r>
          </w:p>
        </w:tc>
        <w:tc>
          <w:tcPr>
            <w:tcW w:type="dxa" w:w="1500"/>
          </w:tcPr>
          <w:p>
            <w:pPr>
              <w:spacing w:line="240" w:lineRule="auto"/>
            </w:pPr>
            <w:r>
              <w:rPr>
                <w:rFonts w:ascii="Times New Roman" w:hAnsi="Times New Roman"/>
                <w:sz w:val="22"/>
              </w:rPr>
              <w:t>Benign flows</w:t>
            </w:r>
          </w:p>
        </w:tc>
        <w:tc>
          <w:tcPr>
            <w:tcW w:type="dxa" w:w="1500"/>
          </w:tcPr>
          <w:p>
            <w:pPr>
              <w:spacing w:line="240" w:lineRule="auto"/>
            </w:pPr>
            <w:r>
              <w:rPr>
                <w:rFonts w:ascii="Times New Roman" w:hAnsi="Times New Roman"/>
                <w:sz w:val="22"/>
              </w:rPr>
              <w:t>Attack flows</w:t>
            </w:r>
          </w:p>
        </w:tc>
        <w:tc>
          <w:tcPr>
            <w:tcW w:type="dxa" w:w="1500"/>
          </w:tcPr>
          <w:p>
            <w:pPr>
              <w:spacing w:line="240" w:lineRule="auto"/>
            </w:pPr>
            <w:r>
              <w:rPr>
                <w:rFonts w:ascii="Times New Roman" w:hAnsi="Times New Roman"/>
                <w:sz w:val="22"/>
              </w:rPr>
              <w:t>Graph windows (single-split build)</w:t>
            </w:r>
          </w:p>
        </w:tc>
        <w:tc>
          <w:tcPr>
            <w:tcW w:type="dxa" w:w="1500"/>
          </w:tcPr>
          <w:p>
            <w:pPr>
              <w:spacing w:line="240" w:lineRule="auto"/>
            </w:pPr>
            <w:r>
              <w:rPr>
                <w:rFonts w:ascii="Times New Roman" w:hAnsi="Times New Roman"/>
                <w:sz w:val="22"/>
              </w:rPr>
              <w:t>Sequences (length-5)</w:t>
            </w:r>
          </w:p>
        </w:tc>
      </w:tr>
      <w:tr>
        <w:tc>
          <w:tcPr>
            <w:tcW w:type="dxa" w:w="1500"/>
          </w:tcPr>
          <w:p>
            <w:pPr>
              <w:spacing w:line="240" w:lineRule="auto"/>
            </w:pPr>
            <w:r>
              <w:rPr>
                <w:rFonts w:ascii="Times New Roman" w:hAnsi="Times New Roman"/>
                <w:sz w:val="22"/>
              </w:rPr>
              <w:t>Train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11,582</w:t>
            </w:r>
          </w:p>
        </w:tc>
        <w:tc>
          <w:tcPr>
            <w:tcW w:type="dxa" w:w="1500"/>
          </w:tcPr>
          <w:p>
            <w:pPr>
              <w:spacing w:line="240" w:lineRule="auto"/>
            </w:pPr>
            <w:r>
              <w:rPr>
                <w:rFonts w:ascii="Times New Roman" w:hAnsi="Times New Roman"/>
                <w:sz w:val="22"/>
              </w:rPr>
              <w:t>488,418</w:t>
            </w:r>
          </w:p>
        </w:tc>
        <w:tc>
          <w:tcPr>
            <w:tcW w:type="dxa" w:w="1500"/>
          </w:tcPr>
          <w:p>
            <w:pPr>
              <w:spacing w:line="240" w:lineRule="auto"/>
            </w:pPr>
            <w:r>
              <w:rPr>
                <w:rFonts w:ascii="Times New Roman" w:hAnsi="Times New Roman"/>
                <w:sz w:val="22"/>
              </w:rPr>
              <w:t>924</w:t>
            </w:r>
          </w:p>
        </w:tc>
        <w:tc>
          <w:tcPr>
            <w:tcW w:type="dxa" w:w="1500"/>
          </w:tcPr>
          <w:p>
            <w:pPr>
              <w:spacing w:line="240" w:lineRule="auto"/>
            </w:pPr>
            <w:r>
              <w:rPr>
                <w:rFonts w:ascii="Times New Roman" w:hAnsi="Times New Roman"/>
                <w:sz w:val="22"/>
              </w:rPr>
              <w:t>920</w:t>
            </w:r>
          </w:p>
        </w:tc>
      </w:tr>
      <w:tr>
        <w:tc>
          <w:tcPr>
            <w:tcW w:type="dxa" w:w="1500"/>
          </w:tcPr>
          <w:p>
            <w:pPr>
              <w:spacing w:line="240" w:lineRule="auto"/>
            </w:pPr>
            <w:r>
              <w:rPr>
                <w:rFonts w:ascii="Times New Roman" w:hAnsi="Times New Roman"/>
                <w:sz w:val="22"/>
              </w:rPr>
              <w:t>Validation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11,676</w:t>
            </w:r>
          </w:p>
        </w:tc>
        <w:tc>
          <w:tcPr>
            <w:tcW w:type="dxa" w:w="1500"/>
          </w:tcPr>
          <w:p>
            <w:pPr>
              <w:spacing w:line="240" w:lineRule="auto"/>
            </w:pPr>
            <w:r>
              <w:rPr>
                <w:rFonts w:ascii="Times New Roman" w:hAnsi="Times New Roman"/>
                <w:sz w:val="22"/>
              </w:rPr>
              <w:t>488,324</w:t>
            </w:r>
          </w:p>
        </w:tc>
        <w:tc>
          <w:tcPr>
            <w:tcW w:type="dxa" w:w="1500"/>
          </w:tcPr>
          <w:p>
            <w:pPr>
              <w:spacing w:line="240" w:lineRule="auto"/>
            </w:pPr>
            <w:r>
              <w:rPr>
                <w:rFonts w:ascii="Times New Roman" w:hAnsi="Times New Roman"/>
                <w:sz w:val="22"/>
              </w:rPr>
              <w:t>932</w:t>
            </w:r>
          </w:p>
        </w:tc>
        <w:tc>
          <w:tcPr>
            <w:tcW w:type="dxa" w:w="1500"/>
          </w:tcPr>
          <w:p>
            <w:pPr>
              <w:spacing w:line="240" w:lineRule="auto"/>
            </w:pPr>
            <w:r>
              <w:rPr>
                <w:rFonts w:ascii="Times New Roman" w:hAnsi="Times New Roman"/>
                <w:sz w:val="22"/>
              </w:rPr>
              <w:t>928</w:t>
            </w:r>
          </w:p>
        </w:tc>
      </w:tr>
      <w:tr>
        <w:tc>
          <w:tcPr>
            <w:tcW w:type="dxa" w:w="1500"/>
          </w:tcPr>
          <w:p>
            <w:pPr>
              <w:spacing w:line="240" w:lineRule="auto"/>
            </w:pPr>
            <w:r>
              <w:rPr>
                <w:rFonts w:ascii="Times New Roman" w:hAnsi="Times New Roman"/>
                <w:sz w:val="22"/>
              </w:rPr>
              <w:t>Test</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11,772</w:t>
            </w:r>
          </w:p>
        </w:tc>
        <w:tc>
          <w:tcPr>
            <w:tcW w:type="dxa" w:w="1500"/>
          </w:tcPr>
          <w:p>
            <w:pPr>
              <w:spacing w:line="240" w:lineRule="auto"/>
            </w:pPr>
            <w:r>
              <w:rPr>
                <w:rFonts w:ascii="Times New Roman" w:hAnsi="Times New Roman"/>
                <w:sz w:val="22"/>
              </w:rPr>
              <w:t>488,228</w:t>
            </w:r>
          </w:p>
        </w:tc>
        <w:tc>
          <w:tcPr>
            <w:tcW w:type="dxa" w:w="1500"/>
          </w:tcPr>
          <w:p>
            <w:pPr>
              <w:spacing w:line="240" w:lineRule="auto"/>
            </w:pPr>
            <w:r>
              <w:rPr>
                <w:rFonts w:ascii="Times New Roman" w:hAnsi="Times New Roman"/>
                <w:sz w:val="22"/>
              </w:rPr>
              <w:t>938</w:t>
            </w:r>
          </w:p>
        </w:tc>
        <w:tc>
          <w:tcPr>
            <w:tcW w:type="dxa" w:w="1500"/>
          </w:tcPr>
          <w:p>
            <w:pPr>
              <w:spacing w:line="240" w:lineRule="auto"/>
            </w:pPr>
            <w:r>
              <w:rPr>
                <w:rFonts w:ascii="Times New Roman" w:hAnsi="Times New Roman"/>
                <w:sz w:val="22"/>
              </w:rPr>
              <w:t>934</w:t>
            </w:r>
          </w:p>
        </w:tc>
      </w:tr>
    </w:tbl>
    <w:p>
      <w:r>
        <w:t>Notes. Windows are constructed with per-class pools and shuffling (see Section 5.3); the sequence count is slightly below the window count because the tail of the shuffled list may not form a full length-5 sequence. All models that report “sequence-level” GNN metrics consume these sequences; RF/MLP report per-flow metrics on 500,000 test flows each.</w:t>
      </w:r>
    </w:p>
    <w:p>
      <w:pPr>
        <w:pStyle w:val="Heading2"/>
      </w:pPr>
      <w:r>
        <w:t>4.4 Models and Loss Functions</w:t>
      </w:r>
    </w:p>
    <w:p>
      <w:r>
        <w:t>Three model families share the same label definition and splits but differ in input geometry: two are feature-vector classifiers; one is a graph-sequence classifier.</w:t>
      </w:r>
    </w:p>
    <w:p>
      <w:pPr>
        <w:pStyle w:val="ListBullet"/>
      </w:pPr>
      <w:r>
        <w:t>Random Forest  -  tabular: one standardised 46-vector per flow, sklearn.ensemble.RandomForestClassifier in src/models/baselines.py; out-of-bag / train metrics are not used for test claims; test reporting is the contract in Section 7.7.</w:t>
      </w:r>
    </w:p>
    <w:p>
      <w:pPr>
        <w:pStyle w:val="ListBullet"/>
      </w:pPr>
      <w:r>
        <w:t>MLP  -  tabular: feed-forward on 46-d inputs, MLPBaseline, trained with Adam and mini-batch cross-entropy (see Table 3).</w:t>
      </w:r>
    </w:p>
    <w:p>
      <w:pPr>
        <w:pStyle w:val="ListBullet"/>
      </w:pPr>
      <w:r>
        <w:t>Dynamic GNN (GAT  +  GRU)  -  graph–sequence: for each of five windows, a GAT stack produces a graph embedding; a GRU consumes the ordered list of five embeddings; a linear head outputs logits for the binary case (DynamicGNN in src/models/dynamic_gnn.py). An ablation mean-pools time instead of a GRU (Table 10).</w:t>
      </w:r>
    </w:p>
    <w:p>
      <w:pPr>
        <w:pStyle w:val="Heading3"/>
      </w:pPr>
      <w:r>
        <w:t>4.4.1 Hyperparameters, tuning funnel, and training budget (after split)</w:t>
      </w:r>
    </w:p>
    <w:p>
      <w:r>
        <w:t>After the public splits and parquet files exist, all model-specific knobs are taken from a single YAML (Table 3). Early stopping (patience in Table 3) is driven by validation performance; test is never used to pick hyperparameters. Fine-tuning in this project means that validation-monitored training loop with fixed architecture widths - there is no manual test-set search.</w:t>
      </w:r>
    </w:p>
    <w:p>
      <w:r>
        <w:t>Table 3: Hyperparameters, training budget, and federation (frozen in config/experiment.yaml).</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Group</w:t>
            </w:r>
          </w:p>
        </w:tc>
        <w:tc>
          <w:tcPr>
            <w:tcW w:type="dxa" w:w="3000"/>
          </w:tcPr>
          <w:p>
            <w:pPr>
              <w:spacing w:line="240" w:lineRule="auto"/>
            </w:pPr>
            <w:r>
              <w:rPr>
                <w:rFonts w:ascii="Times New Roman" w:hAnsi="Times New Roman"/>
                <w:sz w:val="22"/>
              </w:rPr>
              <w:t>Parameters</w:t>
            </w:r>
          </w:p>
        </w:tc>
        <w:tc>
          <w:tcPr>
            <w:tcW w:type="dxa" w:w="3000"/>
          </w:tcPr>
          <w:p>
            <w:pPr>
              <w:spacing w:line="240" w:lineRule="auto"/>
            </w:pPr>
            <w:r>
              <w:rPr>
                <w:rFonts w:ascii="Times New Roman" w:hAnsi="Times New Roman"/>
                <w:sz w:val="22"/>
              </w:rPr>
              <w:t>Value</w:t>
            </w:r>
          </w:p>
        </w:tc>
      </w:tr>
      <w:tr>
        <w:tc>
          <w:tcPr>
            <w:tcW w:type="dxa" w:w="3000"/>
          </w:tcPr>
          <w:p>
            <w:pPr>
              <w:spacing w:line="240" w:lineRule="auto"/>
            </w:pPr>
            <w:r>
              <w:rPr>
                <w:rFonts w:ascii="Times New Roman" w:hAnsi="Times New Roman"/>
                <w:sz w:val="22"/>
              </w:rPr>
              <w:t>Reproducibility</w:t>
            </w:r>
          </w:p>
        </w:tc>
        <w:tc>
          <w:tcPr>
            <w:tcW w:type="dxa" w:w="3000"/>
          </w:tcPr>
          <w:p>
            <w:pPr>
              <w:spacing w:line="240" w:lineRule="auto"/>
            </w:pPr>
            <w:r>
              <w:rPr>
                <w:rFonts w:ascii="Times New Roman" w:hAnsi="Times New Roman"/>
                <w:sz w:val="22"/>
              </w:rPr>
              <w:t>Global seed</w:t>
            </w:r>
          </w:p>
        </w:tc>
        <w:tc>
          <w:tcPr>
            <w:tcW w:type="dxa" w:w="3000"/>
          </w:tcPr>
          <w:p>
            <w:pPr>
              <w:spacing w:line="240" w:lineRule="auto"/>
            </w:pPr>
            <w:r>
              <w:rPr>
                <w:rFonts w:ascii="Times New Roman" w:hAnsi="Times New Roman"/>
                <w:sz w:val="22"/>
              </w:rPr>
              <w:t>42 (multi-seed study: 42, 123, 456 in Section 8.9)</w:t>
            </w:r>
          </w:p>
        </w:tc>
      </w:tr>
      <w:tr>
        <w:tc>
          <w:tcPr>
            <w:tcW w:type="dxa" w:w="3000"/>
          </w:tcPr>
          <w:p>
            <w:pPr>
              <w:spacing w:line="240" w:lineRule="auto"/>
            </w:pPr>
            <w:r>
              <w:rPr>
                <w:rFonts w:ascii="Times New Roman" w:hAnsi="Times New Roman"/>
                <w:sz w:val="22"/>
              </w:rPr>
              <w:t>Graph build</w:t>
            </w:r>
          </w:p>
        </w:tc>
        <w:tc>
          <w:tcPr>
            <w:tcW w:type="dxa" w:w="3000"/>
          </w:tcPr>
          <w:p>
            <w:pPr>
              <w:spacing w:line="240" w:lineRule="auto"/>
            </w:pPr>
            <w:r>
              <w:rPr>
                <w:rFonts w:ascii="Times New Roman" w:hAnsi="Times New Roman"/>
                <w:sz w:val="22"/>
              </w:rPr>
              <w:t>window_size, knn_k, sequence_length, minority_stride</w:t>
            </w:r>
          </w:p>
        </w:tc>
        <w:tc>
          <w:tcPr>
            <w:tcW w:type="dxa" w:w="3000"/>
          </w:tcPr>
          <w:p>
            <w:pPr>
              <w:spacing w:line="240" w:lineRule="auto"/>
            </w:pPr>
            <w:r>
              <w:rPr>
                <w:rFonts w:ascii="Times New Roman" w:hAnsi="Times New Roman"/>
                <w:sz w:val="22"/>
              </w:rPr>
              <w:t>50, 5, 5, 25</w:t>
            </w:r>
          </w:p>
        </w:tc>
      </w:tr>
      <w:tr>
        <w:tc>
          <w:tcPr>
            <w:tcW w:type="dxa" w:w="3000"/>
          </w:tcPr>
          <w:p>
            <w:pPr>
              <w:spacing w:line="240" w:lineRule="auto"/>
            </w:pPr>
            <w:r>
              <w:rPr>
                <w:rFonts w:ascii="Times New Roman" w:hAnsi="Times New Roman"/>
                <w:sz w:val="22"/>
              </w:rPr>
              <w:t>FL</w:t>
            </w:r>
          </w:p>
        </w:tc>
        <w:tc>
          <w:tcPr>
            <w:tcW w:type="dxa" w:w="3000"/>
          </w:tcPr>
          <w:p>
            <w:pPr>
              <w:spacing w:line="240" w:lineRule="auto"/>
            </w:pPr>
            <w:r>
              <w:rPr>
                <w:rFonts w:ascii="Times New Roman" w:hAnsi="Times New Roman"/>
                <w:sz w:val="22"/>
              </w:rPr>
              <w:t>num_clients, num_rounds, local_epochs, alpha (Dirichlet)</w:t>
            </w:r>
          </w:p>
        </w:tc>
        <w:tc>
          <w:tcPr>
            <w:tcW w:type="dxa" w:w="3000"/>
          </w:tcPr>
          <w:p>
            <w:pPr>
              <w:spacing w:line="240" w:lineRule="auto"/>
            </w:pPr>
            <w:r>
              <w:rPr>
                <w:rFonts w:ascii="Times New Roman" w:hAnsi="Times New Roman"/>
                <w:sz w:val="22"/>
              </w:rPr>
              <w:t>3, 10, 2, 0.5</w:t>
            </w:r>
          </w:p>
        </w:tc>
      </w:tr>
      <w:tr>
        <w:tc>
          <w:tcPr>
            <w:tcW w:type="dxa" w:w="3000"/>
          </w:tcPr>
          <w:p>
            <w:pPr>
              <w:spacing w:line="240" w:lineRule="auto"/>
            </w:pPr>
            <w:r>
              <w:rPr>
                <w:rFonts w:ascii="Times New Roman" w:hAnsi="Times New Roman"/>
                <w:sz w:val="22"/>
              </w:rPr>
              <w:t>RF</w:t>
            </w:r>
          </w:p>
        </w:tc>
        <w:tc>
          <w:tcPr>
            <w:tcW w:type="dxa" w:w="3000"/>
          </w:tcPr>
          <w:p>
            <w:pPr>
              <w:spacing w:line="240" w:lineRule="auto"/>
            </w:pPr>
            <w:r>
              <w:rPr>
                <w:rFonts w:ascii="Times New Roman" w:hAnsi="Times New Roman"/>
                <w:sz w:val="22"/>
              </w:rPr>
              <w:t>n_estimators, max_depth</w:t>
            </w:r>
          </w:p>
        </w:tc>
        <w:tc>
          <w:tcPr>
            <w:tcW w:type="dxa" w:w="3000"/>
          </w:tcPr>
          <w:p>
            <w:pPr>
              <w:spacing w:line="240" w:lineRule="auto"/>
            </w:pPr>
            <w:r>
              <w:rPr>
                <w:rFonts w:ascii="Times New Roman" w:hAnsi="Times New Roman"/>
                <w:sz w:val="22"/>
              </w:rPr>
              <w:t>200, 20</w:t>
            </w:r>
          </w:p>
        </w:tc>
      </w:tr>
      <w:tr>
        <w:tc>
          <w:tcPr>
            <w:tcW w:type="dxa" w:w="3000"/>
          </w:tcPr>
          <w:p>
            <w:pPr>
              <w:spacing w:line="240" w:lineRule="auto"/>
            </w:pPr>
            <w:r>
              <w:rPr>
                <w:rFonts w:ascii="Times New Roman" w:hAnsi="Times New Roman"/>
                <w:sz w:val="22"/>
              </w:rPr>
              <w:t>MLP</w:t>
            </w:r>
          </w:p>
        </w:tc>
        <w:tc>
          <w:tcPr>
            <w:tcW w:type="dxa" w:w="3000"/>
          </w:tcPr>
          <w:p>
            <w:pPr>
              <w:spacing w:line="240" w:lineRule="auto"/>
            </w:pPr>
            <w:r>
              <w:rPr>
                <w:rFonts w:ascii="Times New Roman" w:hAnsi="Times New Roman"/>
                <w:sz w:val="22"/>
              </w:rPr>
              <w:t>hidden_dims, dropout, lr, epochs, batch_size</w:t>
            </w:r>
          </w:p>
        </w:tc>
        <w:tc>
          <w:tcPr>
            <w:tcW w:type="dxa" w:w="3000"/>
          </w:tcPr>
          <w:p>
            <w:pPr>
              <w:spacing w:line="240" w:lineRule="auto"/>
            </w:pPr>
            <w:r>
              <w:rPr>
                <w:rFonts w:ascii="Times New Roman" w:hAnsi="Times New Roman"/>
                <w:sz w:val="22"/>
              </w:rPr>
              <w:t>[128, 64, 32], 0.2, 0.001, 30, 256</w:t>
            </w:r>
          </w:p>
        </w:tc>
      </w:tr>
      <w:tr>
        <w:tc>
          <w:tcPr>
            <w:tcW w:type="dxa" w:w="3000"/>
          </w:tcPr>
          <w:p>
            <w:pPr>
              <w:spacing w:line="240" w:lineRule="auto"/>
            </w:pPr>
            <w:r>
              <w:rPr>
                <w:rFonts w:ascii="Times New Roman" w:hAnsi="Times New Roman"/>
                <w:sz w:val="22"/>
              </w:rPr>
              <w:t>Dynamic GNN</w:t>
            </w:r>
          </w:p>
        </w:tc>
        <w:tc>
          <w:tcPr>
            <w:tcW w:type="dxa" w:w="3000"/>
          </w:tcPr>
          <w:p>
            <w:pPr>
              <w:spacing w:line="240" w:lineRule="auto"/>
            </w:pPr>
            <w:r>
              <w:rPr>
                <w:rFonts w:ascii="Times New Roman" w:hAnsi="Times New Roman"/>
                <w:sz w:val="22"/>
              </w:rPr>
              <w:t>node_dim, hidden_dim, num_gat_layers, gat_heads, gru_hidden, dropout, lr, epochs, batch_size</w:t>
            </w:r>
          </w:p>
        </w:tc>
        <w:tc>
          <w:tcPr>
            <w:tcW w:type="dxa" w:w="3000"/>
          </w:tcPr>
          <w:p>
            <w:pPr>
              <w:spacing w:line="240" w:lineRule="auto"/>
            </w:pPr>
            <w:r>
              <w:rPr>
                <w:rFonts w:ascii="Times New Roman" w:hAnsi="Times New Roman"/>
                <w:sz w:val="22"/>
              </w:rPr>
              <w:t>46, 64, 2, 4, 64, 0.2, 0.001, 30, 16</w:t>
            </w:r>
          </w:p>
        </w:tc>
      </w:tr>
      <w:tr>
        <w:tc>
          <w:tcPr>
            <w:tcW w:type="dxa" w:w="3000"/>
          </w:tcPr>
          <w:p>
            <w:pPr>
              <w:spacing w:line="240" w:lineRule="auto"/>
            </w:pPr>
            <w:r>
              <w:rPr>
                <w:rFonts w:ascii="Times New Roman" w:hAnsi="Times New Roman"/>
                <w:sz w:val="22"/>
              </w:rPr>
              <w:t>Class imbalance</w:t>
            </w:r>
          </w:p>
        </w:tc>
        <w:tc>
          <w:tcPr>
            <w:tcW w:type="dxa" w:w="3000"/>
          </w:tcPr>
          <w:p>
            <w:pPr>
              <w:spacing w:line="240" w:lineRule="auto"/>
            </w:pPr>
            <w:r>
              <w:rPr>
                <w:rFonts w:ascii="Times New Roman" w:hAnsi="Times New Roman"/>
                <w:sz w:val="22"/>
              </w:rPr>
              <w:t>class_weight_auto (train)</w:t>
            </w:r>
          </w:p>
        </w:tc>
        <w:tc>
          <w:tcPr>
            <w:tcW w:type="dxa" w:w="3000"/>
          </w:tcPr>
          <w:p>
            <w:pPr>
              <w:spacing w:line="240" w:lineRule="auto"/>
            </w:pPr>
            <w:r>
              <w:rPr>
                <w:rFonts w:ascii="Times New Roman" w:hAnsi="Times New Roman"/>
                <w:sz w:val="22"/>
              </w:rPr>
              <w:t>true</w:t>
            </w:r>
          </w:p>
        </w:tc>
      </w:tr>
      <w:tr>
        <w:tc>
          <w:tcPr>
            <w:tcW w:type="dxa" w:w="3000"/>
          </w:tcPr>
          <w:p>
            <w:pPr>
              <w:spacing w:line="240" w:lineRule="auto"/>
            </w:pPr>
            <w:r>
              <w:rPr>
                <w:rFonts w:ascii="Times New Roman" w:hAnsi="Times New Roman"/>
                <w:sz w:val="22"/>
              </w:rPr>
              <w:t>Stopping</w:t>
            </w:r>
          </w:p>
        </w:tc>
        <w:tc>
          <w:tcPr>
            <w:tcW w:type="dxa" w:w="3000"/>
          </w:tcPr>
          <w:p>
            <w:pPr>
              <w:spacing w:line="240" w:lineRule="auto"/>
            </w:pPr>
            <w:r>
              <w:rPr>
                <w:rFonts w:ascii="Times New Roman" w:hAnsi="Times New Roman"/>
                <w:sz w:val="22"/>
              </w:rPr>
              <w:t>early_stopping_patience</w:t>
            </w:r>
          </w:p>
        </w:tc>
        <w:tc>
          <w:tcPr>
            <w:tcW w:type="dxa" w:w="3000"/>
          </w:tcPr>
          <w:p>
            <w:pPr>
              <w:spacing w:line="240" w:lineRule="auto"/>
            </w:pPr>
            <w:r>
              <w:rPr>
                <w:rFonts w:ascii="Times New Roman" w:hAnsi="Times New Roman"/>
                <w:sz w:val="22"/>
              </w:rPr>
              <w:t>5 (epochs)</w:t>
            </w:r>
          </w:p>
        </w:tc>
      </w:tr>
    </w:tbl>
    <w:p>
      <w:pPr>
        <w:pStyle w:val="Heading3"/>
      </w:pPr>
      <w:r>
        <w:t>4.4.2 Objectives, losses, and federation rule</w:t>
      </w:r>
    </w:p>
    <w:p>
      <w:r>
        <w:t>Flow-level classifiers (RF, MLP). For label $y_i \in \{0,1\}$ and model probability $p_i = P(y_i{=}1\mid x_i)$, binary cross-entropy is</w:t>
      </w:r>
    </w:p>
    <w:p>
      <w:r>
        <w:t>$$</w:t>
      </w:r>
    </w:p>
    <w:p>
      <w:r>
        <w:t>\mathcal{L}_{\text{CE}} = - \frac{1}{N} \sum_{i=1}^{N} \bigl( y_i \log p_i + (1-y_i)\log(1-p_i) \bigr) \, .</w:t>
      </w:r>
    </w:p>
    <w:p>
      <w:r>
        <w:t>$$</w:t>
      </w:r>
    </w:p>
    <w:p>
      <w:r>
        <w:t>class_weight in sklearn and the PyTorch loss (if weighted) reweight under-represented benign flows without changing the split itself.</w:t>
      </w:r>
    </w:p>
    <w:p>
      <w:r>
        <w:t>Graph-sequence GNN. Each training item is a sequence of $T\!=\!5$ window graphs with sequence label $y$ (any-window attack rule; Section 5.3). The same $\mathcal{L}_{\text{CE}}$ applies to the sequence logits. Federated training minimises the same local $\mathcal{L}_{\text{CE}}$ on each client; the server FedAvg-aggregates parameters (McMahan et al. 2017):</w:t>
      </w:r>
    </w:p>
    <w:p>
      <w:r>
        <w:t>$$</w:t>
      </w:r>
    </w:p>
    <w:p>
      <w:r>
        <w:t>\theta_{t+1} = \sum_{k=1}^{K} \frac{n_k}{n} \, \theta_{t+1}^{(k)} \, ,</w:t>
      </w:r>
    </w:p>
    <w:p>
      <w:r>
        <w:t>$$</w:t>
      </w:r>
    </w:p>
    <w:p>
      <w:r>
        <w:t>where $n_k$ is the client $k$ training row or batch count and $n\!=\!\sum_k n_k$.</w:t>
      </w:r>
    </w:p>
    <w:p>
      <w:r>
        <w:t>Algorithm 1 (informal). kNN window graph for one window: for each of $W$ flow rows, compute Euclidean distances in 46-d feature space, connect each node to top-$k$ neighbours both ways, return a PyG Data object (src/data/graph_builder.py:flows_to_knn_graph).</w:t>
      </w:r>
    </w:p>
    <w:p>
      <w:r>
        <w:t>Algorithm 2 (informal): FedAvg server step  -  after each round, average client weight tensors with weights $\frac{n_k}{n}$; broadcast dynamic_gnn state (src/federated/)  -  no raw $x_i$ uploaded.</w:t>
      </w:r>
    </w:p>
    <w:p>
      <w:r>
        <w:t>Italic references: training loops use src/models/trainer.py; metrics use src/evaluation/metrics.py. The test-set “accuracy” claims in the results chapter are the F1 / ROC-AUC family from Section 7.5, not a single unbalanced accuracy.</w:t>
      </w:r>
    </w:p>
    <w:p>
      <w:pPr>
        <w:pStyle w:val="Heading2"/>
      </w:pPr>
      <w:r>
        <w:t>4.5 Federated Learning Setup</w:t>
      </w:r>
    </w:p>
    <w:p>
      <w: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p>
    <w:p>
      <w:r>
        <w:t>Non-IID simulation: training rows are partitioned across clients with a Dirichlet distribution over class proportions (alpha = 0.5) so client label mixes differ (stronger than IID sharding; weaker than adversarial splits). Rationale: reflect sites with different exposure while staying trainable within the MSc budget.</w:t>
      </w:r>
    </w:p>
    <w:p>
      <w:pPr>
        <w:pStyle w:val="Heading2"/>
      </w:pPr>
      <w:r>
        <w:t>4.6 Explainability</w:t>
      </w:r>
    </w:p>
    <w:p>
      <w:r>
        <w:t>Two forms of explanation are used:</w:t>
      </w:r>
    </w:p>
    <w:p>
      <w:pPr>
        <w:pStyle w:val="ListBullet"/>
      </w:pPr>
      <w:r>
        <w:t>Integrated Gradients (Captum): Applied to the chosen model (e.g. the dynamic GNN or the MLP) to attribute the prediction to input features. The top contributing features are extracted and included in the alert.</w:t>
      </w:r>
    </w:p>
    <w:p>
      <w:pPr>
        <w:pStyle w:val="ListBullet"/>
      </w:pPr>
      <w:r>
        <w:t>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pPr>
        <w:pStyle w:val="Heading2"/>
      </w:pPr>
      <w:r>
        <w:t>4.7 Evaluation Plan</w:t>
      </w:r>
    </w:p>
    <w:p>
      <w:r>
        <w:t>Formulae and definitions for precision, recall, F1, FPR, and ROC-AUC are given once in Section 7.5. Here, the plan only maps measurements to questions.</w:t>
      </w:r>
    </w:p>
    <w:p>
      <w:r>
        <w:t>Evaluation is designed to answer the three sub-questions and support the main research question.</w:t>
      </w:r>
    </w:p>
    <w:p>
      <w:pPr>
        <w:pStyle w:val="ListBullet"/>
      </w:pPr>
      <w:r>
        <w:t>Metrics: Precision, recall, F1-score, ROC-AUC, and false positive rate on the fixed test set. A confusion matrix is reported.</w:t>
      </w:r>
    </w:p>
    <w:p>
      <w:pPr>
        <w:pStyle w:val="ListBullet"/>
      </w:pPr>
      <w:r>
        <w:t>Model comparison: Centralised training: Random Forest, MLP, and dynamic GNN are compared on the same splits. Federated training: the same GNN (or MLP) is trained with FedAvg and compared to its centralised version.</w:t>
      </w:r>
    </w:p>
    <w:p>
      <w:pPr>
        <w:pStyle w:val="ListBullet"/>
      </w:pPr>
      <w:r>
        <w:t>Time and cost: Time-window analysis (e.g. performance across different window sizes or positions), federated round-by-round performance, approximate communication cost (bytes), and CPU inference time per sample or per batch.</w:t>
      </w:r>
    </w:p>
    <w:p>
      <w:pPr>
        <w:pStyle w:val="ListBullet"/>
      </w:pPr>
      <w: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pPr>
        <w:pStyle w:val="Heading2"/>
      </w:pPr>
      <w:r>
        <w:t>4.8 Software and Tools</w:t>
      </w:r>
    </w:p>
    <w:p>
      <w:r>
        <w:t>The methodology relies on a small set of mainstream Python libraries chosen for stability, documentation, and CPU compatibility. The full version pin list is in the repository requirements.txt; this section names the components and the role each plays in answering the research questions. Module-level wiring and code excerpts are in Chapter 6.</w:t>
      </w:r>
    </w:p>
    <w:p>
      <w:pPr>
        <w:pStyle w:val="ListBullet"/>
      </w:pPr>
      <w:r>
        <w:t>Python 3.10 is the implementation language for all data, model, federated, explainability, and API code.</w:t>
      </w:r>
    </w:p>
    <w:p>
      <w:pPr>
        <w:pStyle w:val="ListBullet"/>
      </w:pPr>
      <w:r>
        <w:t>PyTorch and PyTorch Geometric are used to build the GAT layers and the dynamic GNN with sequence encoding (Sections 6.4 and 6.5).</w:t>
      </w:r>
    </w:p>
    <w:p>
      <w:pPr>
        <w:pStyle w:val="ListBullet"/>
      </w:pPr>
      <w:r>
        <w:t>scikit-learn provides the Random Forest baseline, the StandardScaler (used in preprocess.py for parity with sklearn conventions), and metric helpers (Sections 4.3 and 6.3–6.5). Splits are not created by train_test_split in this build - the public CIC train/validation/test files are the splits.</w:t>
      </w:r>
    </w:p>
    <w:p>
      <w:pPr>
        <w:pStyle w:val="ListBullet"/>
      </w:pPr>
      <w:r>
        <w:t>Flower is used for the federated learning server and client implementation with FedAvg (Section 6.6).</w:t>
      </w:r>
    </w:p>
    <w:p>
      <w:pPr>
        <w:pStyle w:val="ListBullet"/>
      </w:pPr>
      <w:r>
        <w:t>Captum is used for Integrated Gradients on the trained model (Section 6.7).</w:t>
      </w:r>
    </w:p>
    <w:p>
      <w:pPr>
        <w:pStyle w:val="ListBullet"/>
      </w:pPr>
      <w:r>
        <w:t>FastAPI is used to serve the prediction and explanation endpoint that produces ECS-like JSON alerts (Sections 6.8 and 6.9).</w:t>
      </w:r>
    </w:p>
    <w:p>
      <w:pPr>
        <w:pStyle w:val="ListBullet"/>
      </w:pPr>
      <w:r>
        <w:t>Matplotlib, Pandas, and NumPy are used for figure generation, table preparation, and numeric handling.</w:t>
      </w:r>
    </w:p>
    <w:p>
      <w:pPr>
        <w:pStyle w:val="ListBullet"/>
      </w:pPr>
      <w:r>
        <w:t>Pygments is used to render dark-theme code screenshots for the implementation chapter and for Appendix C.</w:t>
      </w:r>
    </w:p>
    <w:p>
      <w:pPr>
        <w:pStyle w:val="ListBullet"/>
      </w:pPr>
      <w:r>
        <w:t>Git and GitHub are used for version control of the project repository linked in Appendix D.</w:t>
      </w:r>
    </w:p>
    <w:p>
      <w:r>
        <w:t>Configuration is externalised in config/experiment.yaml so that hyperparameters (window size, kNN k, GAT heads, FL rounds and clients) can be changed without code edits. All experiments use seed 42 unless overridden by the multi-seed script. This combination of fixed seed, externalised config, and named scripts is what makes the methodology in this chapter reproducible from the codebase.</w:t>
      </w:r>
    </w:p>
    <w:p>
      <w:pPr>
        <w:pStyle w:val="Heading2"/>
      </w:pPr>
      <w:r>
        <w:t>4.9 Chapter Summary</w:t>
      </w:r>
    </w:p>
    <w:p>
      <w:r>
        <w:t>Chapter 4 has fixed the Research Method contract: secondary CICIoT2023 use, leakage-aware preprocessing (Tables 2–4), YAML-frozen hyperparameters and post-split tuning funnel (Table 3), loss and FedAvg equations (Section 4.4.2), and pointers to federation, XAI, evaluation, and tools. Chapter 5 gives the design-level pipeline and graph semantics; Chapter 6 gives deployment code and Table 5 testbed; Chapter 7 schedules multi-scenario runs (Table 6).</w:t>
      </w:r>
    </w:p>
    <w:p>
      <w:pPr>
        <w:pStyle w:val="Heading1"/>
        <w:jc w:val="center"/>
      </w:pPr>
      <w:r>
        <w:rPr>
          <w:b/>
          <w:i w:val="0"/>
          <w:sz w:val="32"/>
        </w:rPr>
        <w:t>Chapter 5 – Design</w:t>
      </w:r>
    </w:p>
    <w:p>
      <w:pPr>
        <w:pStyle w:val="Heading2"/>
      </w:pPr>
      <w:r>
        <w:t>5.1 Chapter Overview</w:t>
      </w:r>
    </w:p>
    <w:p>
      <w:r>
        <w:t>This chapter presents the system design in the same order as the narrative: the end-to-end research pipeline first (Figure 7), then authoritative graph semantics and windowing rules (Section 5.3), then architecture (Figure 8) and a conceptual kNN schematic (Figure 9) that match the implementation in Chapter 6. Deployment-facing outputs use ECS-like JSON alerts.</w:t>
      </w:r>
    </w:p>
    <w:p>
      <w:pPr>
        <w:pStyle w:val="Heading2"/>
      </w:pPr>
      <w:r>
        <w:t>5.2 Pipeline, Alerts, and Deployment (Conceptual)</w:t>
      </w:r>
    </w:p>
    <w:p>
      <w:r>
        <w:t>Figure 7 gives the stage-level view: preprocessing, graph construction, central or federated training, explainability, and SIEM-style alerting on CPU. Windowing, kNN k, and sequence labelling are specified in Section 5.3; module-level wiring is in Chapter 6.</w:t>
      </w:r>
    </w:p>
    <w:p>
      <w: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r>
        <w:t>The pipeline view also defines responsibility boundaries between stages. Preprocessing and graph building are deterministic data preparation stages, training is the learning stage (central or federated), and alert formatting is a post-inference stage that should not modify prediction values. This separation helps verification because faults can be traced by stage rather than by inspecting one large monolithic script.</w:t>
      </w:r>
    </w:p>
    <w:p>
      <w:r>
        <w:t>A second design value is communication clarity. By fixing the stage contract early, implementation and evaluation chapters can reference the same pipeline assumptions without redefining them. This reduces chapter drift and helps keep figure interpretation consistent.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03909"/>
                  <wp:docPr id="8" name="Picture 8"/>
                  <wp:cNvGraphicFramePr>
                    <a:graphicFrameLocks noChangeAspect="1"/>
                  </wp:cNvGraphicFramePr>
                  <a:graphic>
                    <a:graphicData uri="http://schemas.openxmlformats.org/drawingml/2006/picture">
                      <pic:pic>
                        <pic:nvPicPr>
                          <pic:cNvPr id="8" name="figure1_pipeline.png"/>
                          <pic:cNvPicPr/>
                        </pic:nvPicPr>
                        <pic:blipFill>
                          <a:blip r:embed="rId19"/>
                          <a:stretch>
                            <a:fillRect/>
                          </a:stretch>
                        </pic:blipFill>
                        <pic:spPr>
                          <a:xfrm>
                            <a:off x="0" y="0"/>
                            <a:ext cx="5029200" cy="3303909"/>
                          </a:xfrm>
                          <a:prstGeom prst="rect"/>
                        </pic:spPr>
                      </pic:pic>
                    </a:graphicData>
                  </a:graphic>
                </wp:inline>
              </w:drawing>
            </w:r>
          </w:p>
        </w:tc>
      </w:tr>
    </w:tbl>
    <w:p>
      <w:pPr>
        <w:pStyle w:val="Caption"/>
      </w:pPr>
      <w:r>
        <w:t>Figure 7: Research pipeline  -  from raw IoT flow data to explainable SIEM alerts (Chapter 5, Section 5.2)</w:t>
      </w:r>
    </w:p>
    <w:p>
      <w:r>
        <w:rPr>
          <w:i/>
        </w:rPr>
        <w:t>Source: Author’s own diagram (scripts/generate_figure1.py); reflects the implementation and data path described in Chapters 5–6.</w:t>
      </w:r>
    </w:p>
    <w:p>
      <w:pPr>
        <w:pStyle w:val="Heading2"/>
      </w:pPr>
      <w:r>
        <w:t>5.3 Graph Design (Flows to kNN Snapshots)</w:t>
      </w:r>
    </w:p>
    <w:p>
      <w:r>
        <w:t>Authoritative section: every other mention of window/k/sequence rules in this thesis points here or to src/data/graph_builder.py / dataset.py (Section 6.4).</w:t>
      </w:r>
    </w:p>
    <w:p>
      <w:r>
        <w:t>The graph is built from flow data to capture structural relationships between network flows within each observation window.</w:t>
      </w:r>
    </w:p>
    <w:p>
      <w:pPr>
        <w:pStyle w:val="ListBullet"/>
      </w:pPr>
      <w:r>
        <w:t>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pPr>
        <w:pStyle w:val="ListBullet"/>
      </w:pPr>
      <w:r>
        <w:t>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 = 5 was chosen as a balance (see sensitivity analysis in Chapter 8).</w:t>
      </w:r>
    </w:p>
    <w:p>
      <w:pPr>
        <w:pStyle w:val="ListBullet"/>
      </w:pPr>
      <w:r>
        <w:t>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5.4 Research Design and System Architecture</w:t>
      </w:r>
    </w:p>
    <w:p>
      <w:r>
        <w:t>Figure 8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30424"/>
                  <wp:docPr id="9" name="Picture 9"/>
                  <wp:cNvGraphicFramePr>
                    <a:graphicFrameLocks noChangeAspect="1"/>
                  </wp:cNvGraphicFramePr>
                  <a:graphic>
                    <a:graphicData uri="http://schemas.openxmlformats.org/drawingml/2006/picture">
                      <pic:pic>
                        <pic:nvPicPr>
                          <pic:cNvPr id="9" name="research_design_system.png"/>
                          <pic:cNvPicPr/>
                        </pic:nvPicPr>
                        <pic:blipFill>
                          <a:blip r:embed="rId20"/>
                          <a:stretch>
                            <a:fillRect/>
                          </a:stretch>
                        </pic:blipFill>
                        <pic:spPr>
                          <a:xfrm>
                            <a:off x="0" y="0"/>
                            <a:ext cx="5029200" cy="2730424"/>
                          </a:xfrm>
                          <a:prstGeom prst="rect"/>
                        </pic:spPr>
                      </pic:pic>
                    </a:graphicData>
                  </a:graphic>
                </wp:inline>
              </w:drawing>
            </w:r>
          </w:p>
        </w:tc>
      </w:tr>
    </w:tbl>
    <w:p>
      <w:pPr>
        <w:pStyle w:val="Caption"/>
      </w:pPr>
      <w:r>
        <w:t>Figure 8: Research design  -  data flow, federated training, and edge alerting (Chapter 5, Section 5.4)</w:t>
      </w:r>
    </w:p>
    <w:p>
      <w:r>
        <w:rPr>
          <w:i/>
        </w:rPr>
        <w:t>Source: Author’s own diagram; generated for this dissertation (scripts/draw_research_design.py).</w:t>
      </w:r>
    </w:p>
    <w:p>
      <w:pPr>
        <w:pStyle w:val="Heading2"/>
      </w:pPr>
      <w:r>
        <w:t>5.5 Conceptual Illustration: Similarity-Based Graph in One Window</w:t>
      </w:r>
    </w:p>
    <w:p>
      <w:r>
        <w:t>Public CICIoT2023 releases do not always include device-level topology, so attribute / similarity-based edges are a standard way to obtain a graph for a GNN (Ngo et al. 2025). Figure 9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094813"/>
                  <wp:docPr id="10" name="Picture 10"/>
                  <wp:cNvGraphicFramePr>
                    <a:graphicFrameLocks noChangeAspect="1"/>
                  </wp:cNvGraphicFramePr>
                  <a:graphic>
                    <a:graphicData uri="http://schemas.openxmlformats.org/drawingml/2006/picture">
                      <pic:pic>
                        <pic:nvPicPr>
                          <pic:cNvPr id="10" name="similarity_knn_concept.png"/>
                          <pic:cNvPicPr/>
                        </pic:nvPicPr>
                        <pic:blipFill>
                          <a:blip r:embed="rId21"/>
                          <a:stretch>
                            <a:fillRect/>
                          </a:stretch>
                        </pic:blipFill>
                        <pic:spPr>
                          <a:xfrm>
                            <a:off x="0" y="0"/>
                            <a:ext cx="5029200" cy="4094813"/>
                          </a:xfrm>
                          <a:prstGeom prst="rect"/>
                        </pic:spPr>
                      </pic:pic>
                    </a:graphicData>
                  </a:graphic>
                </wp:inline>
              </w:drawing>
            </w:r>
          </w:p>
        </w:tc>
      </w:tr>
    </w:tbl>
    <w:p>
      <w:pPr>
        <w:pStyle w:val="Caption"/>
      </w:pPr>
      <w:r>
        <w:t>Figure 9: Conceptual kNN similarity graph within one observation window (Chapter 5, Section 5.5)</w:t>
      </w:r>
    </w:p>
    <w:p>
      <w:r>
        <w:rPr>
          <w:i/>
        </w:rPr>
        <w:t>Source: Author’s own diagram (scripts/generate_similarity_knn_concept.py). Concept aligns with attribute-based graph construction for IoT intrusion detection (Ngo et al. 2025); image is not reproduced from third-party publications.</w:t>
      </w:r>
    </w:p>
    <w:p>
      <w:pPr>
        <w:pStyle w:val="Heading2"/>
      </w:pPr>
      <w:r>
        <w:t>5.6 Chapter Summary</w:t>
      </w:r>
    </w:p>
    <w:p>
      <w:r>
        <w:t>The design encodes relational (kNN), temporal (window sequences), and SOC-facing outputs in one architecture.</w:t>
      </w:r>
    </w:p>
    <w:p>
      <w:pPr>
        <w:pStyle w:val="Heading1"/>
        <w:jc w:val="center"/>
      </w:pPr>
      <w:r>
        <w:rPr>
          <w:b/>
          <w:i w:val="0"/>
          <w:sz w:val="32"/>
        </w:rPr>
        <w:t>Chapter 6 – Implementation and System Development</w:t>
      </w:r>
    </w:p>
    <w:p>
      <w:pPr>
        <w:pStyle w:val="Heading2"/>
      </w:pPr>
      <w:r>
        <w:t>6.1 Chapter Overview</w:t>
      </w:r>
    </w:p>
    <w:p>
      <w:r>
        <w:t>This chapter describes how the prototype was implemented: code structure, libraries, training and federated loops, Captum integration, alert formatting, and the FastAPI scoring endpoint. In this project, implementation detail matters a lot, because the claim is not only model accuracy, it is full pipeline feasibility under CPU limits. So I explain where each major function lives and how the modules connect.</w:t>
      </w:r>
    </w:p>
    <w:p>
      <w:r>
        <w:t>The implementation is organised under src/ by responsibility (data, models, federated learning, explainability, SIEM output, evaluation) and is driven by scripts that reproduce end-to-end runs from configuration (scripts/run_all.py and related scripts). Configuration is externalised in YAML so experiments can be re-run without code changes.</w:t>
      </w:r>
    </w:p>
    <w:p>
      <w:pPr>
        <w:pStyle w:val="Heading2"/>
      </w:pPr>
      <w:r>
        <w:t>6.2 Environment and Tools</w:t>
      </w:r>
    </w:p>
    <w:p>
      <w:r>
        <w:t>Table 5 records the testbed used for the reported CPU-only training, evaluation, and API latency. It is a virtual/laboratory setup (author workstation) rather than a production SOC; the point is to show reproducible hardware class and the absence of GPU shortcuts.</w:t>
      </w:r>
    </w:p>
    <w:p>
      <w:r>
        <w:t>Table 5: Testbed, storage, and runtime stack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Resource</w:t>
            </w:r>
          </w:p>
        </w:tc>
        <w:tc>
          <w:tcPr>
            <w:tcW w:type="dxa" w:w="4500"/>
          </w:tcPr>
          <w:p>
            <w:pPr>
              <w:spacing w:line="240" w:lineRule="auto"/>
            </w:pPr>
            <w:r>
              <w:rPr>
                <w:rFonts w:ascii="Times New Roman" w:hAnsi="Times New Roman"/>
                <w:sz w:val="22"/>
              </w:rPr>
              <w:t>Stated configuration for this project</w:t>
            </w:r>
          </w:p>
        </w:tc>
      </w:tr>
      <w:tr>
        <w:tc>
          <w:tcPr>
            <w:tcW w:type="dxa" w:w="4500"/>
          </w:tcPr>
          <w:p>
            <w:pPr>
              <w:spacing w:line="240" w:lineRule="auto"/>
            </w:pPr>
            <w:r>
              <w:rPr>
                <w:rFonts w:ascii="Times New Roman" w:hAnsi="Times New Roman"/>
                <w:sz w:val="22"/>
              </w:rPr>
              <w:t>Host OS</w:t>
            </w:r>
          </w:p>
        </w:tc>
        <w:tc>
          <w:tcPr>
            <w:tcW w:type="dxa" w:w="4500"/>
          </w:tcPr>
          <w:p>
            <w:pPr>
              <w:spacing w:line="240" w:lineRule="auto"/>
            </w:pPr>
            <w:r>
              <w:rPr>
                <w:rFonts w:ascii="Times New Roman" w:hAnsi="Times New Roman"/>
                <w:sz w:val="22"/>
              </w:rPr>
              <w:t>Windows 10, x64; single-user development machine</w:t>
            </w:r>
          </w:p>
        </w:tc>
      </w:tr>
      <w:tr>
        <w:tc>
          <w:tcPr>
            <w:tcW w:type="dxa" w:w="4500"/>
          </w:tcPr>
          <w:p>
            <w:pPr>
              <w:spacing w:line="240" w:lineRule="auto"/>
            </w:pPr>
            <w:r>
              <w:rPr>
                <w:rFonts w:ascii="Times New Roman" w:hAnsi="Times New Roman"/>
                <w:sz w:val="22"/>
              </w:rPr>
              <w:t>Runtime</w:t>
            </w:r>
          </w:p>
        </w:tc>
        <w:tc>
          <w:tcPr>
            <w:tcW w:type="dxa" w:w="4500"/>
          </w:tcPr>
          <w:p>
            <w:pPr>
              <w:spacing w:line="240" w:lineRule="auto"/>
            </w:pPr>
            <w:r>
              <w:rPr>
                <w:rFonts w:ascii="Times New Roman" w:hAnsi="Times New Roman"/>
                <w:sz w:val="22"/>
              </w:rPr>
              <w:t>Python 3.10; virtual environment with pinned dependencies (requirements.txt)</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x86-64 multi-core (CPU-only: no discrete GPU in any reported run)</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16 GB system RAM (sufficient to hold 500k-row parquets, graph batches, and training at batch sizes in Table 3)</w:t>
            </w:r>
          </w:p>
        </w:tc>
      </w:tr>
      <w:tr>
        <w:tc>
          <w:tcPr>
            <w:tcW w:type="dxa" w:w="4500"/>
          </w:tcPr>
          <w:p>
            <w:pPr>
              <w:spacing w:line="240" w:lineRule="auto"/>
            </w:pPr>
            <w:r>
              <w:rPr>
                <w:rFonts w:ascii="Times New Roman" w:hAnsi="Times New Roman"/>
                <w:sz w:val="22"/>
              </w:rPr>
              <w:t>Disk</w:t>
            </w:r>
          </w:p>
        </w:tc>
        <w:tc>
          <w:tcPr>
            <w:tcW w:type="dxa" w:w="4500"/>
          </w:tcPr>
          <w:p>
            <w:pPr>
              <w:spacing w:line="240" w:lineRule="auto"/>
            </w:pPr>
            <w:r>
              <w:rPr>
                <w:rFonts w:ascii="Times New Roman" w:hAnsi="Times New Roman"/>
                <w:sz w:val="22"/>
              </w:rPr>
              <w:t>SSD (NVMe-class) for repository, data/raw/, data/processed/, results/ (HDD is not required for the frozen subset)</w:t>
            </w:r>
          </w:p>
        </w:tc>
      </w:tr>
      <w:tr>
        <w:tc>
          <w:tcPr>
            <w:tcW w:type="dxa" w:w="4500"/>
          </w:tcPr>
          <w:p>
            <w:pPr>
              <w:spacing w:line="240" w:lineRule="auto"/>
            </w:pPr>
            <w:r>
              <w:rPr>
                <w:rFonts w:ascii="Times New Roman" w:hAnsi="Times New Roman"/>
                <w:sz w:val="22"/>
              </w:rPr>
              <w:t>Network / traffic</w:t>
            </w:r>
          </w:p>
        </w:tc>
        <w:tc>
          <w:tcPr>
            <w:tcW w:type="dxa" w:w="4500"/>
          </w:tcPr>
          <w:p>
            <w:pPr>
              <w:spacing w:line="240" w:lineRule="auto"/>
            </w:pPr>
            <w:r>
              <w:rPr>
                <w:rFonts w:ascii="Times New Roman" w:hAnsi="Times New Roman"/>
                <w:sz w:val="22"/>
              </w:rPr>
              <w:t>Pre-recorded CICIoT2023 files only; no live traffic generation in the testbed for training</w:t>
            </w:r>
          </w:p>
        </w:tc>
      </w:tr>
      <w:tr>
        <w:tc>
          <w:tcPr>
            <w:tcW w:type="dxa" w:w="4500"/>
          </w:tcPr>
          <w:p>
            <w:pPr>
              <w:spacing w:line="240" w:lineRule="auto"/>
            </w:pPr>
            <w:r>
              <w:rPr>
                <w:rFonts w:ascii="Times New Roman" w:hAnsi="Times New Roman"/>
                <w:sz w:val="22"/>
              </w:rPr>
              <w:t>Isolation</w:t>
            </w:r>
          </w:p>
        </w:tc>
        <w:tc>
          <w:tcPr>
            <w:tcW w:type="dxa" w:w="4500"/>
          </w:tcPr>
          <w:p>
            <w:pPr>
              <w:spacing w:line="240" w:lineRule="auto"/>
            </w:pPr>
            <w:r>
              <w:rPr>
                <w:rFonts w:ascii="Times New Roman" w:hAnsi="Times New Roman"/>
                <w:sz w:val="22"/>
              </w:rPr>
              <w:t>Optional Docker for FastAPI demo (README.md); all metrics reproducible on bare Windows + Python</w:t>
            </w:r>
          </w:p>
        </w:tc>
      </w:tr>
    </w:tbl>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Configuration is managed via config/experiment.yaml (window size, kNN k, sequence length, model hyperparameters, and FL rounds/epochs)  -  Table 3 in Section 4.4.1 is the one-line summary of those knobs.</w:t>
      </w:r>
    </w:p>
    <w:p>
      <w:pPr>
        <w:pStyle w:val="Heading2"/>
      </w:pPr>
      <w:r>
        <w:t>6.3 Data Loading and Preprocessing</w:t>
      </w:r>
    </w:p>
    <w:p>
      <w:r>
        <w:t>The CICIoT2023 subset is loaded from CSV (or the dataset’s provided format). The public flow tables provide the 46 numeric features used in this project plus labels; optional endpoint columns are retained only when present in the schema. Missing values are handled, labels are binarised (benign vs. attack), and fixed train/validation/test splits are produced with a fixed seed for reproducibility.</w:t>
      </w:r>
    </w:p>
    <w:p>
      <w: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pPr>
        <w:pStyle w:val="Heading2"/>
      </w:pPr>
      <w:r>
        <w:t>6.4 Graph Construction</w:t>
      </w:r>
    </w:p>
    <w:p>
      <w: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pPr>
        <w:pStyle w:val="Heading2"/>
      </w:pPr>
      <w:r>
        <w:t>6.5 Model Implementation</w:t>
      </w:r>
    </w:p>
    <w:p>
      <w:r>
        <w:t>Random Forest: Implemented with scikit-learn on one row per processed flow (46 features + label). The implementation uses 200 trees and max_depth=20; class weights address flow-level imbalance in the training parquet.</w:t>
      </w:r>
    </w:p>
    <w:p>
      <w:r>
        <w:t>MLP: Feed-forward network with three hidden layers (128, 64, 32), ReLU, dropout 0.2; two output logits for benign vs. attack, trained with cross-entropy and Adam (learning rate 1e-3), matching MLPBaseline and the training loop in scripts/run_all.py.</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6.6 Federated Learning (Flower)</w:t>
      </w:r>
    </w:p>
    <w:p>
      <w: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preprocessing, graph construction, baseline training, central GNN training, and metric/plot outputs for the centralised path. Federated training is run via the Flower entry points. The scripts/generate_alerts_and_plots.py script produces example alerts, the FL convergence plot, and additional figures. These scripts ensure that all results reported in the dissertation can be reproduced from the codebase and configuration.</w:t>
      </w:r>
    </w:p>
    <w:p>
      <w:pPr>
        <w:pStyle w:val="Heading2"/>
      </w:pPr>
      <w:r>
        <w:t>6.10 Implementation Code Screenshots (Author’s Codebase)</w:t>
      </w:r>
    </w:p>
    <w:p>
      <w:r>
        <w:t>The screenshots below show core fragments only (function bodies, the training-step loop, sequence forward head, Captum IG core, and the /score handler) - not full modules. They are auto-rendered with Pygments (one-dark) at the cited line ranges (scripts/render_chapter6_code_screenshots.py); Appendix C uses the same style for examiner code reference.</w:t>
      </w:r>
    </w:p>
    <w:p>
      <w:r>
        <w:t>flows_to_knn_graph  -  kNN edges and tensors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11" name="Picture 11"/>
                  <wp:cNvGraphicFramePr>
                    <a:graphicFrameLocks noChangeAspect="1"/>
                  </wp:cNvGraphicFramePr>
                  <a:graphic>
                    <a:graphicData uri="http://schemas.openxmlformats.org/drawingml/2006/picture">
                      <pic:pic>
                        <pic:nvPicPr>
                          <pic:cNvPr id="11"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10: flows_to_knn_graph (core)  -  NearestNeighbors, bidirectional edges, PyG Data (Chapter 6, Section 6.10)</w:t>
      </w:r>
    </w:p>
    <w:p>
      <w:r>
        <w:rPr>
          <w:i/>
        </w:rPr>
        <w:t>Source: src/data/graph_builder.py, lines 37–58.</w:t>
      </w:r>
    </w:p>
    <w:p>
      <w:r>
        <w:t>build_graphs_for_split  -  stratified pools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12" name="Picture 12"/>
                  <wp:cNvGraphicFramePr>
                    <a:graphicFrameLocks noChangeAspect="1"/>
                  </wp:cNvGraphicFramePr>
                  <a:graphic>
                    <a:graphicData uri="http://schemas.openxmlformats.org/drawingml/2006/picture">
                      <pic:pic>
                        <pic:nvPicPr>
                          <pic:cNvPr id="12"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11: build_graphs_for_split (core)  -  class pools, balance, merge, shuffle (Chapter 6, Section 6.10)</w:t>
      </w:r>
    </w:p>
    <w:p>
      <w:r>
        <w:rPr>
          <w:i/>
        </w:rPr>
        <w:t>Source: src/data/graph_builder.py, lines 106–123.</w:t>
      </w:r>
    </w:p>
    <w:p>
      <w:r>
        <w:t>train_one_epoch  -  central GNN training loop</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42300"/>
                  <wp:docPr id="13" name="Picture 13"/>
                  <wp:cNvGraphicFramePr>
                    <a:graphicFrameLocks noChangeAspect="1"/>
                  </wp:cNvGraphicFramePr>
                  <a:graphic>
                    <a:graphicData uri="http://schemas.openxmlformats.org/drawingml/2006/picture">
                      <pic:pic>
                        <pic:nvPicPr>
                          <pic:cNvPr id="13" name="fig_ch6_03_train_one_epoch.png"/>
                          <pic:cNvPicPr/>
                        </pic:nvPicPr>
                        <pic:blipFill>
                          <a:blip r:embed="rId24"/>
                          <a:stretch>
                            <a:fillRect/>
                          </a:stretch>
                        </pic:blipFill>
                        <pic:spPr>
                          <a:xfrm>
                            <a:off x="0" y="0"/>
                            <a:ext cx="5029200" cy="2742300"/>
                          </a:xfrm>
                          <a:prstGeom prst="rect"/>
                        </pic:spPr>
                      </pic:pic>
                    </a:graphicData>
                  </a:graphic>
                </wp:inline>
              </w:drawing>
            </w:r>
          </w:p>
        </w:tc>
      </w:tr>
    </w:tbl>
    <w:p>
      <w:pPr>
        <w:pStyle w:val="Caption"/>
      </w:pPr>
      <w:r>
        <w:t>Figure 12: train_one_epoch  -  class-weighted cross-entropy, backward pass, optimiser step (Chapter 6, Section 6.10)</w:t>
      </w:r>
    </w:p>
    <w:p>
      <w:r>
        <w:rPr>
          <w:i/>
        </w:rPr>
        <w:t>Source: src/models/trainer.py, lines 39–61.</w:t>
      </w:r>
    </w:p>
    <w:p>
      <w:r>
        <w:t>DynamicGNN.forward  -  sequence to logits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12158"/>
                  <wp:docPr id="14" name="Picture 14"/>
                  <wp:cNvGraphicFramePr>
                    <a:graphicFrameLocks noChangeAspect="1"/>
                  </wp:cNvGraphicFramePr>
                  <a:graphic>
                    <a:graphicData uri="http://schemas.openxmlformats.org/drawingml/2006/picture">
                      <pic:pic>
                        <pic:nvPicPr>
                          <pic:cNvPr id="14" name="fig_ch6_04_dynamic_gnn_forward.png"/>
                          <pic:cNvPicPr/>
                        </pic:nvPicPr>
                        <pic:blipFill>
                          <a:blip r:embed="rId25"/>
                          <a:stretch>
                            <a:fillRect/>
                          </a:stretch>
                        </pic:blipFill>
                        <pic:spPr>
                          <a:xfrm>
                            <a:off x="0" y="0"/>
                            <a:ext cx="5029200" cy="1512158"/>
                          </a:xfrm>
                          <a:prstGeom prst="rect"/>
                        </pic:spPr>
                      </pic:pic>
                    </a:graphicData>
                  </a:graphic>
                </wp:inline>
              </w:drawing>
            </w:r>
          </w:p>
        </w:tc>
      </w:tr>
    </w:tbl>
    <w:p>
      <w:pPr>
        <w:pStyle w:val="Caption"/>
      </w:pPr>
      <w:r>
        <w:t>Figure 13: DynamicGNN.forward (core)  -  stack window embeddings, GRU vs. mean-pool ablation, classifier (Chapter 6, Section 6.10)</w:t>
      </w:r>
    </w:p>
    <w:p>
      <w:r>
        <w:rPr>
          <w:i/>
        </w:rPr>
        <w:t>Source: src/models/dynamic_gnn.py, lines 84–97.</w:t>
      </w:r>
    </w:p>
    <w:p>
      <w:r>
        <w:t>_ig_wrapper  -  Integrated Gradients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94664"/>
                  <wp:docPr id="15" name="Picture 15"/>
                  <wp:cNvGraphicFramePr>
                    <a:graphicFrameLocks noChangeAspect="1"/>
                  </wp:cNvGraphicFramePr>
                  <a:graphic>
                    <a:graphicData uri="http://schemas.openxmlformats.org/drawingml/2006/picture">
                      <pic:pic>
                        <pic:nvPicPr>
                          <pic:cNvPr id="15" name="fig_ch6_05_integrated_gradients_wrapper.png"/>
                          <pic:cNvPicPr/>
                        </pic:nvPicPr>
                        <pic:blipFill>
                          <a:blip r:embed="rId26"/>
                          <a:stretch>
                            <a:fillRect/>
                          </a:stretch>
                        </pic:blipFill>
                        <pic:spPr>
                          <a:xfrm>
                            <a:off x="0" y="0"/>
                            <a:ext cx="5029200" cy="1994664"/>
                          </a:xfrm>
                          <a:prstGeom prst="rect"/>
                        </pic:spPr>
                      </pic:pic>
                    </a:graphicData>
                  </a:graphic>
                </wp:inline>
              </w:drawing>
            </w:r>
          </w:p>
        </w:tc>
      </w:tr>
    </w:tbl>
    <w:p>
      <w:pPr>
        <w:pStyle w:val="Caption"/>
      </w:pPr>
      <w:r>
        <w:t>Figure 14: _ig_wrapper (core)  -  Captum IntegratedGradients on the last window’s node features (Chapter 6, Section 6.10)</w:t>
      </w:r>
    </w:p>
    <w:p>
      <w:r>
        <w:rPr>
          <w:i/>
        </w:rPr>
        <w:t>Source: src/explain/explainer.py, lines 34–50.</w:t>
      </w:r>
    </w:p>
    <w:p>
      <w:r>
        <w:t>POST /score  -  FastAPI handler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16" name="Picture 16"/>
                  <wp:cNvGraphicFramePr>
                    <a:graphicFrameLocks noChangeAspect="1"/>
                  </wp:cNvGraphicFramePr>
                  <a:graphic>
                    <a:graphicData uri="http://schemas.openxmlformats.org/drawingml/2006/picture">
                      <pic:pic>
                        <pic:nvPicPr>
                          <pic:cNvPr id="1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15: POST /score (core)  -  build graphs, explain_sequence, ECS-style alert, timing (Chapter 6, Section 6.10)</w:t>
      </w:r>
    </w:p>
    <w:p>
      <w:r>
        <w:rPr>
          <w:i/>
        </w:rPr>
        <w:t>Source: src/siem/api.py, lines 67–89.</w:t>
      </w:r>
    </w:p>
    <w:p>
      <w:r>
        <w:t>Together, these figures summarise the data → train → forward → attribute → deploy path; federated local training reuses the same train_one_epoch step inside GNNFlowerClient (Appendix C).</w:t>
      </w:r>
    </w:p>
    <w:p>
      <w:pPr>
        <w:pStyle w:val="Heading2"/>
      </w:pPr>
      <w:r>
        <w:t>6.11 Reproducibility Note</w:t>
      </w:r>
    </w:p>
    <w:p>
      <w:r>
        <w:t>The implementation is fully script-driven from config/experiment.yaml (window size, kNN k, GAT heads, sequence length, FL rounds and clients, Dirichlet alpha, seed). All main experiments use seed 42; the multi-seed study in Section 8.9 uses 42, 123, 456. Entry points are: scripts/run_all.py (preprocessing, baselines, central GNN, evaluation), src.federated.run_federated (Flower server and clients), scripts/run_ablation.py, scripts/run_sensitivity_and_seeds.py, and scripts/generate_alerts_and_plots.py. Every table and figure is backed by a CSV/JSON under results/metrics/ or an image under results/figures/. All runs are CPU-only.</w:t>
      </w:r>
    </w:p>
    <w:p>
      <w:pPr>
        <w:pStyle w:val="Heading2"/>
      </w:pPr>
      <w:r>
        <w:t>6.12 Chapter Summary</w:t>
      </w:r>
    </w:p>
    <w:p>
      <w:r>
        <w:t>Implementation delivers a modular codebase with scripted reproducibility, covering data through to SIEM-style JSON and CPU inference.</w:t>
      </w:r>
    </w:p>
    <w:p>
      <w:pPr>
        <w:pStyle w:val="Heading1"/>
        <w:jc w:val="center"/>
      </w:pPr>
      <w:r>
        <w:rPr>
          <w:b/>
          <w:i w:val="0"/>
          <w:sz w:val="32"/>
        </w:rPr>
        <w:t>Chapter 7 – Testing and Evaluation</w:t>
      </w:r>
    </w:p>
    <w:p>
      <w:pPr>
        <w:pStyle w:val="Heading2"/>
      </w:pPr>
      <w:r>
        <w:t>7.1 Chapter Overview</w:t>
      </w:r>
    </w:p>
    <w:p>
      <w:r>
        <w:t>This chapter specifies the evaluation protocol: the experimental setup, formal metric definitions, dataset and sequence statistics, and the comparison rules applied consistently across models. The purpose is to fix the “test contract” so Chapter 8 can report results as evidence rather than opinion.</w:t>
      </w:r>
    </w:p>
    <w:p>
      <w:pPr>
        <w:pStyle w:val="Heading2"/>
      </w:pPr>
      <w:r>
        <w:t>7.2 Evaluation Scope</w:t>
      </w:r>
    </w:p>
    <w:p>
      <w:r>
        <w:t>Evaluation answers the three sub-questions and supports the main question (Section 1.3). Setup, hyperparameters, and federated heterogeneity are in Section 7.4; metric definitions in Section 7.5; scale statistics in Section 7.6; decision rules for comparing models in Section 7.7. The plan was fixed before final test reporting so metrics were not tuned to the test set.</w:t>
      </w:r>
    </w:p>
    <w:p>
      <w:pPr>
        <w:pStyle w:val="Heading3"/>
      </w:pPr>
      <w:r>
        <w:t>7.2.1 Pass Criteria</w:t>
      </w:r>
    </w:p>
    <w:p>
      <w:r>
        <w:t>To make the evaluation a pre-registered contract rather than a post-hoc summary, the following pass criteria were defined before any test-set numbers were generated. Each criterion is tied directly to a research question:</w:t>
      </w:r>
    </w:p>
    <w:p>
      <w:pPr>
        <w:pStyle w:val="ListBullet"/>
      </w:pPr>
      <w:r>
        <w:t>Pass-1 (sub-question 1): the dynamic GNN achieves F1 ≥ 0.95 and ROC-AUC ≥ 0.95 on the central test set, and matches or exceeds the better of the two baselines (Random Forest, MLP) on F1.</w:t>
      </w:r>
    </w:p>
    <w:p>
      <w:pPr>
        <w:pStyle w:val="ListBullet"/>
      </w:pPr>
      <w:r>
        <w:t>Pass-2 (sub-question 1): the dynamic GNN reports a lower or equal false-positive rate than the strongest baseline on the central test set.</w:t>
      </w:r>
    </w:p>
    <w:p>
      <w:pPr>
        <w:pStyle w:val="ListBullet"/>
      </w:pPr>
      <w:r>
        <w:t>Pass-3 (sub-question 2): the federated GNN trained with Flower FedAvg over three non-IID clients reaches an F1 within 0.02 of the centralised GNN on the central test set within ten rounds.</w:t>
      </w:r>
    </w:p>
    <w:p>
      <w:pPr>
        <w:pStyle w:val="ListBullet"/>
      </w:pPr>
      <w:r>
        <w:t>Pass-4 (sub-question 2): total federated communication stays within an order of magnitude consistent with edge-network feasibility (target ≤ 100 MB over ten rounds for the chosen architecture).</w:t>
      </w:r>
    </w:p>
    <w:p>
      <w:pPr>
        <w:pStyle w:val="ListBullet"/>
      </w:pPr>
      <w:r>
        <w:t>Pass-5 (sub-question 3): at least three example alerts are produced with a complete explanation payload (top features and top flows) in ECS-like JSON.</w:t>
      </w:r>
    </w:p>
    <w:p>
      <w:pPr>
        <w:pStyle w:val="ListBullet"/>
      </w:pPr>
      <w:r>
        <w:t>Pass-6 (main question): mean CPU inference latency per five-window sequence stays within edge-realistic bounds (target ≤ 100 ms).</w:t>
      </w:r>
    </w:p>
    <w:p>
      <w:pPr>
        <w:pStyle w:val="Heading3"/>
      </w:pPr>
      <w:r>
        <w:t>7.2.2 Fail Criteria</w:t>
      </w:r>
    </w:p>
    <w:p>
      <w:r>
        <w:t>A run is treated as a fail for evaluation reporting if any of the following hold:</w:t>
      </w:r>
    </w:p>
    <w:p>
      <w:pPr>
        <w:pStyle w:val="ListBullet"/>
      </w:pPr>
      <w:r>
        <w:t>Fail-1: evidence of data leakage between train, validation, or test splits.</w:t>
      </w:r>
    </w:p>
    <w:p>
      <w:pPr>
        <w:pStyle w:val="ListBullet"/>
      </w:pPr>
      <w:r>
        <w:t>Fail-2: F1 of the dynamic GNN below 0.90 on the central test set, or precision below 0.90 with recall held at 1.0 (which would indicate degenerate "always attack" behaviour).</w:t>
      </w:r>
    </w:p>
    <w:p>
      <w:pPr>
        <w:pStyle w:val="ListBullet"/>
      </w:pPr>
      <w:r>
        <w:t>Fail-3: federated training does not converge within ten rounds, or final federated F1 falls more than 0.05 below the centralised GNN.</w:t>
      </w:r>
    </w:p>
    <w:p>
      <w:pPr>
        <w:pStyle w:val="ListBullet"/>
      </w:pPr>
      <w:r>
        <w:t>Fail-4: alerts cannot be produced from the trained model through the FastAPI endpoint, or the explanation payload is empty for the chosen examples.</w:t>
      </w:r>
    </w:p>
    <w:p>
      <w:pPr>
        <w:pStyle w:val="ListBullet"/>
      </w:pPr>
      <w:r>
        <w:t>Fail-5: CPU inference latency exceeds 1 s per sequence (which would void the edge-deployment claim).</w:t>
      </w:r>
    </w:p>
    <w:p>
      <w:r>
        <w:t>The actual outcomes against these criteria are reported in Chapter 8 and discussed in Chapter 9.</w:t>
      </w:r>
    </w:p>
    <w:p>
      <w:pPr>
        <w:pStyle w:val="Heading2"/>
      </w:pPr>
      <w:r>
        <w:t>7.3 Test Schedule</w:t>
      </w:r>
    </w:p>
    <w:p>
      <w:r>
        <w:t>Table 6 is the multi-scenario execution map: it ties each research question element (baselines, central GNN, FL, ablation, sensitivity, multi-seed, deployment) to a concrete output file in results/. The schedule is staged so that the test split is not re-used for ad hoc tuning.</w:t>
      </w:r>
    </w:p>
    <w:p>
      <w:r>
        <w:t>Table 6: Evaluation scenarios, scripts, and frozen artefacts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Test phase</w:t>
            </w:r>
          </w:p>
        </w:tc>
        <w:tc>
          <w:tcPr>
            <w:tcW w:type="dxa" w:w="2250"/>
          </w:tcPr>
          <w:p>
            <w:pPr>
              <w:spacing w:line="240" w:lineRule="auto"/>
            </w:pPr>
            <w:r>
              <w:rPr>
                <w:rFonts w:ascii="Times New Roman" w:hAnsi="Times New Roman"/>
                <w:sz w:val="22"/>
              </w:rPr>
              <w:t>Project days</w:t>
            </w:r>
          </w:p>
        </w:tc>
        <w:tc>
          <w:tcPr>
            <w:tcW w:type="dxa" w:w="2250"/>
          </w:tcPr>
          <w:p>
            <w:pPr>
              <w:spacing w:line="240" w:lineRule="auto"/>
            </w:pPr>
            <w:r>
              <w:rPr>
                <w:rFonts w:ascii="Times New Roman" w:hAnsi="Times New Roman"/>
                <w:sz w:val="22"/>
              </w:rPr>
              <w:t>Output artefact</w:t>
            </w:r>
          </w:p>
        </w:tc>
        <w:tc>
          <w:tcPr>
            <w:tcW w:type="dxa" w:w="2250"/>
          </w:tcPr>
          <w:p>
            <w:pPr>
              <w:spacing w:line="240" w:lineRule="auto"/>
            </w:pPr>
            <w:r>
              <w:rPr>
                <w:rFonts w:ascii="Times New Roman" w:hAnsi="Times New Roman"/>
                <w:sz w:val="22"/>
              </w:rPr>
              <w:t>Outcome (vs. criteria)</w:t>
            </w:r>
          </w:p>
        </w:tc>
      </w:tr>
      <w:tr>
        <w:tc>
          <w:tcPr>
            <w:tcW w:type="dxa" w:w="2250"/>
          </w:tcPr>
          <w:p>
            <w:pPr>
              <w:spacing w:line="240" w:lineRule="auto"/>
            </w:pPr>
            <w:r>
              <w:rPr>
                <w:rFonts w:ascii="Times New Roman" w:hAnsi="Times New Roman"/>
                <w:sz w:val="22"/>
              </w:rPr>
              <w:t>Baseline RF and MLP on test split</w:t>
            </w:r>
          </w:p>
        </w:tc>
        <w:tc>
          <w:tcPr>
            <w:tcW w:type="dxa" w:w="2250"/>
          </w:tcPr>
          <w:p>
            <w:pPr>
              <w:spacing w:line="240" w:lineRule="auto"/>
            </w:pPr>
            <w:r>
              <w:rPr>
                <w:rFonts w:ascii="Times New Roman" w:hAnsi="Times New Roman"/>
                <w:sz w:val="22"/>
              </w:rPr>
              <w:t>16–18</w:t>
            </w:r>
          </w:p>
        </w:tc>
        <w:tc>
          <w:tcPr>
            <w:tcW w:type="dxa" w:w="2250"/>
          </w:tcPr>
          <w:p>
            <w:pPr>
              <w:spacing w:line="240" w:lineRule="auto"/>
            </w:pPr>
            <w:r>
              <w:rPr>
                <w:rFonts w:ascii="Times New Roman" w:hAnsi="Times New Roman"/>
                <w:sz w:val="22"/>
              </w:rPr>
              <w:t>results/metrics/results_table.csv (RF, MLP rows)</w:t>
            </w:r>
          </w:p>
        </w:tc>
        <w:tc>
          <w:tcPr>
            <w:tcW w:type="dxa" w:w="2250"/>
          </w:tcPr>
          <w:p>
            <w:pPr>
              <w:spacing w:line="240" w:lineRule="auto"/>
            </w:pPr>
            <w:r>
              <w:rPr>
                <w:rFonts w:ascii="Times New Roman" w:hAnsi="Times New Roman"/>
                <w:sz w:val="22"/>
              </w:rPr>
              <w:t>Reference set established</w:t>
            </w:r>
          </w:p>
        </w:tc>
      </w:tr>
      <w:tr>
        <w:tc>
          <w:tcPr>
            <w:tcW w:type="dxa" w:w="2250"/>
          </w:tcPr>
          <w:p>
            <w:pPr>
              <w:spacing w:line="240" w:lineRule="auto"/>
            </w:pPr>
            <w:r>
              <w:rPr>
                <w:rFonts w:ascii="Times New Roman" w:hAnsi="Times New Roman"/>
                <w:sz w:val="22"/>
              </w:rPr>
              <w:t>Central GNN training and test</w:t>
            </w:r>
          </w:p>
        </w:tc>
        <w:tc>
          <w:tcPr>
            <w:tcW w:type="dxa" w:w="2250"/>
          </w:tcPr>
          <w:p>
            <w:pPr>
              <w:spacing w:line="240" w:lineRule="auto"/>
            </w:pPr>
            <w:r>
              <w:rPr>
                <w:rFonts w:ascii="Times New Roman" w:hAnsi="Times New Roman"/>
                <w:sz w:val="22"/>
              </w:rPr>
              <w:t>18–22</w:t>
            </w:r>
          </w:p>
        </w:tc>
        <w:tc>
          <w:tcPr>
            <w:tcW w:type="dxa" w:w="2250"/>
          </w:tcPr>
          <w:p>
            <w:pPr>
              <w:spacing w:line="240" w:lineRule="auto"/>
            </w:pPr>
            <w:r>
              <w:rPr>
                <w:rFonts w:ascii="Times New Roman" w:hAnsi="Times New Roman"/>
                <w:sz w:val="22"/>
              </w:rPr>
              <w:t>results/metrics/results_table.csv (Central GNN row); gnn_training_history.json</w:t>
            </w:r>
          </w:p>
        </w:tc>
        <w:tc>
          <w:tcPr>
            <w:tcW w:type="dxa" w:w="2250"/>
          </w:tcPr>
          <w:p>
            <w:pPr>
              <w:spacing w:line="240" w:lineRule="auto"/>
            </w:pPr>
            <w:r>
              <w:rPr>
                <w:rFonts w:ascii="Times New Roman" w:hAnsi="Times New Roman"/>
                <w:sz w:val="22"/>
              </w:rPr>
              <w:t>Pass-1, Pass-2, Pass-6</w:t>
            </w:r>
          </w:p>
        </w:tc>
      </w:tr>
      <w:tr>
        <w:tc>
          <w:tcPr>
            <w:tcW w:type="dxa" w:w="2250"/>
          </w:tcPr>
          <w:p>
            <w:pPr>
              <w:spacing w:line="240" w:lineRule="auto"/>
            </w:pPr>
            <w:r>
              <w:rPr>
                <w:rFonts w:ascii="Times New Roman" w:hAnsi="Times New Roman"/>
                <w:sz w:val="22"/>
              </w:rPr>
              <w:t>Federated GNN (10 rounds, 3 clients)</w:t>
            </w:r>
          </w:p>
        </w:tc>
        <w:tc>
          <w:tcPr>
            <w:tcW w:type="dxa" w:w="2250"/>
          </w:tcPr>
          <w:p>
            <w:pPr>
              <w:spacing w:line="240" w:lineRule="auto"/>
            </w:pPr>
            <w:r>
              <w:rPr>
                <w:rFonts w:ascii="Times New Roman" w:hAnsi="Times New Roman"/>
                <w:sz w:val="22"/>
              </w:rPr>
              <w:t>22–26</w:t>
            </w:r>
          </w:p>
        </w:tc>
        <w:tc>
          <w:tcPr>
            <w:tcW w:type="dxa" w:w="2250"/>
          </w:tcPr>
          <w:p>
            <w:pPr>
              <w:spacing w:line="240" w:lineRule="auto"/>
            </w:pPr>
            <w:r>
              <w:rPr>
                <w:rFonts w:ascii="Times New Roman" w:hAnsi="Times New Roman"/>
                <w:sz w:val="22"/>
              </w:rPr>
              <w:t>results/metrics/fl_round_metrics.csv; results/figures/fl_convergence.png</w:t>
            </w:r>
          </w:p>
        </w:tc>
        <w:tc>
          <w:tcPr>
            <w:tcW w:type="dxa" w:w="2250"/>
          </w:tcPr>
          <w:p>
            <w:pPr>
              <w:spacing w:line="240" w:lineRule="auto"/>
            </w:pPr>
            <w:r>
              <w:rPr>
                <w:rFonts w:ascii="Times New Roman" w:hAnsi="Times New Roman"/>
                <w:sz w:val="22"/>
              </w:rPr>
              <w:t>Pass-3, Pass-4</w:t>
            </w:r>
          </w:p>
        </w:tc>
      </w:tr>
      <w:tr>
        <w:tc>
          <w:tcPr>
            <w:tcW w:type="dxa" w:w="2250"/>
          </w:tcPr>
          <w:p>
            <w:pPr>
              <w:spacing w:line="240" w:lineRule="auto"/>
            </w:pPr>
            <w:r>
              <w:rPr>
                <w:rFonts w:ascii="Times New Roman" w:hAnsi="Times New Roman"/>
                <w:sz w:val="22"/>
              </w:rPr>
              <w:t>Example alerts via FastAPI /score</w:t>
            </w:r>
          </w:p>
        </w:tc>
        <w:tc>
          <w:tcPr>
            <w:tcW w:type="dxa" w:w="2250"/>
          </w:tcPr>
          <w:p>
            <w:pPr>
              <w:spacing w:line="240" w:lineRule="auto"/>
            </w:pPr>
            <w:r>
              <w:rPr>
                <w:rFonts w:ascii="Times New Roman" w:hAnsi="Times New Roman"/>
                <w:sz w:val="22"/>
              </w:rPr>
              <w:t>26–28</w:t>
            </w:r>
          </w:p>
        </w:tc>
        <w:tc>
          <w:tcPr>
            <w:tcW w:type="dxa" w:w="2250"/>
          </w:tcPr>
          <w:p>
            <w:pPr>
              <w:spacing w:line="240" w:lineRule="auto"/>
            </w:pPr>
            <w:r>
              <w:rPr>
                <w:rFonts w:ascii="Times New Roman" w:hAnsi="Times New Roman"/>
                <w:sz w:val="22"/>
              </w:rPr>
              <w:t>results/alerts/*.json</w:t>
            </w:r>
          </w:p>
        </w:tc>
        <w:tc>
          <w:tcPr>
            <w:tcW w:type="dxa" w:w="2250"/>
          </w:tcPr>
          <w:p>
            <w:pPr>
              <w:spacing w:line="240" w:lineRule="auto"/>
            </w:pPr>
            <w:r>
              <w:rPr>
                <w:rFonts w:ascii="Times New Roman" w:hAnsi="Times New Roman"/>
                <w:sz w:val="22"/>
              </w:rPr>
              <w:t>Pass-5</w:t>
            </w:r>
          </w:p>
        </w:tc>
      </w:tr>
      <w:tr>
        <w:tc>
          <w:tcPr>
            <w:tcW w:type="dxa" w:w="2250"/>
          </w:tcPr>
          <w:p>
            <w:pPr>
              <w:spacing w:line="240" w:lineRule="auto"/>
            </w:pPr>
            <w:r>
              <w:rPr>
                <w:rFonts w:ascii="Times New Roman" w:hAnsi="Times New Roman"/>
                <w:sz w:val="22"/>
              </w:rPr>
              <w:t>Ablation (GAT-only vs full)</w:t>
            </w:r>
          </w:p>
        </w:tc>
        <w:tc>
          <w:tcPr>
            <w:tcW w:type="dxa" w:w="2250"/>
          </w:tcPr>
          <w:p>
            <w:pPr>
              <w:spacing w:line="240" w:lineRule="auto"/>
            </w:pPr>
            <w:r>
              <w:rPr>
                <w:rFonts w:ascii="Times New Roman" w:hAnsi="Times New Roman"/>
                <w:sz w:val="22"/>
              </w:rPr>
              <w:t>30–32</w:t>
            </w:r>
          </w:p>
        </w:tc>
        <w:tc>
          <w:tcPr>
            <w:tcW w:type="dxa" w:w="2250"/>
          </w:tcPr>
          <w:p>
            <w:pPr>
              <w:spacing w:line="240" w:lineRule="auto"/>
            </w:pPr>
            <w:r>
              <w:rPr>
                <w:rFonts w:ascii="Times New Roman" w:hAnsi="Times New Roman"/>
                <w:sz w:val="22"/>
              </w:rPr>
              <w:t>results/metrics/ablation_table.csv</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Sensitivity grid (window x k)</w:t>
            </w:r>
          </w:p>
        </w:tc>
        <w:tc>
          <w:tcPr>
            <w:tcW w:type="dxa" w:w="2250"/>
          </w:tcPr>
          <w:p>
            <w:pPr>
              <w:spacing w:line="240" w:lineRule="auto"/>
            </w:pPr>
            <w:r>
              <w:rPr>
                <w:rFonts w:ascii="Times New Roman" w:hAnsi="Times New Roman"/>
                <w:sz w:val="22"/>
              </w:rPr>
              <w:t>32–35</w:t>
            </w:r>
          </w:p>
        </w:tc>
        <w:tc>
          <w:tcPr>
            <w:tcW w:type="dxa" w:w="2250"/>
          </w:tcPr>
          <w:p>
            <w:pPr>
              <w:spacing w:line="240" w:lineRule="auto"/>
            </w:pPr>
            <w:r>
              <w:rPr>
                <w:rFonts w:ascii="Times New Roman" w:hAnsi="Times New Roman"/>
                <w:sz w:val="22"/>
              </w:rPr>
              <w:t>results/metrics/sensitivity_table.csv; results/figures/sensitivity.png</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Multi-seed (42, 123, 456)</w:t>
            </w:r>
          </w:p>
        </w:tc>
        <w:tc>
          <w:tcPr>
            <w:tcW w:type="dxa" w:w="2250"/>
          </w:tcPr>
          <w:p>
            <w:pPr>
              <w:spacing w:line="240" w:lineRule="auto"/>
            </w:pPr>
            <w:r>
              <w:rPr>
                <w:rFonts w:ascii="Times New Roman" w:hAnsi="Times New Roman"/>
                <w:sz w:val="22"/>
              </w:rPr>
              <w:t>35–38</w:t>
            </w:r>
          </w:p>
        </w:tc>
        <w:tc>
          <w:tcPr>
            <w:tcW w:type="dxa" w:w="2250"/>
          </w:tcPr>
          <w:p>
            <w:pPr>
              <w:spacing w:line="240" w:lineRule="auto"/>
            </w:pPr>
            <w:r>
              <w:rPr>
                <w:rFonts w:ascii="Times New Roman" w:hAnsi="Times New Roman"/>
                <w:sz w:val="22"/>
              </w:rPr>
              <w:t>results/metrics/multi_seed_summary.json</w:t>
            </w:r>
          </w:p>
        </w:tc>
        <w:tc>
          <w:tcPr>
            <w:tcW w:type="dxa" w:w="2250"/>
          </w:tcPr>
          <w:p>
            <w:pPr>
              <w:spacing w:line="240" w:lineRule="auto"/>
            </w:pPr>
            <w:r>
              <w:rPr>
                <w:rFonts w:ascii="Times New Roman" w:hAnsi="Times New Roman"/>
                <w:sz w:val="22"/>
              </w:rPr>
              <w:t>Stability evidence</w:t>
            </w:r>
          </w:p>
        </w:tc>
      </w:tr>
    </w:tbl>
    <w:p>
      <w:pPr>
        <w:pStyle w:val="Heading2"/>
      </w:pPr>
      <w:r>
        <w:t>7.4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split uses a Dirichlet distribution (alpha = 0.5) to simulate non-IID clients (values also in Table 3). The central test set is held out and used only for evaluation. Hardware and stack for all runs are as in Table 5; model hyperparameters and training budgets are in Table 3 and config/experiment.yaml, and the same splits are used across models to ensure fair comparison.</w:t>
      </w:r>
    </w:p>
    <w:p>
      <w:pPr>
        <w:pStyle w:val="Heading2"/>
      </w:pPr>
      <w:r>
        <w:t>7.5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7.6 Dataset and Experiment Statistics</w:t>
      </w:r>
    </w:p>
    <w:p>
      <w:r>
        <w:t>The CICIoT2023 subset used in this project was selected to include a representative mix of benign and attack traffic. Table 4 and results/metrics/dataset_stats.json (from scripts/dataset_statistics.py) give the exact per-split flow counts; at flow level the class distribution is approximately 2.3% benign. The stratified windowing strategy produces balanced graph-level data (approximately 50% benign, 50% attack windows) despite this flow-level imbalance. After windowing, the GNN dataset comprises 920 training sequences, 928 validation sequences, and 934 test sequences (each sequence = five consecutive graph snapshots in the shuffled graph list; each snapshot = 50 flows; sequence label = attack if any snapshot is attack-labeled - see GraphSequenceDataset). The train/validation/test split ensures no overlap; the test set is used only for final reporting. The Random Forest and MLP baselines use the same processed flows in tabular format (one row per flow) on the same splits, so comparison is on the same underlying data; the GNN is evaluated at sequence level (one prediction per sequence of 5 windows). The federated split assigns each client a different proportion of classes via Dirichlet(alpha=0.5), simulating non-IID conditions where different sites observe different threat profiles.</w:t>
      </w:r>
    </w:p>
    <w:p>
      <w:pPr>
        <w:pStyle w:val="Heading2"/>
      </w:pPr>
      <w:r>
        <w:t>7.7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pPr>
        <w:pStyle w:val="Heading2"/>
      </w:pPr>
      <w:r>
        <w:t>7.8 Chapter Summary</w:t>
      </w:r>
    </w:p>
    <w:p>
      <w:r>
        <w:t>Chapter 7 fixed the setup, metrics, data scales, and comparison protocol used for all models and federated runs. Chapter 8 reports the numerical and graphical outcomes only.</w:t>
      </w:r>
    </w:p>
    <w:p>
      <w:pPr>
        <w:pStyle w:val="Heading1"/>
        <w:jc w:val="center"/>
      </w:pPr>
      <w:r>
        <w:rPr>
          <w:b/>
          <w:i w:val="0"/>
          <w:sz w:val="32"/>
        </w:rPr>
        <w:t>Chapter 8 – Results Presentation</w:t>
      </w:r>
    </w:p>
    <w:p>
      <w:pPr>
        <w:pStyle w:val="Heading2"/>
      </w:pPr>
      <w:r>
        <w:t>8.1 Chapter Overview</w:t>
      </w:r>
    </w:p>
    <w:p>
      <w:r>
        <w:t>This chapter reports results as tables and figures with brief factual description; interpretation is in Chapter 9 and personal reflection in Chapter 10. Tables keep decimal precision (e.g. 0.9986) and the prose mirrors the same values as percentages. Artefacts are stored under results/metrics/, results/figures/, and results/alerts/.</w:t>
      </w:r>
    </w:p>
    <w:p>
      <w:pPr>
        <w:pStyle w:val="Heading2"/>
      </w:pPr>
      <w:r>
        <w:t>8.2 Centralised Model Comparison (Sub-Question 1)</w:t>
      </w:r>
    </w:p>
    <w:p>
      <w:r>
        <w:t>The dynamic GNN (GAT + GRU), Random Forest, and MLP were evaluated on the same test set. Table 7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rate (benign predicted as attack): GNN 0.00%; Random Forest 4.84% (187 false positives); MLP 0.10% (4 false positives). Figure 16 shows the confusion matrix for the Dynamic GNN. Figure 17 shows the ROC curve for the GNN. Figures 17 and 18 show confusion matrices for Random Forest and MLP. Figures 19 and 20 show ROC curves for RF and MLP. Figure 27 compares inference time and F1 across models.</w:t>
      </w:r>
    </w:p>
    <w:p>
      <w:r>
        <w:t>Table 7: Model comparison on CICIoT2023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r>
        <w:rPr>
          <w:i/>
        </w:rPr>
        <w:t>Source: Author-derived metrics on the fixed CICIoT2023 subset (Pinto et al. 2023); results/metrics/results_table.csv; reproducibility in Chapter 13. Decimal columns match the prose Key: lines above (e.g. RF F1 = 99.86% ↔ 0.9986).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3454"/>
                  <wp:docPr id="17" name="Picture 17"/>
                  <wp:cNvGraphicFramePr>
                    <a:graphicFrameLocks noChangeAspect="1"/>
                  </wp:cNvGraphicFramePr>
                  <a:graphic>
                    <a:graphicData uri="http://schemas.openxmlformats.org/drawingml/2006/picture">
                      <pic:pic>
                        <pic:nvPicPr>
                          <pic:cNvPr id="17" name="cm_gnn.png"/>
                          <pic:cNvPicPr/>
                        </pic:nvPicPr>
                        <pic:blipFill>
                          <a:blip r:embed="rId28"/>
                          <a:stretch>
                            <a:fillRect/>
                          </a:stretch>
                        </pic:blipFill>
                        <pic:spPr>
                          <a:xfrm>
                            <a:off x="0" y="0"/>
                            <a:ext cx="5029200" cy="4253454"/>
                          </a:xfrm>
                          <a:prstGeom prst="rect"/>
                        </pic:spPr>
                      </pic:pic>
                    </a:graphicData>
                  </a:graphic>
                </wp:inline>
              </w:drawing>
            </w:r>
          </w:p>
        </w:tc>
      </w:tr>
    </w:tbl>
    <w:p>
      <w:pPr>
        <w:pStyle w:val="Caption"/>
      </w:pPr>
      <w:r>
        <w:t>Figure 16: Confusion matrix for Dynamic GNN on test set (Chapter 8, Section 8.2)</w:t>
      </w:r>
    </w:p>
    <w:p>
      <w:r>
        <w:rPr>
          <w:i/>
        </w:rPr>
        <w:t>Source: Author’s own plot from test-set predictions;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18" name="Picture 18"/>
                  <wp:cNvGraphicFramePr>
                    <a:graphicFrameLocks noChangeAspect="1"/>
                  </wp:cNvGraphicFramePr>
                  <a:graphic>
                    <a:graphicData uri="http://schemas.openxmlformats.org/drawingml/2006/picture">
                      <pic:pic>
                        <pic:nvPicPr>
                          <pic:cNvPr id="18" name="roc_gnn.png"/>
                          <pic:cNvPicPr/>
                        </pic:nvPicPr>
                        <pic:blipFill>
                          <a:blip r:embed="rId29"/>
                          <a:stretch>
                            <a:fillRect/>
                          </a:stretch>
                        </pic:blipFill>
                        <pic:spPr>
                          <a:xfrm>
                            <a:off x="0" y="0"/>
                            <a:ext cx="5029200" cy="4160988"/>
                          </a:xfrm>
                          <a:prstGeom prst="rect"/>
                        </pic:spPr>
                      </pic:pic>
                    </a:graphicData>
                  </a:graphic>
                </wp:inline>
              </w:drawing>
            </w:r>
          </w:p>
        </w:tc>
      </w:tr>
    </w:tbl>
    <w:p>
      <w:pPr>
        <w:pStyle w:val="Caption"/>
      </w:pPr>
      <w:r>
        <w:t>Figure 17: ROC curve for Dynamic GNN on test set (Chapter 8, Section 8.2)</w:t>
      </w:r>
    </w:p>
    <w:p>
      <w:r>
        <w:rPr>
          <w:i/>
        </w:rPr>
        <w:t>Source: Author’s own plot from test-set scores;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19" name="Picture 19"/>
                  <wp:cNvGraphicFramePr>
                    <a:graphicFrameLocks noChangeAspect="1"/>
                  </wp:cNvGraphicFramePr>
                  <a:graphic>
                    <a:graphicData uri="http://schemas.openxmlformats.org/drawingml/2006/picture">
                      <pic:pic>
                        <pic:nvPicPr>
                          <pic:cNvPr id="19" name="cm_rf.png"/>
                          <pic:cNvPicPr/>
                        </pic:nvPicPr>
                        <pic:blipFill>
                          <a:blip r:embed="rId30"/>
                          <a:stretch>
                            <a:fillRect/>
                          </a:stretch>
                        </pic:blipFill>
                        <pic:spPr>
                          <a:xfrm>
                            <a:off x="0" y="0"/>
                            <a:ext cx="5029200" cy="4250676"/>
                          </a:xfrm>
                          <a:prstGeom prst="rect"/>
                        </pic:spPr>
                      </pic:pic>
                    </a:graphicData>
                  </a:graphic>
                </wp:inline>
              </w:drawing>
            </w:r>
          </w:p>
        </w:tc>
      </w:tr>
    </w:tbl>
    <w:p>
      <w:pPr>
        <w:pStyle w:val="Caption"/>
      </w:pPr>
      <w:r>
        <w:t>Figure 18: Confusion matrix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20" name="Picture 20"/>
                  <wp:cNvGraphicFramePr>
                    <a:graphicFrameLocks noChangeAspect="1"/>
                  </wp:cNvGraphicFramePr>
                  <a:graphic>
                    <a:graphicData uri="http://schemas.openxmlformats.org/drawingml/2006/picture">
                      <pic:pic>
                        <pic:nvPicPr>
                          <pic:cNvPr id="20" name="cm_mlp.png"/>
                          <pic:cNvPicPr/>
                        </pic:nvPicPr>
                        <pic:blipFill>
                          <a:blip r:embed="rId31"/>
                          <a:stretch>
                            <a:fillRect/>
                          </a:stretch>
                        </pic:blipFill>
                        <pic:spPr>
                          <a:xfrm>
                            <a:off x="0" y="0"/>
                            <a:ext cx="5029200" cy="4250676"/>
                          </a:xfrm>
                          <a:prstGeom prst="rect"/>
                        </pic:spPr>
                      </pic:pic>
                    </a:graphicData>
                  </a:graphic>
                </wp:inline>
              </w:drawing>
            </w:r>
          </w:p>
        </w:tc>
      </w:tr>
    </w:tbl>
    <w:p>
      <w:pPr>
        <w:pStyle w:val="Caption"/>
      </w:pPr>
      <w:r>
        <w:t>Figure 19: Confusion matrix for MLP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1" name="Picture 21"/>
                  <wp:cNvGraphicFramePr>
                    <a:graphicFrameLocks noChangeAspect="1"/>
                  </wp:cNvGraphicFramePr>
                  <a:graphic>
                    <a:graphicData uri="http://schemas.openxmlformats.org/drawingml/2006/picture">
                      <pic:pic>
                        <pic:nvPicPr>
                          <pic:cNvPr id="21" name="roc_rf.png"/>
                          <pic:cNvPicPr/>
                        </pic:nvPicPr>
                        <pic:blipFill>
                          <a:blip r:embed="rId32"/>
                          <a:stretch>
                            <a:fillRect/>
                          </a:stretch>
                        </pic:blipFill>
                        <pic:spPr>
                          <a:xfrm>
                            <a:off x="0" y="0"/>
                            <a:ext cx="5029200" cy="4160988"/>
                          </a:xfrm>
                          <a:prstGeom prst="rect"/>
                        </pic:spPr>
                      </pic:pic>
                    </a:graphicData>
                  </a:graphic>
                </wp:inline>
              </w:drawing>
            </w:r>
          </w:p>
        </w:tc>
      </w:tr>
    </w:tbl>
    <w:p>
      <w:pPr>
        <w:pStyle w:val="Caption"/>
      </w:pPr>
      <w:r>
        <w:t>Figure 20: ROC curve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2" name="Picture 22"/>
                  <wp:cNvGraphicFramePr>
                    <a:graphicFrameLocks noChangeAspect="1"/>
                  </wp:cNvGraphicFramePr>
                  <a:graphic>
                    <a:graphicData uri="http://schemas.openxmlformats.org/drawingml/2006/picture">
                      <pic:pic>
                        <pic:nvPicPr>
                          <pic:cNvPr id="22" name="roc_mlp.png"/>
                          <pic:cNvPicPr/>
                        </pic:nvPicPr>
                        <pic:blipFill>
                          <a:blip r:embed="rId33"/>
                          <a:stretch>
                            <a:fillRect/>
                          </a:stretch>
                        </pic:blipFill>
                        <pic:spPr>
                          <a:xfrm>
                            <a:off x="0" y="0"/>
                            <a:ext cx="5029200" cy="4160988"/>
                          </a:xfrm>
                          <a:prstGeom prst="rect"/>
                        </pic:spPr>
                      </pic:pic>
                    </a:graphicData>
                  </a:graphic>
                </wp:inline>
              </w:drawing>
            </w:r>
          </w:p>
        </w:tc>
      </w:tr>
    </w:tbl>
    <w:p>
      <w:pPr>
        <w:pStyle w:val="Caption"/>
      </w:pPr>
      <w:r>
        <w:t>Figure 21: ROC curve for MLP on test set (Chapter 8, Section 8.2)</w:t>
      </w:r>
    </w:p>
    <w:p>
      <w:r>
        <w:rPr>
          <w:i/>
        </w:rPr>
        <w:t>Source: Author’s own plot; baseline from scripts/run_all.py; data CICIoT2023 (Pinto et al. 2023).</w:t>
      </w:r>
    </w:p>
    <w:p>
      <w:r>
        <w:t>The confusion matrices (Figures 16, 18, and 19) report TP, TN, FP, and FN counts per model. Figure 16 shows zero FP and zero FN for the GNN on this test set. Figures 17 and 18 show 187 FP for Random Forest and 4 FP for MLP (benign predicted as attack). The ROC curves (Figures 17, 20, and 21) plot TPR vs. FPR across thresholds; reported ROC-AUC values are in Table 7. Implications for SOC triage and model choice are discussed in Chapter 9.</w:t>
      </w:r>
    </w:p>
    <w:p>
      <w:r>
        <w:t>Figure 22 plots precision, recall, and F1 for the four models with a zoomed 0.97-1.00 y-axis. Both GNN runs sit on the 1.0 ceiling on all three metrics; MLP has a visible recall gap at 0.9885 and RF sits at 0.998+ on every metric.</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632347"/>
                  <wp:docPr id="23" name="Picture 23"/>
                  <wp:cNvGraphicFramePr>
                    <a:graphicFrameLocks noChangeAspect="1"/>
                  </wp:cNvGraphicFramePr>
                  <a:graphic>
                    <a:graphicData uri="http://schemas.openxmlformats.org/drawingml/2006/picture">
                      <pic:pic>
                        <pic:nvPicPr>
                          <pic:cNvPr id="23" name="per_class_metrics.png"/>
                          <pic:cNvPicPr/>
                        </pic:nvPicPr>
                        <pic:blipFill>
                          <a:blip r:embed="rId34"/>
                          <a:stretch>
                            <a:fillRect/>
                          </a:stretch>
                        </pic:blipFill>
                        <pic:spPr>
                          <a:xfrm>
                            <a:off x="0" y="0"/>
                            <a:ext cx="5029200" cy="2632347"/>
                          </a:xfrm>
                          <a:prstGeom prst="rect"/>
                        </pic:spPr>
                      </pic:pic>
                    </a:graphicData>
                  </a:graphic>
                </wp:inline>
              </w:drawing>
            </w:r>
          </w:p>
        </w:tc>
      </w:tr>
    </w:tbl>
    <w:p>
      <w:pPr>
        <w:pStyle w:val="Caption"/>
      </w:pPr>
      <w:r>
        <w:t>Figure 22: Per-metric comparison across RF, MLP, Central GNN, and Federated GNN on the test set (Chapter 8, Section 8.2)</w:t>
      </w:r>
    </w:p>
    <w:p>
      <w:r>
        <w:rPr>
          <w:i/>
        </w:rPr>
        <w:t>Source: Author's own plot (scripts/generate_extra_result_figures.py); data from results/metrics/{rf,mlp,central_gnn,federated_gnn}_metrics.json.</w:t>
      </w:r>
    </w:p>
    <w:p>
      <w:pPr>
        <w:pStyle w:val="Heading2"/>
      </w:pPr>
      <w:r>
        <w:t>8.3 Federated Learning (Sub-Question 2)</w:t>
      </w:r>
    </w:p>
    <w:p>
      <w:r>
        <w:t>Federated training was run for 10 rounds with 3 clients and non-IID splits (Dirichlet alpha = 0.5). The global model was evaluated on the same central test set after each round. Table 8 lists precision, recall, F1, and ROC-AUC per round; Figure 23 plots F1 and ROC-AUC vs. round. Key (same numbers as Table 8): round 1 F1 = 98.3%, ROC-AUC = 55.7%; from round 2 ROC-AUC = 100.0%; F1 reaches 100.0% from round 7; round 6 ROC-AUC = 97.3% while F1 = 99.5%. The final round reports F1 = ROC-AUC = 100.0%, matching the centralised GNN on this test set.</w:t>
      </w:r>
    </w:p>
    <w:p>
      <w: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r>
        <w:t>Table 8: Federated learning round-by-round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r>
        <w:rPr>
          <w:i/>
        </w:rPr>
        <w:t>Source: Author-derived round metrics; Flower FedAvg run; results/metrics/ (see Chapter 13).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867906"/>
                  <wp:docPr id="24" name="Picture 24"/>
                  <wp:cNvGraphicFramePr>
                    <a:graphicFrameLocks noChangeAspect="1"/>
                  </wp:cNvGraphicFramePr>
                  <a:graphic>
                    <a:graphicData uri="http://schemas.openxmlformats.org/drawingml/2006/picture">
                      <pic:pic>
                        <pic:nvPicPr>
                          <pic:cNvPr id="24" name="fl_convergence.png"/>
                          <pic:cNvPicPr/>
                        </pic:nvPicPr>
                        <pic:blipFill>
                          <a:blip r:embed="rId35"/>
                          <a:stretch>
                            <a:fillRect/>
                          </a:stretch>
                        </pic:blipFill>
                        <pic:spPr>
                          <a:xfrm>
                            <a:off x="0" y="0"/>
                            <a:ext cx="5029200" cy="1867906"/>
                          </a:xfrm>
                          <a:prstGeom prst="rect"/>
                        </pic:spPr>
                      </pic:pic>
                    </a:graphicData>
                  </a:graphic>
                </wp:inline>
              </w:drawing>
            </w:r>
          </w:p>
        </w:tc>
      </w:tr>
    </w:tbl>
    <w:p>
      <w:pPr>
        <w:pStyle w:val="Caption"/>
      </w:pPr>
      <w:r>
        <w:t>Figure 23: Federated learning convergence (F1 and ROC-AUC vs. round) (Chapter 8, Section 8.3)</w:t>
      </w:r>
    </w:p>
    <w:p>
      <w:r>
        <w:rPr>
          <w:i/>
        </w:rPr>
        <w:t>Source: Author’s own plot; scripts/generate_alerts_and_plots.py / federated training logs; data CICIoT2023 (Pinto et al. 2023).</w:t>
      </w:r>
    </w:p>
    <w:p>
      <w:r>
        <w:t>Figure 24 is the federated GNN confusion matrix on the same test set after the final FedAvg round. Both off-diagonal cells are zero, mirroring the central GNN result (Figure 16) and answering Sub-Question 2 visually: federated training under three non-IID Flower clients reaches the same per-class outcome as centralised training.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15091"/>
                  <wp:docPr id="25" name="Picture 25"/>
                  <wp:cNvGraphicFramePr>
                    <a:graphicFrameLocks noChangeAspect="1"/>
                  </wp:cNvGraphicFramePr>
                  <a:graphic>
                    <a:graphicData uri="http://schemas.openxmlformats.org/drawingml/2006/picture">
                      <pic:pic>
                        <pic:nvPicPr>
                          <pic:cNvPr id="25" name="cm_federated_gnn.png"/>
                          <pic:cNvPicPr/>
                        </pic:nvPicPr>
                        <pic:blipFill>
                          <a:blip r:embed="rId36"/>
                          <a:stretch>
                            <a:fillRect/>
                          </a:stretch>
                        </pic:blipFill>
                        <pic:spPr>
                          <a:xfrm>
                            <a:off x="0" y="0"/>
                            <a:ext cx="5029200" cy="4115091"/>
                          </a:xfrm>
                          <a:prstGeom prst="rect"/>
                        </pic:spPr>
                      </pic:pic>
                    </a:graphicData>
                  </a:graphic>
                </wp:inline>
              </w:drawing>
            </w:r>
          </w:p>
        </w:tc>
      </w:tr>
    </w:tbl>
    <w:p>
      <w:pPr>
        <w:pStyle w:val="Caption"/>
      </w:pPr>
      <w:r>
        <w:t>Figure 24: Confusion matrix of the federated GNN (Flower FedAvg, 3 clients, 10 rounds) on the test set (Chapter 8, Section 8.3)</w:t>
      </w:r>
    </w:p>
    <w:p>
      <w:r>
        <w:rPr>
          <w:i/>
        </w:rPr>
        <w:t>Source: Author’s own plot (scripts/generate_extra_result_figures.py); reconstructed from results/metrics/federated_gnn_metrics.json and the test-split sequence count in results/metrics/dataset_stats.json.</w:t>
      </w:r>
    </w:p>
    <w:p>
      <w:r>
        <w:t>Figure 25 shows the communication cost behind those metrics: ~3.07 MB per round across the three clients, cumulating to ~31 MB over ten rounds, supporting the deployment-feasibility claim in Section 9.6.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7558"/>
                  <wp:docPr id="26" name="Picture 26"/>
                  <wp:cNvGraphicFramePr>
                    <a:graphicFrameLocks noChangeAspect="1"/>
                  </wp:cNvGraphicFramePr>
                  <a:graphic>
                    <a:graphicData uri="http://schemas.openxmlformats.org/drawingml/2006/picture">
                      <pic:pic>
                        <pic:nvPicPr>
                          <pic:cNvPr id="26" name="comm_cost.png"/>
                          <pic:cNvPicPr/>
                        </pic:nvPicPr>
                        <pic:blipFill>
                          <a:blip r:embed="rId37"/>
                          <a:stretch>
                            <a:fillRect/>
                          </a:stretch>
                        </pic:blipFill>
                        <pic:spPr>
                          <a:xfrm>
                            <a:off x="0" y="0"/>
                            <a:ext cx="5029200" cy="3317558"/>
                          </a:xfrm>
                          <a:prstGeom prst="rect"/>
                        </pic:spPr>
                      </pic:pic>
                    </a:graphicData>
                  </a:graphic>
                </wp:inline>
              </w:drawing>
            </w:r>
          </w:p>
        </w:tc>
      </w:tr>
    </w:tbl>
    <w:p>
      <w:pPr>
        <w:pStyle w:val="Caption"/>
      </w:pPr>
      <w:r>
        <w:t>Figure 25: Federated learning communication cost  -  per round (bars) and cumulative (line) (Chapter 8, Section 8.3)</w:t>
      </w:r>
    </w:p>
    <w:p>
      <w:r>
        <w:rPr>
          <w:i/>
        </w:rPr>
        <w:t>Source: Author’s own plot (scripts/generate_alerts_and_plots.py); data from results/metrics/fl_rounds.json (comm_bytes).</w:t>
      </w:r>
    </w:p>
    <w:p>
      <w:pPr>
        <w:pStyle w:val="Heading3"/>
      </w:pPr>
      <w:r>
        <w:t>8.3.1 What Federated Learning Produced (Reading the Curves and the Table)</w:t>
      </w:r>
    </w:p>
    <w:p>
      <w:r>
        <w:t>Round 1 reaches Recall = 100.0% and F1 = 98.3% but ROC-AUC = 55.7%, indicating poor score ranking early. From round 2 ROC-AUC = 100.0%, and F1 reaches 100.0% from round 7. Round 6 shows a small dip to ROC-AUC = 97.3% while F1 stays at 99.5% (a wobble rather than a collapse, consistent with non-IID FedAvg noise discussed in Chapter 9). The federated checkpoint matches the central GNN on the reported test metrics.</w:t>
      </w:r>
    </w:p>
    <w:p>
      <w:pPr>
        <w:pStyle w:val="Heading2"/>
      </w:pPr>
      <w:r>
        <w:t>8.4 Central GNN Training Convergence</w:t>
      </w:r>
    </w:p>
    <w:p>
      <w:r>
        <w:t>The centralised Dynamic GNN was trained for 6 epochs (with early-stopping configured in the training script). Table 9 lists train loss and validation F1 / ROC-AUC per epoch (results/metrics/gnn_training_history.json). Validation F1 = ROC-AUC = 100.0% from epoch 1 onward on this run; train loss falls from 0.484 to 0.0001 by epoch 4 and stays there through epoch 6.</w:t>
      </w:r>
    </w:p>
    <w:p>
      <w:r>
        <w:t>Table 9: Central GNN training history (loss and validation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r>
        <w:rPr>
          <w:i/>
        </w:rPr>
        <w:t>Source: results/metrics/gnn_training_history.json; central GNN training run (scripts/run_all.py).</w:t>
      </w:r>
    </w:p>
    <w:p>
      <w:r>
        <w:t>Figure 26 plots the training-loss column on a log y-axis. Loss falls from ~4.8 × 10⁻¹ at epoch 1 to ~1 × 10⁻⁴ by epoch 4, then plateaus. Combined with validation F1 = 1.0 from epoch 1, the curve supports the choice of 6 epochs as a sufficient training budget.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5674"/>
                  <wp:docPr id="27" name="Picture 27"/>
                  <wp:cNvGraphicFramePr>
                    <a:graphicFrameLocks noChangeAspect="1"/>
                  </wp:cNvGraphicFramePr>
                  <a:graphic>
                    <a:graphicData uri="http://schemas.openxmlformats.org/drawingml/2006/picture">
                      <pic:pic>
                        <pic:nvPicPr>
                          <pic:cNvPr id="27" name="training_loss.png"/>
                          <pic:cNvPicPr/>
                        </pic:nvPicPr>
                        <pic:blipFill>
                          <a:blip r:embed="rId38"/>
                          <a:stretch>
                            <a:fillRect/>
                          </a:stretch>
                        </pic:blipFill>
                        <pic:spPr>
                          <a:xfrm>
                            <a:off x="0" y="0"/>
                            <a:ext cx="5029200" cy="3315674"/>
                          </a:xfrm>
                          <a:prstGeom prst="rect"/>
                        </pic:spPr>
                      </pic:pic>
                    </a:graphicData>
                  </a:graphic>
                </wp:inline>
              </w:drawing>
            </w:r>
          </w:p>
        </w:tc>
      </w:tr>
    </w:tbl>
    <w:p>
      <w:pPr>
        <w:pStyle w:val="Caption"/>
      </w:pPr>
      <w:r>
        <w:t>Figure 26: Central GNN training loss across six epochs (log scale) (Chapter 8, Section 8.4)</w:t>
      </w:r>
    </w:p>
    <w:p>
      <w:r>
        <w:rPr>
          <w:i/>
        </w:rPr>
        <w:t>Source: Author's own plot (scripts/generate_alerts_and_plots.py); data from results/metrics/gnn_training_history.json (train_loss).</w:t>
      </w:r>
    </w:p>
    <w:p>
      <w:pPr>
        <w:pStyle w:val="Heading2"/>
      </w:pPr>
      <w:r>
        <w:t>8.5 Time-Window and CPU Inference (Sub-Question 2 and Deployment)</w:t>
      </w:r>
    </w:p>
    <w:p>
      <w:r>
        <w:t>CPU inference times (reported in Table 7): Random Forest 46.09 ms per sample; MLP 0.66 ms; central GNN 22.70 ms; federated GNN 20.99 ms (GNN times are per sequence of 5 graph windows). Figure 27 compares F1 and inference time across models.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11211"/>
                  <wp:docPr id="28" name="Picture 28"/>
                  <wp:cNvGraphicFramePr>
                    <a:graphicFrameLocks noChangeAspect="1"/>
                  </wp:cNvGraphicFramePr>
                  <a:graphic>
                    <a:graphicData uri="http://schemas.openxmlformats.org/drawingml/2006/picture">
                      <pic:pic>
                        <pic:nvPicPr>
                          <pic:cNvPr id="28" name="model_comparison.png"/>
                          <pic:cNvPicPr/>
                        </pic:nvPicPr>
                        <pic:blipFill>
                          <a:blip r:embed="rId39"/>
                          <a:stretch>
                            <a:fillRect/>
                          </a:stretch>
                        </pic:blipFill>
                        <pic:spPr>
                          <a:xfrm>
                            <a:off x="0" y="0"/>
                            <a:ext cx="5029200" cy="1911211"/>
                          </a:xfrm>
                          <a:prstGeom prst="rect"/>
                        </pic:spPr>
                      </pic:pic>
                    </a:graphicData>
                  </a:graphic>
                </wp:inline>
              </w:drawing>
            </w:r>
          </w:p>
        </w:tc>
      </w:tr>
    </w:tbl>
    <w:p>
      <w:pPr>
        <w:pStyle w:val="Caption"/>
      </w:pPr>
      <w:r>
        <w:t>Figure 27: Model comparison  -  inference time and F1-score (Chapter 8, Section 8.5)</w:t>
      </w:r>
    </w:p>
    <w:p>
      <w:r>
        <w:rPr>
          <w:i/>
        </w:rPr>
        <w:t>Source: Author’s own plot; metrics from Table 7 and inference timings in results/metrics/; scripts/generate_alerts_and_plots.py.</w:t>
      </w:r>
    </w:p>
    <w:p>
      <w:pPr>
        <w:pStyle w:val="Heading2"/>
      </w:pPr>
      <w:r>
        <w:t>8.6 Example Alerts with Explanations (Sub-Question 3)</w:t>
      </w:r>
    </w:p>
    <w:p>
      <w: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r>
        <w:t>Example 1 (True negative): Predicted benign; score 0.163 (low severity). Top features: Variance, Std, rst_count, Duration, AVG (Integrated Gradients magnitudes as in example_alerts.json).</w:t>
      </w:r>
    </w:p>
    <w:p>
      <w:r>
        <w:t>Example 2 (True positive): Predicted malicious; score 0.997. Top features: psh_flag_number, ICMP, rst_flag_number.</w:t>
      </w:r>
    </w:p>
    <w:p>
      <w:r>
        <w:t>Example 3 (True positive): Predicted malicious; score 0.996. Top features: rst_flag_number, ICMP, Protocol Type.</w:t>
      </w:r>
    </w:p>
    <w:p>
      <w:r>
        <w:t>Example 4 (False positive): Benign labelled as malicious; score 0.711 (medium). Top features: Variance, rst_count.</w:t>
      </w:r>
    </w:p>
    <w:p>
      <w:r>
        <w:t>Example 5 (False positive): Benign labelled as malicious; score 0.945. Top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10 summarises the results. To reproduce the ablation, run: python scripts/run_ablation.py --config config/experiment.yaml; results are saved to results/metrics/ablation_gat_only.json and results/metrics/ablation_table.csv.</w:t>
      </w:r>
    </w:p>
    <w:p>
      <w:r>
        <w:t>Table 10: Ablation on CICIoT2023 test set (centralised GNN variants)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r>
        <w:rPr>
          <w:i/>
        </w:rPr>
        <w:t>Source: results/metrics/ablation_table.csv; scripts/run_ablation.py; test split CICIoT2023 (Pinto et al. 2023).</w:t>
      </w:r>
    </w:p>
    <w:p>
      <w:r>
        <w:t>Numeric summary (same as Table 10): full (GAT + GRU)  -  Precision = Recall = F1 = ROC-AUC = 100.00%, inference 22.70 ms; GAT-only (mean pool over windows)  -  Precision = 99.23%, Recall = 100.00%, F1 = 99.61%, ROC-AUC = 100.00%, inference 16.06 ms.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27368"/>
                  <wp:docPr id="29" name="Picture 29"/>
                  <wp:cNvGraphicFramePr>
                    <a:graphicFrameLocks noChangeAspect="1"/>
                  </wp:cNvGraphicFramePr>
                  <a:graphic>
                    <a:graphicData uri="http://schemas.openxmlformats.org/drawingml/2006/picture">
                      <pic:pic>
                        <pic:nvPicPr>
                          <pic:cNvPr id="29" name="ablation_bar.png"/>
                          <pic:cNvPicPr/>
                        </pic:nvPicPr>
                        <pic:blipFill>
                          <a:blip r:embed="rId40"/>
                          <a:stretch>
                            <a:fillRect/>
                          </a:stretch>
                        </pic:blipFill>
                        <pic:spPr>
                          <a:xfrm>
                            <a:off x="0" y="0"/>
                            <a:ext cx="5029200" cy="2227368"/>
                          </a:xfrm>
                          <a:prstGeom prst="rect"/>
                        </pic:spPr>
                      </pic:pic>
                    </a:graphicData>
                  </a:graphic>
                </wp:inline>
              </w:drawing>
            </w:r>
          </w:p>
        </w:tc>
      </w:tr>
    </w:tbl>
    <w:p>
      <w:pPr>
        <w:pStyle w:val="Caption"/>
      </w:pPr>
      <w:r>
        <w:t>Figure 28: Ablation comparison  -  full GAT+GRU vs. GAT-only (F1 and inference time) (Chapter 8, Section 8.7)</w:t>
      </w:r>
    </w:p>
    <w:p>
      <w:r>
        <w:rPr>
          <w:i/>
        </w:rPr>
        <w:t>Source: Author’s own plot; results/metrics/ablation_table.csv; scripts/run_ablation.py.</w:t>
      </w:r>
    </w:p>
    <w:p>
      <w:r>
        <w:t>Interpretation of the temporal (GRU) vs. pooling trade-off is in Section 9.3 and Section 9.6.</w:t>
      </w:r>
    </w:p>
    <w:p>
      <w:pPr>
        <w:pStyle w:val="Heading2"/>
      </w:pPr>
      <w:r>
        <w:t>8.8 Sensitivity Analysis (Stability of Design Choices)</w:t>
      </w:r>
    </w:p>
    <w:p>
      <w: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scripts/run_sensitivity_and_seeds.py).</w:t>
      </w:r>
    </w:p>
    <w:p>
      <w:r>
        <w:t>Table 11: Sensitivity analysis  -  central GNN on test set (nine configurations)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r>
        <w:rPr>
          <w:i/>
        </w:rPr>
        <w:t>Source: results/metrics/sensitivity_table.csv; scripts/run_sensitivity_and_seeds.py; test split CICIoT2023 (Pinto et al. 2023).</w:t>
      </w:r>
    </w:p>
    <w:p>
      <w:r>
        <w:t>Grid interpretation is in Section 9.3.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74041"/>
                  <wp:docPr id="30" name="Picture 30"/>
                  <wp:cNvGraphicFramePr>
                    <a:graphicFrameLocks noChangeAspect="1"/>
                  </wp:cNvGraphicFramePr>
                  <a:graphic>
                    <a:graphicData uri="http://schemas.openxmlformats.org/drawingml/2006/picture">
                      <pic:pic>
                        <pic:nvPicPr>
                          <pic:cNvPr id="30" name="sensitivity.png"/>
                          <pic:cNvPicPr/>
                        </pic:nvPicPr>
                        <pic:blipFill>
                          <a:blip r:embed="rId41"/>
                          <a:stretch>
                            <a:fillRect/>
                          </a:stretch>
                        </pic:blipFill>
                        <pic:spPr>
                          <a:xfrm>
                            <a:off x="0" y="0"/>
                            <a:ext cx="5029200" cy="2174041"/>
                          </a:xfrm>
                          <a:prstGeom prst="rect"/>
                        </pic:spPr>
                      </pic:pic>
                    </a:graphicData>
                  </a:graphic>
                </wp:inline>
              </w:drawing>
            </w:r>
          </w:p>
        </w:tc>
      </w:tr>
    </w:tbl>
    <w:p>
      <w:pPr>
        <w:pStyle w:val="Caption"/>
      </w:pPr>
      <w:r>
        <w:t>Figure 29: Sensitivity of test F1 and ROC-AUC to window size and kNN k (Chapter 8, Section 8.8)</w:t>
      </w:r>
    </w:p>
    <w:p>
      <w:r>
        <w:rPr>
          <w:i/>
        </w:rPr>
        <w:t>Source: Author’s own plot; results/metrics/sensitivity_table.csv; scripts/run_sensitivity_and_seeds.py.</w:t>
      </w:r>
    </w:p>
    <w:p>
      <w:pPr>
        <w:pStyle w:val="Heading2"/>
      </w:pPr>
      <w:r>
        <w:t>8.9 Multi-Seed Stability</w:t>
      </w:r>
    </w:p>
    <w:p>
      <w:r>
        <w:t>To check that the central GNN result is not an accident of one random seed, the same training and evaluation procedure was repeated with seeds 42, 123, and 456 (other config unchanged). Summary statistics are in results/metrics/multi_seed_summary.json.</w:t>
      </w:r>
    </w:p>
    <w:p>
      <w:r>
        <w:t>Table 12: Multi-seed summary (central GNN,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r>
        <w:rPr>
          <w:i/>
        </w:rPr>
        <w:t>Source: results/metrics/multi_seed_summary.json; scripts/run_sensitivity_and_seeds.py; test split CICIoT2023 (Pinto et al. 2023).</w:t>
      </w:r>
    </w:p>
    <w:p>
      <w:r>
        <w:t>Table 12 reports mean F1 = 100.0%, mean ROC-AUC = 100.0%, and zero standard deviation on this test split for all three seeds. Per-seed inference times in the raw logs vary with CPU timing; the headline ~22.7 ms deployment figure is from the primary seed 42 run (Table 7). What this implies for generalisation is discussed in Chapter 9.</w:t>
      </w:r>
    </w:p>
    <w:p>
      <w:pPr>
        <w:pStyle w:val="Heading2"/>
      </w:pPr>
      <w:r>
        <w:t>8.10 Comparison with Prior Work on CICIoT2023</w:t>
      </w:r>
    </w:p>
    <w:p>
      <w:r>
        <w:t>The UWS guideline asks results to be compared with significant existing works where applicable. Table 13 places the headline numbers from this dissertation alongside reported metrics from three peer-reviewed studies that also evaluate machine-learning intrusion detection on CICIoT2023 or directly comparable IoT flow benchmarks. The comparison is reported as headline F1 (or accuracy where F1 is not given), with the architectural family of each system. Numbers are taken from the cited papers; experimental setups differ across studies (binary vs. multi-class, sampling strategy, hardware), so the table is for scope-positioning rather than direct ranking.</w:t>
      </w:r>
    </w:p>
    <w:p>
      <w:r>
        <w:t>Table 13: Headline metrics  -  this dissertation vs. prior work on CICIoT2023 and adjacent IoT flow benchmarks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Architectural family</w:t>
            </w:r>
          </w:p>
        </w:tc>
        <w:tc>
          <w:tcPr>
            <w:tcW w:type="dxa" w:w="1500"/>
          </w:tcPr>
          <w:p>
            <w:pPr>
              <w:spacing w:line="240" w:lineRule="auto"/>
            </w:pPr>
            <w:r>
              <w:rPr>
                <w:rFonts w:ascii="Times New Roman" w:hAnsi="Times New Roman"/>
                <w:sz w:val="22"/>
              </w:rPr>
              <w:t>Federated</w:t>
            </w:r>
          </w:p>
        </w:tc>
        <w:tc>
          <w:tcPr>
            <w:tcW w:type="dxa" w:w="1500"/>
          </w:tcPr>
          <w:p>
            <w:pPr>
              <w:spacing w:line="240" w:lineRule="auto"/>
            </w:pPr>
            <w:r>
              <w:rPr>
                <w:rFonts w:ascii="Times New Roman" w:hAnsi="Times New Roman"/>
                <w:sz w:val="22"/>
              </w:rPr>
              <w:t>Explainable</w:t>
            </w:r>
          </w:p>
        </w:tc>
        <w:tc>
          <w:tcPr>
            <w:tcW w:type="dxa" w:w="1500"/>
          </w:tcPr>
          <w:p>
            <w:pPr>
              <w:spacing w:line="240" w:lineRule="auto"/>
            </w:pPr>
            <w:r>
              <w:rPr>
                <w:rFonts w:ascii="Times New Roman" w:hAnsi="Times New Roman"/>
                <w:sz w:val="22"/>
              </w:rPr>
              <w:t>SIEM-shaped output</w:t>
            </w:r>
          </w:p>
        </w:tc>
        <w:tc>
          <w:tcPr>
            <w:tcW w:type="dxa" w:w="1500"/>
          </w:tcPr>
          <w:p>
            <w:pPr>
              <w:spacing w:line="240" w:lineRule="auto"/>
            </w:pPr>
            <w:r>
              <w:rPr>
                <w:rFonts w:ascii="Times New Roman" w:hAnsi="Times New Roman"/>
                <w:sz w:val="22"/>
              </w:rPr>
              <w:t>Headline metric (binary)</w:t>
            </w:r>
          </w:p>
        </w:tc>
      </w:tr>
      <w:tr>
        <w:tc>
          <w:tcPr>
            <w:tcW w:type="dxa" w:w="1500"/>
          </w:tcPr>
          <w:p>
            <w:pPr>
              <w:spacing w:line="240" w:lineRule="auto"/>
            </w:pPr>
            <w:r>
              <w:rPr>
                <w:rFonts w:ascii="Times New Roman" w:hAnsi="Times New Roman"/>
                <w:sz w:val="22"/>
              </w:rPr>
              <w:t>(Pinto et al. 2023)  -  dataset paper</w:t>
            </w:r>
          </w:p>
        </w:tc>
        <w:tc>
          <w:tcPr>
            <w:tcW w:type="dxa" w:w="1500"/>
          </w:tcPr>
          <w:p>
            <w:pPr>
              <w:spacing w:line="240" w:lineRule="auto"/>
            </w:pPr>
            <w:r>
              <w:rPr>
                <w:rFonts w:ascii="Times New Roman" w:hAnsi="Times New Roman"/>
                <w:sz w:val="22"/>
              </w:rPr>
              <w:t>RF / DNN baselines on CICIoT2023</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RF accuracy ~99% (binary) on full corpus</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MLP under FedAvg, IoT IDS</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Reported F1 in the upper-90% range under non-IID FedAvg</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FL IDS for IoT, scaling study</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Strong FL accuracy on IoT IDS at varying client counts</w:t>
            </w:r>
          </w:p>
        </w:tc>
      </w:tr>
      <w:tr>
        <w:tc>
          <w:tcPr>
            <w:tcW w:type="dxa" w:w="1500"/>
          </w:tcPr>
          <w:p>
            <w:pPr>
              <w:spacing w:line="240" w:lineRule="auto"/>
            </w:pPr>
            <w:r>
              <w:rPr>
                <w:rFonts w:ascii="Times New Roman" w:hAnsi="Times New Roman"/>
                <w:sz w:val="22"/>
              </w:rPr>
              <w:t>This dissertation</w:t>
            </w:r>
          </w:p>
        </w:tc>
        <w:tc>
          <w:tcPr>
            <w:tcW w:type="dxa" w:w="1500"/>
          </w:tcPr>
          <w:p>
            <w:pPr>
              <w:spacing w:line="240" w:lineRule="auto"/>
            </w:pPr>
            <w:r>
              <w:rPr>
                <w:rFonts w:ascii="Times New Roman" w:hAnsi="Times New Roman"/>
                <w:sz w:val="22"/>
              </w:rPr>
              <w:t>Dynamic GNN (GAT + GRU)</w:t>
            </w:r>
          </w:p>
        </w:tc>
        <w:tc>
          <w:tcPr>
            <w:tcW w:type="dxa" w:w="1500"/>
          </w:tcPr>
          <w:p>
            <w:pPr>
              <w:spacing w:line="240" w:lineRule="auto"/>
            </w:pPr>
            <w:r>
              <w:rPr>
                <w:rFonts w:ascii="Times New Roman" w:hAnsi="Times New Roman"/>
                <w:sz w:val="22"/>
              </w:rPr>
              <w:t>Yes (Flower FedAvg, 3 clients, non-IID)</w:t>
            </w:r>
          </w:p>
        </w:tc>
        <w:tc>
          <w:tcPr>
            <w:tcW w:type="dxa" w:w="1500"/>
          </w:tcPr>
          <w:p>
            <w:pPr>
              <w:spacing w:line="240" w:lineRule="auto"/>
            </w:pPr>
            <w:r>
              <w:rPr>
                <w:rFonts w:ascii="Times New Roman" w:hAnsi="Times New Roman"/>
                <w:sz w:val="22"/>
              </w:rPr>
              <w:t>Yes (Captum IG + GAT attention)</w:t>
            </w:r>
          </w:p>
        </w:tc>
        <w:tc>
          <w:tcPr>
            <w:tcW w:type="dxa" w:w="1500"/>
          </w:tcPr>
          <w:p>
            <w:pPr>
              <w:spacing w:line="240" w:lineRule="auto"/>
            </w:pPr>
            <w:r>
              <w:rPr>
                <w:rFonts w:ascii="Times New Roman" w:hAnsi="Times New Roman"/>
                <w:sz w:val="22"/>
              </w:rPr>
              <w:t>Yes (ECS-like JSON via FastAPI)</w:t>
            </w:r>
          </w:p>
        </w:tc>
        <w:tc>
          <w:tcPr>
            <w:tcW w:type="dxa" w:w="1500"/>
          </w:tcPr>
          <w:p>
            <w:pPr>
              <w:spacing w:line="240" w:lineRule="auto"/>
            </w:pPr>
            <w:r>
              <w:rPr>
                <w:rFonts w:ascii="Times New Roman" w:hAnsi="Times New Roman"/>
                <w:sz w:val="22"/>
              </w:rPr>
              <w:t>F1 = ROC-AUC = 100.0% on the fixed CICIoT2023 subset (Table 7)</w:t>
            </w:r>
          </w:p>
        </w:tc>
      </w:tr>
    </w:tbl>
    <w:p>
      <w:r>
        <w:rPr>
          <w:i/>
        </w:rPr>
        <w:t>Source: this dissertation; cited works in Chapter 11. All percentages are from the stated test sets in each paper; underlying subsets and protocols differ and are documented in the cited references.</w:t>
      </w:r>
    </w:p>
    <w:p>
      <w:r>
        <w:t>The cross-study reading reinforces the gap stated in Section 2.8: prior work covers detection accuracy and federated training separately; this dissertation's contribution is the integration of dynamic graph modelling, federated training, explainability, and SIEM-shaped output into one CPU-oriented prototype. Headline metrics here are subset-specific and discussed in Section 9.4.</w:t>
      </w:r>
    </w:p>
    <w:p>
      <w:pPr>
        <w:pStyle w:val="Heading2"/>
      </w:pPr>
      <w:r>
        <w:t>8.11 Chapter Summary</w:t>
      </w:r>
    </w:p>
    <w:p>
      <w: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r>
        <w:t>This chapter interprets the results, relates findings to the literature, and summarises what the project achieved within its scope. It also records limitations and implications for SOC/edge deployment. Section 9.2 provides a conclusion, followed by discussion in Sections 9.3–9.10.</w:t>
      </w:r>
    </w:p>
    <w:p>
      <w:pPr>
        <w:pStyle w:val="Heading2"/>
      </w:pPr>
      <w:r>
        <w:t>9.2 Structured Conclusion (Programme Format)</w:t>
      </w:r>
    </w:p>
    <w:p>
      <w:r>
        <w:t>This dissertation addressed SOC-oriented, CPU-edge intrusion detection for Software-Defined IoT flow telemetry, where analysts need accurate models, privacy-preserving training where raw flows cannot be pooled, and explainable outputs that fit SIEM-style workflows. The work is grounded in CICIoT2023 and in prior literature that often treats GNNs, federated learning, and XAI as separate tracks, not one deployable path.</w:t>
      </w:r>
    </w:p>
    <w:p>
      <w:r>
        <w:t>The main outcome is an end-to-end prototype: kNN feature-similarity graphs over windowed flows, a dynamic GNN (GAT + GRU), Flower FedAvg with three clients, Captum attributions and attention cues folded into ECS-like JSON via FastAPI. On the fixed subset and splits documented in Chapters 7-8, the central and federated GNN matched strong RF and MLP baselines on headline accuracy while reporting fewer false alarms on the test split, sub-23 ms CPU inference per sequence, and modest federated communication over ten rounds. The evidence is supported by ablation, sensitivity, and multi-seed checks.</w:t>
      </w:r>
    </w:p>
    <w:p>
      <w:r>
        <w:t>Limitations are explicit: a 45-day MSc scope, a subset of a lab dataset, small federated topology, no formal SOC user study, and headline 100% metrics that are subset-specific rather than universal.</w:t>
      </w:r>
    </w:p>
    <w:p>
      <w:r>
        <w:t>Outlook: scaling data and clients, live-traffic validation, analyst-facing evaluation, tighter SIEM integration, and publication-oriented breakdowns (per attack type, stronger heterogeneity) are the natural next steps; they are expanded in Section 9.9. Together, the chapters show that the research questions are answered for a documented prototype, with honest limits and a clear path beyond the thesis.</w:t>
      </w:r>
    </w:p>
    <w:p>
      <w:pPr>
        <w:pStyle w:val="Heading2"/>
      </w:pPr>
      <w:r>
        <w:t>9.3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Chapter 8.</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8.7): The full model (GAT + GRU) reaches F1 = 1.0 and zero false positives on the test set, while GAT-only (mean pooling over windows) reaches F1 = 0.9961 with precision 0.9923  -  a small but clear gap. That supports keeping the GRU for temporal evolution rather than only pooling static window embeddings. The bar chart (Figure 28) also shows the latency trade-off (GAT-only is faster).</w:t>
      </w:r>
    </w:p>
    <w:p>
      <w:r>
        <w:t>Sensitivity (Section 8.8): Across the nine (window, k) settings, F1 ranges from 0.9961 to 1.0000 and ROC-AUC from 0.9895 to 1.0000. Performance is strong everywhere, but not identical: (50, 3) matches the GAT-only ablation on F1 (0.9961), which is consistent with a sparser graph (smaller k) shifting decision boundaries under the same training budget. The chosen default (50, 5) sits with F1 = ROC-AUC = 1.0 and inference ~17 ms in this grid. Several other cells also reach F1 = 1.0 (e.g. all three settings at window 30; (50, 7); (70, 7)). Pairs (70, 3) and (70, 5) show the largest ROC-AUC dips (~0.99–0.995) while recall stays 1.0  -  a reminder to revalidate window length and k if the data distribution changes. Overall, (50, 5) is well supported: full F1/AUC together with reasonable latency; Figure 29 makes the pattern visible at a glance.</w:t>
      </w:r>
    </w:p>
    <w:p>
      <w:r>
        <w:t>Multi-seed (Section 8.9): Three seeds gave identical headline test metrics (F1 and AUC 1.0, zero false positives). That increases confidence that the main result is not a one-off random initialisation, though it does not remove dataset-specific optimism.</w:t>
      </w:r>
    </w:p>
    <w:p>
      <w:pPr>
        <w:pStyle w:val="Heading2"/>
      </w:pPr>
      <w:r>
        <w:t>9.4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Results are reported on a time-boxed MSc prototype and a subset of CICIoT2023, so generalisation beyond this benchmark is not guaranteed. The kNN graph is built from feature similarity (a proxy for structure when topology identifiers are absent); topology-based graphs may be preferable when device identifiers are available. Federated learning is demonstrated with a small simulation (3 clients, 10 rounds) rather than a large deployment. Explainability is evaluated through a small number of example alerts and supervisor/author judgement; a formal analyst study would strengthen the SOC-utility claim. Finally, the lab nature of CICIoT2023 and very high headline metrics on this split should be read as subset-specific rather than universal.</w:t>
      </w:r>
    </w:p>
    <w:p>
      <w:pPr>
        <w:pStyle w:val="Heading2"/>
      </w:pPr>
      <w:r>
        <w:t>9.5 Use of University and Course Materials</w:t>
      </w:r>
    </w:p>
    <w:p>
      <w:r>
        <w:t>This project drew on UWS programme materials and supervision throughout. COMP11023 Research Methods and Design shaped the design-science framing in Chapter 4 and the test-contract reasoning in Chapter 7; COMP11024 Master's Project set the report structure, milestone timing, and the supervisor / moderator review pattern in Section 3.7; the MSc Project Handbook 2025–26 and the Updated Guideline for Final Report provided the chapter list, marking weights, and front-matter requirements. The UWS Library Harvard libguide was the source for the citation style in Chapter 11 and the library's databases supported the literature search in Chapter 2. Dr Raja Ujjan (supervisor) provided weekly technical guidance and reviewed interim drafts; Muhsin Hassanu (moderator) reviewed the interim submission; Dr Daune West supported programme-level milestones.</w:t>
      </w:r>
    </w:p>
    <w:p>
      <w:pPr>
        <w:pStyle w:val="Heading2"/>
      </w:pPr>
      <w:r>
        <w:t>9.6 Practical Implications</w:t>
      </w:r>
    </w:p>
    <w:p>
      <w:r>
        <w:t>The results have several practical implications for SOC and edge deployment. First, the Dynamic GNN's zero false positive rate on this test set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in the primary run)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w:t>
      </w:r>
    </w:p>
    <w:p>
      <w:r>
        <w:t>The ablation (Section 8.7), sensitivity grid (Section 8.8), and multi-seed runs (Section 8.9) together act as the kind of stability evidence reviewers expect: not only headline accuracy but evidence that the architecture is shaped intentionally and that the numbers are not fragile to reasonable hyperparameter shifts. In practice, adoption would be phased  -  passive monitoring alongside the existing SOC workflow first, then assisted triage where explanation fields are used to prioritise analyst queues while escalation stays human-controlled  -  with periodic metric review and re-training windows to handle traffic drift.</w:t>
      </w:r>
    </w:p>
    <w:p>
      <w:r>
        <w:t>Societal and assurance value. Resilient IoT underpins critical services and public confidence in connected infrastructure (ENISA 2017). A detector that is federated (reducing data centralisation), explainable (supporting accountable triage), and CPU-deployable (closer to resource-constrained sites) is aligned with data-protection expectations and the analyst–time limits discussed in the literature (Section 2.4). The work does not claim to resolve every societal cyber-risk question; it contributes a reproducible, documented method stack that can be audited and extended by others - supporting the academic integrity and verifiable evidence standards expected in a UWS final report.</w:t>
      </w:r>
    </w:p>
    <w:p>
      <w:pPr>
        <w:pStyle w:val="Heading2"/>
      </w:pPr>
      <w:r>
        <w:t>9.7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2"/>
      </w:pPr>
      <w:r>
        <w:t>9.8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Empirically, the pipeline met its stated targets on the fixed subset: the dynamic GNN matched or exceeded baselines on headline metrics (Chapter 8), federated training matched centralised GNN performance, and SIEM-style alerts with explanations were produced. Stability artefacts (ablation, sensitivity grid, multi-seed summaries) live under results/metrics/ and are produced by scripts/run_ablation.py and scripts/run_sensitivity_and_seeds.py as documented in Chapter 13.</w:t>
      </w:r>
    </w:p>
    <w:p>
      <w:pPr>
        <w:pStyle w:val="Heading2"/>
      </w:pPr>
      <w:r>
        <w:t>9.9 Recommendations for Future Work</w:t>
      </w:r>
    </w:p>
    <w:p>
      <w:pPr>
        <w:pStyle w:val="ListBullet"/>
      </w:pPr>
      <w:r>
        <w:t>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stability of FedAvg under higher heterogeneity.</w:t>
      </w:r>
    </w:p>
    <w:p>
      <w:pPr>
        <w:pStyle w:val="ListBullet"/>
      </w:pPr>
      <w:r>
        <w:t>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pPr>
        <w:pStyle w:val="ListBullet"/>
      </w:pPr>
      <w:r>
        <w:t>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pPr>
        <w:pStyle w:val="ListBullet"/>
      </w:pPr>
      <w:r>
        <w:t>Optimisation: Tune graph construction (window size, node/edge features), try other GNN or temporal architectures, and optimise explainability (e.g. only for high-confidence alerts) to balance accuracy and speed.</w:t>
      </w:r>
    </w:p>
    <w:p>
      <w:pPr>
        <w:pStyle w:val="ListBullet"/>
      </w:pPr>
      <w:r>
        <w:t>Integration: Connect the FastAPI service to a SIEM or dashboard and test the full workflow from detection to analyst review. Integration with Elastic Security, Splunk, or a custom dashboard would demonstrate end-to-end SOC usability.</w:t>
      </w:r>
    </w:p>
    <w:p>
      <w:pPr>
        <w:pStyle w:val="ListBullet"/>
      </w:pPr>
      <w:r>
        <w:t>Further ablation studies: The thesis already includes one ablation (GAT only vs. full model, Section 8.7). Future work could add ablations for kNN vs. other graph construction, or Integrated Gradients vs. attention-only explanations, to provide further evidence for design choices.</w:t>
      </w:r>
    </w:p>
    <w:p>
      <w:pPr>
        <w:pStyle w:val="Heading2"/>
      </w:pPr>
      <w:r>
        <w:t>9.10 Chapter Summary</w:t>
      </w:r>
    </w:p>
    <w:p>
      <w:r>
        <w:t>The prototype answers the stated questions within documented limits, relates the outcomes to prior work, and sets out a credible path for scaling, evaluation, and publication.</w:t>
      </w:r>
    </w:p>
    <w:p>
      <w:pPr>
        <w:pStyle w:val="Heading1"/>
        <w:jc w:val="center"/>
      </w:pPr>
      <w:r>
        <w:rPr>
          <w:b/>
          <w:i w:val="0"/>
          <w:sz w:val="32"/>
        </w:rPr>
        <w:t>Chapter 10 – Critical Self-Evaluation</w:t>
      </w:r>
    </w:p>
    <w:p>
      <w:pPr>
        <w:pStyle w:val="Heading2"/>
      </w:pPr>
      <w:r>
        <w:t>10.1 Chapter Overview</w:t>
      </w:r>
    </w:p>
    <w:p>
      <w:r>
        <w:t>This chapter provides a first-person critical reflection on the project: what went well, what was challenging, what was learned, and what would be improved if the work were repeated. It complements (but does not duplicate) the academic limitations in Chapter 9 by focusing on process, decisions under time constraints, and personal development.</w:t>
      </w:r>
    </w:p>
    <w:p>
      <w:r>
        <w:t>I keep this reflection specific to the actual build path rather than generic statements. Some choices were good. Some were late and caused pressure. Writing this chapter honestly helps show independent judgement, and it also explains why certain limits remain in the current version even though the technical objectives were met.</w:t>
      </w:r>
    </w:p>
    <w:p>
      <w:pPr>
        <w:pStyle w:val="Heading2"/>
      </w:pPr>
      <w:r>
        <w:t>10.2 Planning, Scope, and Risk</w:t>
      </w:r>
    </w:p>
    <w:p>
      <w:r>
        <w:t>The project was scoped to fit a 45-day MSc timeline. Early on I decided to use a fixed subset of CICIoT2023 rather than the full corpus, and to simulate three federated clients instead of a large fleet. Those decisions were partly pragmatic  -  disk, RAM, and training time  -  but they were also methodological: a smaller, controlled subset makes it easier to re-run experiments and to debug the pipeline when something breaks. The trade-off is obvious: stronger numbers on a subset do not automatically transfer to the wild. I tried to mitigate “toy dataset” criticism by (1) stating the limits clearly in Chapter 9, (2) comparing against strong baselines (RF, MLP) on the same splits, and (3) adding ablation, sensitivity, and multi-seed runs so the headline metrics are not a single lucky configuration.</w:t>
      </w:r>
    </w:p>
    <w:p>
      <w:r>
        <w:t>What I would improve with more time: negotiate earlier with my supervisor a precise cap on subset size and document the exact filtering steps in one place (I relied on scripts and config, which is good for reproducibility, but a one-page “data contract” in the dissertation would help readers who do not open the repo).</w:t>
      </w:r>
    </w:p>
    <w:p>
      <w:pPr>
        <w:pStyle w:val="Heading2"/>
      </w:pPr>
      <w:r>
        <w:t>10.3 Literature and Alignment with the Questions</w:t>
      </w:r>
    </w:p>
    <w:p>
      <w:r>
        <w:t>The literature review deliberately mixed IoT intrusion detection, SIEM / SOC workflows, GNNs, federated learning, and explainable AI. The gap I argued for was not “nobody used GNNs”  -  many papers do  -  but that combining explainable dynamic graphs, federated training, and SIEM-shaped outputs in one CPU-oriented prototype is still relatively rare in student-scale work. Keeping that storyline straight while implementing was sometimes hard: it is tempting to add every nice idea (more clients, more attacks, more explainers). I had to keep deleting side ideas to protect the core questions.</w:t>
      </w:r>
    </w:p>
    <w:p>
      <w:r>
        <w:t>A clear weakness remains: no formal user study with practising analysts. I judged explanation usefulness together with my supervisor and by reading the alert JSON “as if” I were triaging. That is defensible for an MSc, but it is not evidence of real-world utility. If I did the project again, I would reserve one week for three semi-structured interviews with volunteers (even fellow students role-playing SOC) and a tiny Likert questionnaire  -  not publication-grade, but stronger than intuition alone.</w:t>
      </w:r>
    </w:p>
    <w:p>
      <w:pPr>
        <w:pStyle w:val="Heading2"/>
      </w:pPr>
      <w:r>
        <w:t>10.4 Implementation: What Was Harder Than It Looked</w:t>
      </w:r>
    </w:p>
    <w:p>
      <w:r>
        <w:t>Building the pipeline end-to-end meant gluing PyTorch, PyTorch Geometric, Flower, Captum, and FastAPI. Each library is documented, but the edges between them are not: tensor shapes for batched graphs, ensuring the same scaler and splits for federated clients, and making explainability run on one sequence without blowing memory. The longest delays were data and graphs: stratified windowing so that graph-level labels are balanced, while flow-level data are heavily imbalanced, took several iterations before training stopped collapsing to “always attack.”</w:t>
      </w:r>
    </w:p>
    <w:p>
      <w:r>
        <w:t>Federated learning was conceptually simple (FedAvg) but operationally fiddly: starting the server, then clients, ensuring partitions are non-IID but still trainable, and logging per-round metrics in a form I could plot later. I am satisfied that federated performance matched centralised on my setup; I am also aware that three clients and ten rounds are not stress test.</w:t>
      </w:r>
    </w:p>
    <w:p>
      <w:r>
        <w:t>On the positive side, I structured the code into modules (data, graph, models, federated, explainability, API) so I could swap pieces  -  for example, running ablation by changing the temporal head without touching the GAT stack. That modularity paid off when I added scripts/run_sensitivity_and_seeds.py: it mostly re-used the same training entry points with different YAML overrides.</w:t>
      </w:r>
    </w:p>
    <w:p>
      <w:pPr>
        <w:pStyle w:val="Heading2"/>
      </w:pPr>
      <w:r>
        <w:t>10.5 Results, Honesty, and the “100%” Question</w:t>
      </w:r>
    </w:p>
    <w:p>
      <w:r>
        <w:t>When test F1 and ROC-AUC hit 1.0, my first reaction was relief; my second was suspicion. Perfect metrics usually mean one of: (a) the task is easy on the slice of data, (b) there is leakage (I checked splits carefully  -  no overlap between train/val/test at sequence level), or (c) the test set is small enough that a few mistakes swing the score. Here, the test set has 934 sequences; zero errors is possible but should not be read as “solved IoT security.” I tried to be explicit about that in Chapter 9. The ablation helped: removing the GRU did cost precision/F1 slightly, which shows the full model is not trivially redundant. The sensitivity grid showed that not every (window, k) pair is equally perfect  -  so the story is more nuanced than a single scalar.</w:t>
      </w:r>
    </w:p>
    <w:p>
      <w:r>
        <w:t>If I sound cautious, it is intentional. I would rather a reader trusts me for transparency than for bragging.</w:t>
      </w:r>
    </w:p>
    <w:p>
      <w:pPr>
        <w:pStyle w:val="Heading2"/>
      </w:pPr>
      <w:r>
        <w:t>10.6 What I Learned (Skills and Mindset)</w:t>
      </w:r>
    </w:p>
    <w:p>
      <w:r>
        <w:t>Technically, I learned to think in graphs (nodes as flows, kNN edges as similarity) and in time (sequences of snapshots). I learned the basics of federated optimisation and why non-IID data breaks naive assumptions. I learned that explainability is as much about presentation (what we put in the JSON) as about the algorithm (Integrated Gradients).</w:t>
      </w:r>
    </w:p>
    <w:p>
      <w:r>
        <w:t>Personally, I learned to time-box: the sensitivity and multi-seed runs were scheduled late; they completed, but I would start stability experiments earlier next time so writing-up is not waiting on overnight jobs. I also learned to document while coding - commit messages, config/experiment.yaml, and CSV outputs saved me when I forgot which run produced which figure.</w:t>
      </w:r>
    </w:p>
    <w:p>
      <w:pPr>
        <w:pStyle w:val="Heading2"/>
      </w:pPr>
      <w:r>
        <w:t>10.7 Time Management: What I Would Reorder</w:t>
      </w:r>
    </w:p>
    <w:p>
      <w:r>
        <w:t>Data loading and graph construction underestimated at the start. Federated setup overestimated in difficulty once the pattern was clear, but the first week of Flower debugging felt slow. Explainability + FastAPI were faster after the model stabilised. With hindsight I would allocate: week 1 - data contract + baseline; week 2 - GNN + central training; week 3 - federated + API; week 4 - explainability + plots; buffer - ablation and sensitivity. I used the buffer mainly for stability runs; in another timeline I might have sacrificed one fancy plot for a user interview.</w:t>
      </w:r>
    </w:p>
    <w:p>
      <w:r>
        <w:t>Overall, the project met my own bar: one coherent system, evidence-backed claims, and clear limits. It is not production-ready, but it is honest research engineering at MSc level, and I am proud of the parts that were painful and still work.</w:t>
      </w:r>
    </w:p>
    <w:p>
      <w:pPr>
        <w:pStyle w:val="Heading2"/>
      </w:pPr>
      <w:r>
        <w:t>10.8 Chapter Summary</w:t>
      </w:r>
    </w:p>
    <w:p>
      <w:r>
        <w:t>Critical reflection highlights scoped realism, modularity, and honest limits, and concrete habits I would repeat on a future project in research, technical delivery, and planning practice.</w:t>
      </w:r>
    </w:p>
    <w:p>
      <w:pPr>
        <w:pStyle w:val="Heading1"/>
        <w:jc w:val="center"/>
      </w:pPr>
      <w:r>
        <w:rPr>
          <w:b/>
          <w:i w:val="0"/>
          <w:sz w:val="32"/>
        </w:rPr>
        <w:t>Chapter 11 – References</w:t>
      </w:r>
    </w:p>
    <w:p>
      <w:r>
        <w:t>This chapter lists all cited sources in UWS Library Harvard style, with DOIs or stable URLs where available, following the Harvard referencing libguide (University of the West of Scotland Library, 2025). In-text citations and this list were checked for consistency before submission; a reference manager of the type recommended in the project specification (e.g. EndNote, Mendeley, or Zotero) can be used to maintain the same field order in Word, but the definitive list for examination is the entries printed here. Falsified or unverifiable references are excluded; grey literature and uncited web posts were not used to support empirical security claims (see Section 2.2.1 for retrieval and inclusion rules).</w:t>
      </w:r>
    </w:p>
    <w:p>
      <w:r>
        <w:t>Alabbadi, A. and Bajaber, F. (2025) 'An intrusion detection system over the IoT data streams using eXplainable artificial intelligence (XAI)', Sensors, 25(3), p. 847. Available at: https://doi.org/10.3390/s25030847</w:t>
      </w:r>
    </w:p>
    <w:p>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
        <w:t>Anysphere, Inc. (2024) Cursor [Proprietary software or web resource]. San Francisco, CA: Anysphere, Inc. Available at: https://www.cursor.com/ (Accessed: 20 April 2026).</w:t>
      </w:r>
    </w:p>
    <w:p>
      <w:r>
        <w:t>Basak, M., Kim, D.-W., Han, M.-M. and Shin, G.-Y. (2025) 'X-GANet: an explainable graph-based framework for robust network intrusion detection', Applied Sciences, 15(9), p. 5002. Available at: https://doi.org/10.3390/app15095002</w:t>
      </w:r>
    </w:p>
    <w:p>
      <w:r>
        <w:t>Cuppens, F. and Miège, A. (2002) 'Alert correlation in a cooperative intrusion detection framework', in Proceedings of the 2002 IEEE Symposium on Security and Privacy, pp. 202-215. Available at: https://doi.org/10.1109/secpri.2002.1004372</w:t>
      </w:r>
    </w:p>
    <w:p>
      <w:r>
        <w:t>ENISA (2017) Baseline security recommendations for IoT in the context of critical information infrastructures. Heraklion: European Union Agency for Network and Information Security. Available at: https://doi.org/10.2824/03228</w:t>
      </w:r>
    </w:p>
    <w:p>
      <w:r>
        <w:t>Han, Z., Zhang, C., Yang, G., Yang, P., Ren, J. and Liu, L. (2025) 'DIMK-GCN: a dynamic interactive multi-channel graph convolutional network model for intrusion detection', Electronics, 14(7), p. 1391. Available at: https://doi.org/10.3390/electronics14071391</w:t>
      </w:r>
    </w:p>
    <w:p>
      <w:r>
        <w:t>Kokhlikyan, N., Miglani, V., Martin, M., Wang, E., Reynolds, J., Melnikov, A., Lunova, N. and Reblitz-Richardson, O. (2020) 'Captum: a unified and generic model interpretability library for PyTorch', arXiv preprint arXiv:2009.07896. Available at: https://doi.org/10.48550/arXiv.2009.07896</w:t>
      </w:r>
    </w:p>
    <w:p>
      <w:r>
        <w:t>Kolias, C., Kambourakis, G., Stavrou, A. and Voas, J. (2017) 'DDoS in the IoT: Mirai and other botnets', Computer, 50(7), pp. 80-84. Available at: https://doi.org/10.1109/mc.2017.201</w:t>
      </w:r>
    </w:p>
    <w:p>
      <w:r>
        <w:t>Lazzarini, R., Tianfield, H. and Charissis, V. (2023) 'Federated learning for IoT intrusion detection', AI, 4(3), pp. 509-530. Available at: https://doi.org/10.3390/ai4030028</w:t>
      </w:r>
    </w:p>
    <w:p>
      <w:r>
        <w:t>Lundberg, S.M. and Lee, S.I. (2017) 'A unified approach to interpreting model predictions', in Advances in Neural Information Processing Systems, 30, pp. 4765-4774. Available at: https://doi.org/10.48550/arXiv.1705.07874</w:t>
      </w:r>
    </w:p>
    <w:p>
      <w:r>
        <w:t>Lusa, R., Pintar, D. and Vranic, M. (2025) 'TE-G-SAGE: explainable edge-aware graph neural networks for network intrusion detection', Modelling, 6(4), p. 165. Available at: https://doi.org/10.3390/modelling6040165</w:t>
      </w:r>
    </w:p>
    <w:p>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
        <w:t>Ngo, T., Yin, J., Ge, Y.-F. and Wang, H. (2025) 'Optimizing IoT intrusion detection - a graph neural network approach with attribute-based graph construction', Information, 16(6), p. 499. Available at: https://doi.org/10.3390/info16060499</w:t>
      </w:r>
    </w:p>
    <w:p>
      <w:r>
        <w:t>Pinto, C., Dadkhah, S., Ferreira, R., Zohourian, A., Lu, R. and Ghorbani, A.A. (2023) 'CICIoT2023: a real-time dataset and benchmark for large-scale attacks in IoT environment', Sensors, 23(13), p. 5941. Available at: https://doi.org/10.3390/s23135941</w:t>
      </w:r>
    </w:p>
    <w:p>
      <w:r>
        <w:t>Python Software Foundation (2023) Python [Program]. version 3.10. Beaverton, OR: Python Software Foundation. Available at: https://www.python.org/ (Accessed: 20 April 2026).</w:t>
      </w:r>
    </w:p>
    <w:p>
      <w:r>
        <w:t>Qu, Y., Gao, L., Luan, T.H., Xiang, Y., Yu, S., Li, B. and Zheng, G. (2020) 'Decentralized Privacy Using Blockchain-Enabled Federated Learning in Fog Computing', IEEE Internet of Things Journal, 7(6), pp. 5171-5183. Available at: https://doi.org/10.1109/JIOT.2020.2977383</w:t>
      </w:r>
    </w:p>
    <w:p>
      <w:r>
        <w:t>Sundararajan, M., Taly, A. and Yan, Q. (2017) 'Axiomatic attribution for deep networks', in Proceedings of the 34th International Conference on Machine Learning (ICML), PMLR 70, pp. 3319-3328. Available at: https://doi.org/10.48550/arXiv.1703.01365</w:t>
      </w:r>
    </w:p>
    <w:p>
      <w:r>
        <w:t>The Git Project (2023) Git [Version control system]. The Git Project. Available at: https://git-scm.com/ (Accessed: 20 April 2026).</w:t>
      </w:r>
    </w:p>
    <w:p>
      <w:r>
        <w:t>University of the West of Scotland Library (2025) Harvard referencing libguide. Paisley: UWS Library. Available at: https://libguides.uws.ac.uk/harvard (Accessed: 20 April 2026).</w:t>
      </w:r>
    </w:p>
    <w:p>
      <w:r>
        <w:t>Velickovic, P., Cucurull, G., Casanova, A., Romero, A., Lio, P. and Bengio, Y. (2018) 'Graph attention networks', in International Conference on Learning Representations (ICLR). Available at: https://doi.org/10.48550/arXiv.1710.10903</w:t>
      </w:r>
    </w:p>
    <w:p>
      <w:r>
        <w:t>Wang, R., Zhao, J., Zhang, H., He, L., Li, H. and Huang, M. (2025) 'Network traffic analysis based on graph neural networks: a scoping review', Big Data and Cognitive Computing, 9(11), p. 270. Available at: https://doi.org/10.3390/bdcc9110270</w:t>
      </w:r>
    </w:p>
    <w:p>
      <w:r>
        <w:t>Yang, S., Pan, W., Li, M., Yin, M., Ren, H., Chang, Y., Liu, Y., Zhang, S. and Lou, F. (2025) 'Industrial Internet of Things intrusion detection system based on graph neural network', Symmetry, 17(7), p. 997. Available at: https://doi.org/10.3390/sym17070997</w:t>
      </w:r>
    </w:p>
    <w:p>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r>
        <w:t>This bibliography lists wider readings, technical documentation, and standards consulted during the project that supported design and implementation decisions but were not directly cited as evidence in the body. Entries are grouped to mirror the topics covered in Chapters 2–8.</w:t>
      </w:r>
    </w:p>
    <w:p>
      <w:r>
        <w:t>Frameworks, libraries, and tooling used in the implementation (Chapter 6).</w:t>
      </w:r>
    </w:p>
    <w:p>
      <w:r>
        <w:t>Beutel, D.J., Topal, T., Mathur, A., Qiu, X., Fernandez-Marques, J., Gao, Y., Sani, L., Li, K.H., Parcollet, T., Gusmão, P.P.B. de and Lane, N.D. (2020) 'Flower: a friendly federated learning research framework', arXiv preprint arXiv:2007.14390. Available at: https://doi.org/10.48550/arXiv.2007.14390</w:t>
      </w:r>
    </w:p>
    <w:p>
      <w:r>
        <w:t>Fey, M. and Lenssen, J.E. (2019) 'Fast graph representation learning with PyTorch Geometric', in ICLR 2019 Workshop on Representation Learning on Graphs and Manifolds. Available at: https://doi.org/10.48550/arXiv.1903.02428</w:t>
      </w:r>
    </w:p>
    <w:p>
      <w: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r>
        <w:t>Standards and reference frameworks for the SIEM and SOC context (Chapters 1, 2 and 6).</w:t>
      </w:r>
    </w:p>
    <w:p>
      <w:r>
        <w:t>ENISA (2017) appears in Chapter 11 because it is cited in the body; it is not repeated here.</w:t>
      </w:r>
    </w:p>
    <w:p>
      <w:r>
        <w:t>Rashid, A., Chivers, H., Lupu, E., Martin, A. and Schneider, S. (2021) The Cyber Security Body of Knowledge (CyBOK), version 1.1. Bristol: National Cyber Security Centre (UK) and University of Bristol. Available at: https://www.cybok.org/media/downloads/CyBOK_v1.1.0.pdf</w:t>
      </w:r>
    </w:p>
    <w:p>
      <w:r>
        <w:t>Strom, B.E., Applebaum, A., Miller, D.P., Nickels, K.C., Pennington, A.G. and Thomas, C.B. (2018) MITRE ATT&amp;CK: design and philosophy. Bedford, MA: The MITRE Corporation. Available at: https://attack.mitre.org/docs/ATTACK_Design_and_Philosophy_March_2020.pdf</w:t>
      </w:r>
    </w:p>
    <w:p>
      <w:r>
        <w:t>Project administration and referencing (Chapters 1, 3, 9, 11).</w:t>
      </w:r>
    </w:p>
    <w:p>
      <w:r>
        <w:t>Development tools (Cursor, Python, Git) are cited in the body (Section 3.5) and appear in the authoritative list in Chapter 11 (UWS Harvard). They are not duplicated here.</w:t>
      </w:r>
    </w:p>
    <w:p>
      <w:r>
        <w:t>University of the West of Scotland (2025) MSc Project Handbook 2025-26 (COMP11024 Master's Project). Paisley: School of Computing, Engineering and Physical Sciences, University of the West of Scotland.</w:t>
      </w:r>
    </w:p>
    <w:p>
      <w:r>
        <w:t>The UWS Library Harvard libguide is also listed in Chapter 11 because it is cited in Section 3.5; the full entry is not repeated here.</w:t>
      </w:r>
    </w:p>
    <w:p>
      <w:pPr>
        <w:pStyle w:val="Heading1"/>
        <w:jc w:val="center"/>
      </w:pPr>
      <w:r>
        <w:rPr>
          <w:b/>
          <w:i w:val="0"/>
          <w:sz w:val="32"/>
        </w:rPr>
        <w:t>Chapter 13 – Appendices</w:t>
      </w:r>
    </w:p>
    <w:p>
      <w:r>
        <w:t>This chapter contains the required appendices for submission.</w:t>
      </w:r>
    </w:p>
    <w:p>
      <w:pPr>
        <w:pStyle w:val="Heading2"/>
      </w:pPr>
      <w:r>
        <w:t>Appendix A: Project Process Documents</w:t>
      </w:r>
    </w:p>
    <w:p>
      <w:pPr>
        <w:pStyle w:val="Heading2"/>
      </w:pPr>
      <w:r>
        <w:t>Appendix B: Project Specification</w:t>
      </w:r>
    </w:p>
    <w:p>
      <w:pPr>
        <w:pStyle w:val="Heading2"/>
      </w:pPr>
      <w:r>
        <w:t>Appendix C: Handbook Appendix 1  -  Screenshots of project code</w:t>
      </w:r>
    </w:p>
    <w:p>
      <w:r>
        <w:t>The handbook requires Appendix 1 code views to be presented as figures, each with a caption and an explanation of how to interpret the code in the context of this dissertation. Below, Figure A1-1–Figure A1-6 satisfy that requirement.</w:t>
      </w:r>
    </w:p>
    <w:p>
      <w:r>
        <w:t>The bitmaps are generated automatically from the submission codebase so line numbers stay aligned with the files on disk. Regenerate them after editing source with:</w:t>
      </w:r>
    </w:p>
    <w:p>
      <w:r>
        <w:t>python scripts/render_appendix1_code_figures.py</w:t>
      </w:r>
    </w:p>
    <w:p>
      <w:r>
        <w:t>Output directory: results/figures/appendix1/. In the Table of Figures, these appear as Figure A1-1–Figure A1-6 (appendix labels), separate from the body sequence Figure 1–Figure 29. Chapter 6 (Section 6.10) and Appendix C both use dark-theme, line-numbered, core-snippet screenshots (not full-file captures) to support examiner code reference.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53190"/>
                  <wp:docPr id="31" name="Picture 31"/>
                  <wp:cNvGraphicFramePr>
                    <a:graphicFrameLocks noChangeAspect="1"/>
                  </wp:cNvGraphicFramePr>
                  <a:graphic>
                    <a:graphicData uri="http://schemas.openxmlformats.org/drawingml/2006/picture">
                      <pic:pic>
                        <pic:nvPicPr>
                          <pic:cNvPr id="31" name="fig_a1_01_dynamic_gnn.png"/>
                          <pic:cNvPicPr/>
                        </pic:nvPicPr>
                        <pic:blipFill>
                          <a:blip r:embed="rId42"/>
                          <a:stretch>
                            <a:fillRect/>
                          </a:stretch>
                        </pic:blipFill>
                        <pic:spPr>
                          <a:xfrm>
                            <a:off x="0" y="0"/>
                            <a:ext cx="5029200" cy="2353190"/>
                          </a:xfrm>
                          <a:prstGeom prst="rect"/>
                        </pic:spPr>
                      </pic:pic>
                    </a:graphicData>
                  </a:graphic>
                </wp:inline>
              </w:drawing>
            </w:r>
          </w:p>
        </w:tc>
      </w:tr>
    </w:tbl>
    <w:p>
      <w:pPr>
        <w:pStyle w:val="Caption"/>
      </w:pPr>
      <w:r>
        <w:t>Figure A1-1  -  Dynamic graph classifier: DynamicGNN sequence forward core (GRU vs. mean-pool ablation, logits). (Chapter 13, Appendix C.) Source: src/models/dynamic_gnn.py, lines 75–97.</w:t>
      </w:r>
    </w:p>
    <w:p>
      <w:r>
        <w:t>Caption (formal): Figure A1-1  -  Core implementation of the dynamic GNN (DynamicGNN): node embedding, two GATConv layers with multi-head attention and dropout, per-window graph embedding, sequence encoding with GRU (or mean-pool when use_gru is false for ablation), and two-class logits. Attention weights may be retained for explainability (return_attention_weights).</w:t>
      </w:r>
    </w:p>
    <w:p>
      <w:r>
        <w:t>How to interpret: This class is the main learnable model described in Chapters 5–6. Each time step is one PyTorch Geometric Data object (nodes = flows in a window, edges = kNN). _encode_graph applies GAT message passing and reduces node states to one vector per window; forward stacks windows in time order and either runs the GRU (full model) or mean-pools over time (ablation in Section 8.7). The from_config constructor ties hyperparameters to config/experiment.yaml, which supports the sensitivity study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32" name="Picture 32"/>
                  <wp:cNvGraphicFramePr>
                    <a:graphicFrameLocks noChangeAspect="1"/>
                  </wp:cNvGraphicFramePr>
                  <a:graphic>
                    <a:graphicData uri="http://schemas.openxmlformats.org/drawingml/2006/picture">
                      <pic:pic>
                        <pic:nvPicPr>
                          <pic:cNvPr id="32"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A1-2  -  Constructing a single-window kNN graph from flow feature rows. (Chapter 13, Appendix C.) Source: src/data/graph_builder.py, lines 37–58.</w:t>
      </w:r>
    </w:p>
    <w:p>
      <w:r>
        <w:t>Caption (formal): Figure A1-2  -  flows_to_knn_graph: for one window of N flows with F features, fits sklearn.neighbors.NearestNeighbors (Euclidean), adds bidirectional edges among each node and its k actual neighbours (capped when N is small), and returns a torch_geometric.data.Data object with x, edge_index, and graph-level label y.</w:t>
      </w:r>
    </w:p>
    <w:p>
      <w:r>
        <w:t>How to interpret: This function shows how “graph structure” is defined when device IPs are unavailable (Chapter 1): similarity in the 46-dimensional flow feature space replaces physical topology. Bidirectional edges make the graph undirected for GAT. The label on the graph is supplied by the caller (binary benign vs. attack) and matches the stratified pool in Figure A1-3, not a per-flow vote - important for reading the evaluation chapters.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33" name="Picture 33"/>
                  <wp:cNvGraphicFramePr>
                    <a:graphicFrameLocks noChangeAspect="1"/>
                  </wp:cNvGraphicFramePr>
                  <a:graphic>
                    <a:graphicData uri="http://schemas.openxmlformats.org/drawingml/2006/picture">
                      <pic:pic>
                        <pic:nvPicPr>
                          <pic:cNvPr id="33"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A1-3  -  Stratified windowing so both classes appear in training graphs. (Chapter 13, Appendix C.) Source: src/data/graph_builder.py, lines 106–123.</w:t>
      </w:r>
    </w:p>
    <w:p>
      <w:r>
        <w:t>Caption (formal): Figure A1-3  -  build_graphs_for_split: splits flows into benign and attack pools, builds sliding (or strided) windows from each pool with _build_windows_from_pool, balances counts between classes, shuffles, and logs totals - addressing severe class imbalance in raw CICIoT2023.</w:t>
      </w:r>
    </w:p>
    <w:p>
      <w:r>
        <w:t>How to interpret: This block explains why training does not collapse to “always predict attack” despite a very high attack ratio in the raw CSV (Chapter 4): windows are drawn within each class, so each graph’s supervision matches the pool. The minority_stride argument increases overlap for the benign pool when it is smaller. The dissertation’s window size and k used in experiments come from config/experiment.yaml and feed the sensitivity grid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42449"/>
                  <wp:docPr id="34" name="Picture 34"/>
                  <wp:cNvGraphicFramePr>
                    <a:graphicFrameLocks noChangeAspect="1"/>
                  </wp:cNvGraphicFramePr>
                  <a:graphic>
                    <a:graphicData uri="http://schemas.openxmlformats.org/drawingml/2006/picture">
                      <pic:pic>
                        <pic:nvPicPr>
                          <pic:cNvPr id="34" name="fig_a1_04_explainer_integrated_gradients.png"/>
                          <pic:cNvPicPr/>
                        </pic:nvPicPr>
                        <pic:blipFill>
                          <a:blip r:embed="rId43"/>
                          <a:stretch>
                            <a:fillRect/>
                          </a:stretch>
                        </pic:blipFill>
                        <pic:spPr>
                          <a:xfrm>
                            <a:off x="0" y="0"/>
                            <a:ext cx="5029200" cy="3942449"/>
                          </a:xfrm>
                          <a:prstGeom prst="rect"/>
                        </pic:spPr>
                      </pic:pic>
                    </a:graphicData>
                  </a:graphic>
                </wp:inline>
              </w:drawing>
            </w:r>
          </w:p>
        </w:tc>
      </w:tr>
    </w:tbl>
    <w:p>
      <w:pPr>
        <w:pStyle w:val="Caption"/>
      </w:pPr>
      <w:r>
        <w:t>Figure A1-4  -  Post-hoc explanations: forward pass with attention, Integrated Gradients, top nodes/features. (Chapter 13, Appendix C.) Source: src/explain/explainer.py, lines 53–95.</w:t>
      </w:r>
    </w:p>
    <w:p>
      <w:r>
        <w:t>Caption (formal): Figure A1-4  -  explain_sequence: runs the model with attention enabled, wraps Captum Integrated Gradients on the last window’s node features (_ig_wrapper), aggregates absolute attributions to rank top nodes and top feature indices, and returns an ExplanationBundle for JSON alert formatting.</w:t>
      </w:r>
    </w:p>
    <w:p>
      <w:r>
        <w:t>How to interpret: This is the bridge between Chapter 6 (implementation) and Chapter 8 (example alerts): SOC-facing text is not arbitrary - it is derived from IG magnitudes and GAT edge attention from the same forward pass analysts would get at inference. IG is computed on the most recent graph in the sequence (design choice documented in code comments). If Captum is missing, the bundle degrades gracefully (HAS_CAPTUM guard in the same module).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54851"/>
                  <wp:docPr id="35" name="Picture 35"/>
                  <wp:cNvGraphicFramePr>
                    <a:graphicFrameLocks noChangeAspect="1"/>
                  </wp:cNvGraphicFramePr>
                  <a:graphic>
                    <a:graphicData uri="http://schemas.openxmlformats.org/drawingml/2006/picture">
                      <pic:pic>
                        <pic:nvPicPr>
                          <pic:cNvPr id="35" name="fig_a1_05_federated_flower_client.png"/>
                          <pic:cNvPicPr/>
                        </pic:nvPicPr>
                        <pic:blipFill>
                          <a:blip r:embed="rId44"/>
                          <a:stretch>
                            <a:fillRect/>
                          </a:stretch>
                        </pic:blipFill>
                        <pic:spPr>
                          <a:xfrm>
                            <a:off x="0" y="0"/>
                            <a:ext cx="5029200" cy="3954851"/>
                          </a:xfrm>
                          <a:prstGeom prst="rect"/>
                        </pic:spPr>
                      </pic:pic>
                    </a:graphicData>
                  </a:graphic>
                </wp:inline>
              </w:drawing>
            </w:r>
          </w:p>
        </w:tc>
      </w:tr>
    </w:tbl>
    <w:p>
      <w:pPr>
        <w:pStyle w:val="Caption"/>
      </w:pPr>
      <w:r>
        <w:t>Figure A1-5  -  Federated learning CLI: Flower server vs. client, local data, GNNFlowerClient. (Chapter 13, Appendix C.) Source: src/federated/run_federated.py, lines 28–71.</w:t>
      </w:r>
    </w:p>
    <w:p>
      <w:r>
        <w:t>Caption (formal): Figure A1-5  -  main in run_federated.py: loads YAML config; server mode calls run_fl_server with round count and quorum; client mode loads client_{cid}_graphs.pt, builds train/validation sequence loaders, constructs GNNFlowerClient, and connects to 127.0.0.1:8080 via fl.client.start_numpy_client.</w:t>
      </w:r>
    </w:p>
    <w:p>
      <w:r>
        <w:t>How to interpret: This file is the student-facing entry point for Chapter 8 federated results: each client trains only on its partition (non-IID split from src.federated.data_split). The address and round counts come from config/experiment.yaml under fl. The pattern matches the FedAvg narrative in Chapter 2 - local epochs, then aggregation on the server (server implementation in src/federated/server.py, not shown).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36" name="Picture 36"/>
                  <wp:cNvGraphicFramePr>
                    <a:graphicFrameLocks noChangeAspect="1"/>
                  </wp:cNvGraphicFramePr>
                  <a:graphic>
                    <a:graphicData uri="http://schemas.openxmlformats.org/drawingml/2006/picture">
                      <pic:pic>
                        <pic:nvPicPr>
                          <pic:cNvPr id="3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A1-6  -  HTTP API: /score builds graphs, runs explain_sequence, returns ECS-style alert JSON. (Chapter 13, Appendix C.) Source: src/siem/api.py, lines 67–89.</w:t>
      </w:r>
    </w:p>
    <w:p>
      <w:r>
        <w:t>Caption (formal): Figure A1-6  -  FastAPI application: startup loads experiment.yaml and dynamic_gnn_best.pt; POST /score accepts a list of flow windows, reads graph.knn_k from the loaded config for flows_to_knn_graph, runs explain_sequence with top-5 nodes and features, measures wall-clock milliseconds, and returns format_ecs_alert output alongside prediction and score.</w:t>
      </w:r>
    </w:p>
    <w:p>
      <w:r>
        <w:t>How to interpret: This is the edge deployment surface argued in Chapters 1 and 5: a single HTTP call turns raw feature windows into SIEM-shaped JSON suitable for triage. Inference-time kNN k therefore matches training graph construction from config/experiment.yaml, avoiding train/serve skew. Latency reported in Chapter 8 is consistent with this synchronous CPU path.</w:t>
      </w:r>
    </w:p>
    <w:p>
      <w:pPr>
        <w:pStyle w:val="Heading2"/>
      </w:pPr>
      <w:r>
        <w:t>Appendix D: Handbook Appendix 4 (optional)  -  repository and dataset reference</w:t>
      </w:r>
    </w:p>
    <w:p>
      <w:pPr>
        <w:pStyle w:val="Heading3"/>
      </w:pPr>
      <w:r>
        <w:t>D.1 Project source code (GitHub)</w:t>
      </w:r>
    </w:p>
    <w:p>
      <w:pPr>
        <w:pStyle w:val="ListBullet"/>
      </w:pPr>
      <w:r>
        <w:t>Repository: https://github.com/imark0007/Dissertation_Project</w:t>
      </w:r>
    </w:p>
    <w:p>
      <w:pPr>
        <w:pStyle w:val="Heading3"/>
      </w:pPr>
      <w:r>
        <w:t>D.2 Dataset source used in this project (Kaggle)</w:t>
      </w:r>
    </w:p>
    <w:p>
      <w:pPr>
        <w:pStyle w:val="ListBullet"/>
      </w:pPr>
      <w:r>
        <w:t>Kaggle dataset page: https://www.kaggle.com/datasets/himadri07/ciciot2023</w:t>
      </w:r>
    </w:p>
    <w:p>
      <w:pPr>
        <w:pStyle w:val="Heading3"/>
      </w:pPr>
      <w:r>
        <w:t>D.3 Official dataset source (UNB/CIC reference)</w:t>
      </w:r>
    </w:p>
    <w:p>
      <w:pPr>
        <w:pStyle w:val="ListBullet"/>
      </w:pPr>
      <w:r>
        <w:t>Dataset page: https://www.unb.ca/cic/datasets/iotdataset-2023.html</w:t>
      </w:r>
    </w:p>
    <w:p>
      <w:r>
        <w:br w:type="page"/>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2" w:name="_GoBack"/>
      <w:bookmarkEnd w:id="2"/>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4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3" w:name="_GoBack"/>
            <w:bookmarkEnd w:id="3"/>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6">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4" w:name="_GoBack"/>
            <w:bookmarkEnd w:id="4"/>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7"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8"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9"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50"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1"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52"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3"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54"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5"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56"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7"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5" w:name="x__Hlk113483510"/>
                  <w:r w:rsidRPr="008E70AB">
                    <w:rPr>
                      <w:rFonts w:ascii="Aptos" w:eastAsia="Times New Roman" w:hAnsi="Aptos" w:cs="Segoe UI"/>
                      <w:b/>
                      <w:bCs/>
                      <w:color w:val="000000"/>
                      <w:sz w:val="24"/>
                      <w:szCs w:val="24"/>
                      <w:bdr w:val="none" w:sz="0" w:space="0" w:color="auto" w:frame="1"/>
                      <w:lang w:val="en-US"/>
                    </w:rPr>
                    <w:t>Introduction</w:t>
                  </w:r>
                  <w:bookmarkEnd w:id="5"/>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46">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42" name="Ink 3"/>
                <wp:cNvGraphicFramePr/>
                <a:graphic xmlns:a="http://schemas.openxmlformats.org/drawingml/2006/main">
                  <a:graphicData uri="http://schemas.microsoft.com/office/word/2010/wordprocessingInk">
                    <w14:contentPart bwMode="auto" r:id="rId58">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59"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011CB81"/>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6D73DD"/>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2A214DD"/>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341E9D"/>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687E92"/>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0B51DF"/>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E288B0"/>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0120B7"/>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853558"/>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D6FAD5"/>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5B3584C"/>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lang w:eastAsia="en-US"/>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lang w:eastAsia="en-US"/>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lang w:eastAsia="en-US"/>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lang w:eastAsia="en-US"/>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jpg"/><Relationship Id="rId47" Type="http://schemas.openxmlformats.org/officeDocument/2006/relationships/hyperlink" Target="https://doi.org/10.3390/jsan14040078" TargetMode="External"/><Relationship Id="rId48" Type="http://schemas.openxmlformats.org/officeDocument/2006/relationships/hyperlink" Target="https://doi.org/10.3390/s25030847" TargetMode="External"/><Relationship Id="rId49" Type="http://schemas.openxmlformats.org/officeDocument/2006/relationships/hyperlink" Target="https://doi.org/10.3390/app15095002" TargetMode="External"/><Relationship Id="rId50" Type="http://schemas.openxmlformats.org/officeDocument/2006/relationships/hyperlink" Target="https://doi.org/10.3390/electronics14071391" TargetMode="External"/><Relationship Id="rId51" Type="http://schemas.openxmlformats.org/officeDocument/2006/relationships/hyperlink" Target="https://doi.org/10.3390/ai4030028" TargetMode="External"/><Relationship Id="rId52" Type="http://schemas.openxmlformats.org/officeDocument/2006/relationships/hyperlink" Target="https://doi.org/10.3390/modelling6040165" TargetMode="External"/><Relationship Id="rId53" Type="http://schemas.openxmlformats.org/officeDocument/2006/relationships/hyperlink" Target="https://doi.org/10.3390/info16060499" TargetMode="External"/><Relationship Id="rId54" Type="http://schemas.openxmlformats.org/officeDocument/2006/relationships/hyperlink" Target="https://doi.org/10.3390/s23135941" TargetMode="External"/><Relationship Id="rId55" Type="http://schemas.openxmlformats.org/officeDocument/2006/relationships/hyperlink" Target="https://doi.org/10.3390/bdcc9110270" TargetMode="External"/><Relationship Id="rId56" Type="http://schemas.openxmlformats.org/officeDocument/2006/relationships/hyperlink" Target="https://doi.org/10.3390/sym17070997" TargetMode="External"/><Relationship Id="rId57" Type="http://schemas.openxmlformats.org/officeDocument/2006/relationships/hyperlink" Target="https://doi.org/10.1016/j.cose.2024.103821" TargetMode="External"/><Relationship Id="rId58" Type="http://schemas.openxmlformats.org/officeDocument/2006/relationships/customXml" Target="ink/ink1.xml"/><Relationship Id="rId59" Type="http://schemas.openxmlformats.org/officeDocument/2006/relationships/image" Target="media/image3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