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CSE421 Project: Genome Assembly Research Network</w:t>
      </w:r>
    </w:p>
    <w:p>
      <w:pPr>
        <w:pStyle w:val="BodyText"/>
        <w:bidi w:val="0"/>
        <w:spacing w:before="240" w:after="120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bidi w:val="0"/>
        <w:jc w:val="start"/>
        <w:rPr>
          <w:rFonts w:ascii="Arial" w:hAnsi="Arial"/>
          <w:color w:val="000000"/>
          <w:sz w:val="32"/>
          <w:szCs w:val="32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1"/>
          <w:szCs w:val="32"/>
        </w:rPr>
        <w:t>Below is a comprehensive, structured documentation of the physical design, hardware adaptations, cabling architecture, and base IP configurations implemented so far [1, 2].</w:t>
      </w:r>
    </w:p>
    <w:p>
      <w:pPr>
        <w:pStyle w:val="BodyText"/>
        <w:bidi w:val="0"/>
        <w:jc w:val="star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Heading3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BodyText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2"/>
        <w:ind w:hanging="0" w:start="0"/>
        <w:jc w:val="center"/>
        <w:rPr/>
      </w:pPr>
      <w:r>
        <w:rPr/>
        <w:t>Section 1: Student ID to Base Network Conversion</w:t>
      </w:r>
    </w:p>
    <w:p>
      <w:pPr>
        <w:pStyle w:val="BodyText"/>
        <w:rPr/>
      </w:pPr>
      <w:r>
        <w:rPr/>
      </w:r>
    </w:p>
    <w:p>
      <w:pPr>
        <w:pStyle w:val="BodyText"/>
        <w:ind w:hanging="0" w:start="0" w:end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To establish a unique addressing scheme, the base IPv4 address block was derived directly from the student IDs of the first two group members: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  <w:sz w:val="32"/>
          <w:szCs w:val="32"/>
        </w:rPr>
      </w:pPr>
      <w:r>
        <w:rPr>
          <w:rStyle w:val="Strong"/>
          <w:rFonts w:ascii="Arial" w:hAnsi="Arial"/>
          <w:b/>
          <w:bCs/>
          <w:sz w:val="24"/>
          <w:szCs w:val="24"/>
        </w:rPr>
        <w:t>Member 1:</w:t>
      </w:r>
      <w:r>
        <w:rPr>
          <w:rFonts w:ascii="Arial" w:hAnsi="Arial"/>
          <w:b/>
          <w:bCs/>
          <w:sz w:val="24"/>
          <w:szCs w:val="24"/>
        </w:rPr>
        <w:t> 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start="1418" w:end="0"/>
        <w:rPr>
          <w:rFonts w:ascii="Calibri" w:hAnsi="Calibri"/>
          <w:sz w:val="32"/>
          <w:szCs w:val="32"/>
        </w:rPr>
      </w:pPr>
      <w:r>
        <w:rPr>
          <w:rFonts w:ascii="Arial" w:hAnsi="Arial"/>
          <w:sz w:val="24"/>
          <w:szCs w:val="24"/>
        </w:rPr>
        <w:t>Student ID </w:t>
      </w:r>
      <w:r>
        <w:rPr>
          <w:rFonts w:ascii="Arial" w:hAnsi="Arial"/>
          <w:sz w:val="24"/>
          <w:szCs w:val="24"/>
        </w:rPr>
        <w:t xml:space="preserve">= </w:t>
      </w:r>
      <w:r>
        <w:rPr>
          <w:rFonts w:ascii="Arial" w:hAnsi="Arial"/>
          <w:sz w:val="24"/>
          <w:szCs w:val="24"/>
        </w:rPr>
        <w:t>22101569 </w:t>
      </w:r>
      <w:r>
        <w:rPr>
          <w:rStyle w:val="SourceText"/>
          <w:rFonts w:ascii="Arial" w:hAnsi="Arial"/>
          <w:sz w:val="24"/>
          <w:szCs w:val="24"/>
        </w:rPr>
        <w:t xml:space="preserve">→ </w:t>
      </w:r>
      <w:r>
        <w:rPr>
          <w:rFonts w:ascii="Arial" w:hAnsi="Arial"/>
          <w:sz w:val="24"/>
          <w:szCs w:val="24"/>
        </w:rPr>
        <w:t>Last two digits = </w:t>
      </w:r>
      <w:r>
        <w:rPr>
          <w:rStyle w:val="Strong"/>
          <w:rFonts w:ascii="Arial" w:hAnsi="Arial"/>
          <w:sz w:val="24"/>
          <w:szCs w:val="24"/>
        </w:rPr>
        <w:t>69</w:t>
      </w:r>
      <w:r>
        <w:rPr>
          <w:rFonts w:ascii="Arial" w:hAnsi="Arial"/>
          <w:sz w:val="24"/>
          <w:szCs w:val="24"/>
        </w:rPr>
        <w:t> (assigned as the first octet).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  <w:sz w:val="32"/>
          <w:szCs w:val="32"/>
        </w:rPr>
      </w:pPr>
      <w:r>
        <w:rPr>
          <w:rStyle w:val="Strong"/>
          <w:rFonts w:ascii="Arial" w:hAnsi="Arial"/>
          <w:sz w:val="24"/>
          <w:szCs w:val="24"/>
        </w:rPr>
        <w:t>Member 2:</w:t>
      </w:r>
      <w:r>
        <w:rPr>
          <w:rFonts w:ascii="Arial" w:hAnsi="Arial"/>
          <w:sz w:val="24"/>
          <w:szCs w:val="24"/>
        </w:rPr>
        <w:t> 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start="1418" w:end="0"/>
        <w:rPr>
          <w:rFonts w:ascii="Calibri" w:hAnsi="Calibri"/>
          <w:sz w:val="32"/>
          <w:szCs w:val="32"/>
        </w:rPr>
      </w:pPr>
      <w:r>
        <w:rPr>
          <w:rFonts w:ascii="Arial" w:hAnsi="Arial"/>
          <w:sz w:val="24"/>
          <w:szCs w:val="24"/>
        </w:rPr>
        <w:t>Student ID </w:t>
      </w:r>
      <w:r>
        <w:rPr>
          <w:rFonts w:ascii="Arial" w:hAnsi="Arial"/>
          <w:sz w:val="24"/>
          <w:szCs w:val="24"/>
        </w:rPr>
        <w:t xml:space="preserve">= </w:t>
      </w:r>
      <w:r>
        <w:rPr>
          <w:rFonts w:ascii="Arial" w:hAnsi="Arial"/>
          <w:sz w:val="24"/>
          <w:szCs w:val="24"/>
        </w:rPr>
        <w:t>22101844 </w:t>
      </w:r>
      <w:r>
        <w:rPr>
          <w:rStyle w:val="SourceText"/>
          <w:rFonts w:ascii="Arial" w:hAnsi="Arial"/>
          <w:sz w:val="24"/>
          <w:szCs w:val="24"/>
        </w:rPr>
        <w:t xml:space="preserve">→ </w:t>
      </w:r>
      <w:r>
        <w:rPr>
          <w:rFonts w:ascii="Arial" w:hAnsi="Arial"/>
          <w:sz w:val="24"/>
          <w:szCs w:val="24"/>
        </w:rPr>
        <w:t>Last two digits = </w:t>
      </w:r>
      <w:r>
        <w:rPr>
          <w:rStyle w:val="Strong"/>
          <w:rFonts w:ascii="Arial" w:hAnsi="Arial"/>
          <w:sz w:val="24"/>
          <w:szCs w:val="24"/>
        </w:rPr>
        <w:t>44</w:t>
      </w:r>
      <w:r>
        <w:rPr>
          <w:rFonts w:ascii="Arial" w:hAnsi="Arial"/>
          <w:sz w:val="24"/>
          <w:szCs w:val="24"/>
        </w:rPr>
        <w:t> (assigned as the second octet).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  <w:sz w:val="32"/>
          <w:szCs w:val="32"/>
        </w:rPr>
      </w:pPr>
      <w:r>
        <w:rPr>
          <w:rStyle w:val="Strong"/>
          <w:rFonts w:ascii="Arial" w:hAnsi="Arial"/>
          <w:sz w:val="24"/>
          <w:szCs w:val="24"/>
        </w:rPr>
        <w:t>Base Network Block:</w:t>
      </w:r>
      <w:r>
        <w:rPr>
          <w:rFonts w:ascii="Arial" w:hAnsi="Arial"/>
          <w:sz w:val="24"/>
          <w:szCs w:val="24"/>
        </w:rPr>
        <w:t> </w:t>
      </w:r>
      <w:r>
        <w:rPr>
          <w:rStyle w:val="Strong"/>
          <w:rFonts w:ascii="Arial" w:hAnsi="Arial"/>
          <w:sz w:val="24"/>
          <w:szCs w:val="24"/>
        </w:rPr>
        <w:t>69.44.0.0/16</w:t>
      </w:r>
    </w:p>
    <w:p>
      <w:pPr>
        <w:pStyle w:val="BodyText"/>
        <w:ind w:hanging="0" w:start="0" w:end="0"/>
        <w:rPr>
          <w:rFonts w:ascii="Arial" w:hAnsi="Arial"/>
          <w:i/>
          <w:iCs/>
          <w:sz w:val="20"/>
          <w:szCs w:val="20"/>
        </w:rPr>
      </w:pPr>
      <w:r>
        <w:rPr>
          <w:rFonts w:ascii="Arial" w:hAnsi="Arial"/>
          <w:i/>
          <w:iCs/>
          <w:sz w:val="20"/>
          <w:szCs w:val="20"/>
        </w:rPr>
        <w:t>This /16 block was then subnetted using Variable Length Subnet Masking (VLSM) to accommodate the host requirements of the six distinct research units and their interconnecting WAN links, optimizing address space efficiency [1, 2].</w:t>
      </w:r>
    </w:p>
    <w:p>
      <w:pPr>
        <w:pStyle w:val="BodyText"/>
        <w:ind w:hanging="0" w:start="0" w:end="0"/>
        <w:rPr>
          <w:rFonts w:ascii="Arial" w:hAnsi="Arial"/>
          <w:i/>
          <w:iCs/>
          <w:sz w:val="20"/>
          <w:szCs w:val="20"/>
        </w:rPr>
      </w:pPr>
      <w:r>
        <w:rPr>
          <w:rFonts w:ascii="Arial" w:hAnsi="Arial"/>
          <w:i/>
          <w:iCs/>
          <w:sz w:val="20"/>
          <w:szCs w:val="20"/>
        </w:rPr>
      </w:r>
    </w:p>
    <w:p>
      <w:pPr>
        <w:pStyle w:val="Heading2"/>
        <w:ind w:hanging="0" w:start="0"/>
        <w:jc w:val="center"/>
        <w:rPr/>
      </w:pPr>
      <w:r>
        <w:rPr/>
        <w:t>Section 2: Physical Topology &amp; Hardware Adaptations</w:t>
      </w:r>
    </w:p>
    <w:p>
      <w:pPr>
        <w:pStyle w:val="BodyText"/>
        <w:rPr/>
      </w:pPr>
      <w:r>
        <w:rPr/>
      </w:r>
    </w:p>
    <w:p>
      <w:pPr>
        <w:pStyle w:val="BodyText"/>
        <w:ind w:hanging="0" w:start="0" w:end="0"/>
        <w:rPr>
          <w:rFonts w:ascii="Calibri" w:hAnsi="Calibri"/>
        </w:rPr>
      </w:pPr>
      <w:r>
        <w:rPr>
          <w:rFonts w:ascii="Arial" w:hAnsi="Arial"/>
          <w:sz w:val="24"/>
          <w:szCs w:val="24"/>
        </w:rPr>
        <w:t>To represent each of the six research units, </w:t>
      </w:r>
      <w:r>
        <w:rPr>
          <w:rStyle w:val="Strong"/>
          <w:rFonts w:ascii="Arial" w:hAnsi="Arial"/>
          <w:sz w:val="24"/>
          <w:szCs w:val="24"/>
        </w:rPr>
        <w:t>Cisco 2911 Integrated Services Routers (ISRs)</w:t>
      </w:r>
      <w:r>
        <w:rPr>
          <w:rFonts w:ascii="Arial" w:hAnsi="Arial"/>
          <w:sz w:val="24"/>
          <w:szCs w:val="24"/>
        </w:rPr>
        <w:t> were deployed. Because the 2911 router natively features only three onboard GigabitEthernet ports, physical modifications were required to support multiple point-to-point connections:</w:t>
      </w:r>
    </w:p>
    <w:p>
      <w:pPr>
        <w:pStyle w:val="Heading4"/>
        <w:spacing w:lineRule="auto" w:line="276" w:before="0" w:after="140"/>
        <w:ind w:hanging="0" w:start="0" w:end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1. Hardware Expansion (Serial Modules)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Style w:val="Strong"/>
          <w:rFonts w:ascii="Arial" w:hAnsi="Arial"/>
          <w:sz w:val="24"/>
          <w:szCs w:val="24"/>
        </w:rPr>
        <w:t>The Problem:</w:t>
      </w:r>
      <w:r>
        <w:rPr>
          <w:rFonts w:ascii="Arial" w:hAnsi="Arial"/>
          <w:sz w:val="24"/>
          <w:szCs w:val="24"/>
        </w:rPr>
        <w:t> The central Sequencing Core Lab (SCL) and the Genome Validation Unit (GVU) require more physical ports than are natively available to connect to multiple neighboring routers and local LANs simultaneously.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Style w:val="Strong"/>
          <w:rFonts w:ascii="Arial" w:hAnsi="Arial"/>
          <w:sz w:val="24"/>
          <w:szCs w:val="24"/>
        </w:rPr>
        <w:t>The Solution:</w:t>
      </w:r>
      <w:r>
        <w:rPr>
          <w:rFonts w:ascii="Arial" w:hAnsi="Arial"/>
          <w:sz w:val="24"/>
          <w:szCs w:val="24"/>
        </w:rPr>
        <w:t> The routers were powered down, and </w:t>
      </w:r>
      <w:r>
        <w:rPr>
          <w:rStyle w:val="Strong"/>
          <w:rFonts w:ascii="Arial" w:hAnsi="Arial"/>
          <w:sz w:val="24"/>
          <w:szCs w:val="24"/>
        </w:rPr>
        <w:t>two HWIC-2T (High-Speed WAN Interface Card with 2 Serial Ports)</w:t>
      </w:r>
      <w:r>
        <w:rPr>
          <w:rFonts w:ascii="Arial" w:hAnsi="Arial"/>
          <w:sz w:val="24"/>
          <w:szCs w:val="24"/>
        </w:rPr>
        <w:t> modules were physically installed into the expansion slots of every router. This provides up to four Serial ports per device, ensuring full physical scalability for both primary and backup paths.</w:t>
      </w:r>
    </w:p>
    <w:p>
      <w:pPr>
        <w:pStyle w:val="Heading4"/>
        <w:spacing w:lineRule="auto" w:line="276" w:before="0" w:after="140"/>
        <w:ind w:hanging="0" w:start="0" w:end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2. Slot Mapping Observation (Physical Slot Assignment)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Fonts w:ascii="Arial" w:hAnsi="Arial"/>
          <w:sz w:val="24"/>
          <w:szCs w:val="24"/>
        </w:rPr>
        <w:t>During the hardware installation, the modules were populated into </w:t>
      </w:r>
      <w:r>
        <w:rPr>
          <w:rStyle w:val="Strong"/>
          <w:rFonts w:ascii="Arial" w:hAnsi="Arial"/>
          <w:sz w:val="24"/>
          <w:szCs w:val="24"/>
        </w:rPr>
        <w:t>Slot 2</w:t>
      </w:r>
      <w:r>
        <w:rPr>
          <w:rFonts w:ascii="Arial" w:hAnsi="Arial"/>
          <w:sz w:val="24"/>
          <w:szCs w:val="24"/>
        </w:rPr>
        <w:t> and </w:t>
      </w:r>
      <w:r>
        <w:rPr>
          <w:rStyle w:val="Strong"/>
          <w:rFonts w:ascii="Arial" w:hAnsi="Arial"/>
          <w:sz w:val="24"/>
          <w:szCs w:val="24"/>
        </w:rPr>
        <w:t>Slot 3</w:t>
      </w:r>
      <w:r>
        <w:rPr>
          <w:rFonts w:ascii="Arial" w:hAnsi="Arial"/>
          <w:sz w:val="24"/>
          <w:szCs w:val="24"/>
        </w:rPr>
        <w:t> of the chassis.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Fonts w:ascii="Arial" w:hAnsi="Arial"/>
          <w:sz w:val="24"/>
          <w:szCs w:val="24"/>
        </w:rPr>
        <w:t>This physical placement dynamically designated the interface identifiers in the Cisco IOS software as </w:t>
      </w:r>
      <w:r>
        <w:rPr>
          <w:rStyle w:val="Strong"/>
          <w:rFonts w:ascii="Arial" w:hAnsi="Arial"/>
          <w:sz w:val="24"/>
          <w:szCs w:val="24"/>
        </w:rPr>
        <w:t>Serial0/2/0</w:t>
      </w:r>
      <w:r>
        <w:rPr>
          <w:rFonts w:ascii="Arial" w:hAnsi="Arial"/>
          <w:sz w:val="24"/>
          <w:szCs w:val="24"/>
        </w:rPr>
        <w:t>, </w:t>
      </w:r>
      <w:r>
        <w:rPr>
          <w:rStyle w:val="Strong"/>
          <w:rFonts w:ascii="Arial" w:hAnsi="Arial"/>
          <w:sz w:val="24"/>
          <w:szCs w:val="24"/>
        </w:rPr>
        <w:t>Serial0/2/1</w:t>
      </w:r>
      <w:r>
        <w:rPr>
          <w:rFonts w:ascii="Arial" w:hAnsi="Arial"/>
          <w:sz w:val="24"/>
          <w:szCs w:val="24"/>
        </w:rPr>
        <w:t>, </w:t>
      </w:r>
      <w:r>
        <w:rPr>
          <w:rStyle w:val="Strong"/>
          <w:rFonts w:ascii="Arial" w:hAnsi="Arial"/>
          <w:sz w:val="24"/>
          <w:szCs w:val="24"/>
        </w:rPr>
        <w:t>Serial0/3/0</w:t>
      </w:r>
      <w:r>
        <w:rPr>
          <w:rFonts w:ascii="Arial" w:hAnsi="Arial"/>
          <w:sz w:val="24"/>
          <w:szCs w:val="24"/>
        </w:rPr>
        <w:t>, and </w:t>
      </w:r>
      <w:r>
        <w:rPr>
          <w:rStyle w:val="Strong"/>
          <w:rFonts w:ascii="Arial" w:hAnsi="Arial"/>
          <w:sz w:val="24"/>
          <w:szCs w:val="24"/>
        </w:rPr>
        <w:t>Serial0/3/1</w:t>
      </w:r>
      <w:r>
        <w:rPr>
          <w:rFonts w:ascii="Arial" w:hAnsi="Arial"/>
          <w:sz w:val="24"/>
          <w:szCs w:val="24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 w:end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This slot mapping was carefully noted to ensure that all subsequent CLI configuration scripts accurately targeted the physical ports on the devices.</w:t>
      </w:r>
    </w:p>
    <w:p>
      <w:pPr>
        <w:pStyle w:val="BodyText"/>
        <w:ind w:hanging="0" w:start="0" w:end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2"/>
        <w:ind w:hanging="0" w:start="0"/>
        <w:jc w:val="center"/>
        <w:rPr/>
      </w:pPr>
      <w:r>
        <w:rPr/>
        <w:t>Section 3: Cabling and Infrastructure Design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ind w:hanging="0" w:start="0" w:end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The physical connections across the topology were divided into three architectural layers:</w:t>
      </w:r>
    </w:p>
    <w:p>
      <w:pPr>
        <w:pStyle w:val="Heading4"/>
        <w:spacing w:lineRule="auto" w:line="276" w:before="0" w:after="140"/>
        <w:ind w:hanging="0" w:start="0" w:end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1. Local Area Networks (LANs)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Style w:val="Strong"/>
          <w:rFonts w:ascii="Arial" w:hAnsi="Arial"/>
          <w:sz w:val="24"/>
          <w:szCs w:val="24"/>
        </w:rPr>
        <w:t>Medium:</w:t>
      </w:r>
      <w:r>
        <w:rPr>
          <w:rFonts w:ascii="Arial" w:hAnsi="Arial"/>
          <w:sz w:val="24"/>
          <w:szCs w:val="24"/>
        </w:rPr>
        <w:t> </w:t>
      </w:r>
      <w:r>
        <w:rPr>
          <w:rStyle w:val="Strong"/>
          <w:rFonts w:ascii="Arial" w:hAnsi="Arial"/>
          <w:sz w:val="24"/>
          <w:szCs w:val="24"/>
        </w:rPr>
        <w:t>Copper Straight-Through</w:t>
      </w:r>
      <w:r>
        <w:rPr>
          <w:rFonts w:ascii="Arial" w:hAnsi="Arial"/>
          <w:sz w:val="24"/>
          <w:szCs w:val="24"/>
        </w:rPr>
        <w:t> cables.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Style w:val="Strong"/>
          <w:rFonts w:ascii="Arial" w:hAnsi="Arial"/>
          <w:sz w:val="24"/>
          <w:szCs w:val="24"/>
        </w:rPr>
        <w:t>Design:</w:t>
      </w:r>
      <w:r>
        <w:rPr>
          <w:rFonts w:ascii="Arial" w:hAnsi="Arial"/>
          <w:sz w:val="24"/>
          <w:szCs w:val="24"/>
        </w:rPr>
        <w:t> Each research unit LAN consists of end-devices (PCs and a Printer) connected to a </w:t>
      </w:r>
      <w:r>
        <w:rPr>
          <w:rStyle w:val="Strong"/>
          <w:rFonts w:ascii="Arial" w:hAnsi="Arial"/>
          <w:sz w:val="24"/>
          <w:szCs w:val="24"/>
        </w:rPr>
        <w:t>Cisco Catalyst 2960 24-Port Switch</w:t>
      </w:r>
      <w:r>
        <w:rPr>
          <w:rFonts w:ascii="Arial" w:hAnsi="Arial"/>
          <w:sz w:val="24"/>
          <w:szCs w:val="24"/>
        </w:rPr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Style w:val="Strong"/>
          <w:rFonts w:ascii="Arial" w:hAnsi="Arial"/>
          <w:sz w:val="24"/>
          <w:szCs w:val="24"/>
        </w:rPr>
        <w:t>Gateway Connection:</w:t>
      </w:r>
      <w:r>
        <w:rPr>
          <w:rFonts w:ascii="Arial" w:hAnsi="Arial"/>
          <w:sz w:val="24"/>
          <w:szCs w:val="24"/>
        </w:rPr>
        <w:t> To maintain configuration uniformity across all units, the local switch is connected to the router's </w:t>
      </w:r>
      <w:r>
        <w:rPr>
          <w:rStyle w:val="Strong"/>
          <w:rFonts w:ascii="Arial" w:hAnsi="Arial"/>
          <w:sz w:val="24"/>
          <w:szCs w:val="24"/>
        </w:rPr>
        <w:t>GigabitEthernet0/0</w:t>
      </w:r>
      <w:r>
        <w:rPr>
          <w:rFonts w:ascii="Arial" w:hAnsi="Arial"/>
          <w:sz w:val="24"/>
          <w:szCs w:val="24"/>
        </w:rPr>
        <w:t> port. This interface acts as the default gateway for the entire LAN.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Style w:val="Strong"/>
          <w:rFonts w:ascii="Arial" w:hAnsi="Arial"/>
          <w:sz w:val="24"/>
          <w:szCs w:val="24"/>
        </w:rPr>
        <w:t>SCL LAN Expansion:</w:t>
      </w:r>
      <w:r>
        <w:rPr>
          <w:rFonts w:ascii="Arial" w:hAnsi="Arial"/>
          <w:sz w:val="24"/>
          <w:szCs w:val="24"/>
        </w:rPr>
        <w:t> SCL hosts the core servers (DNS, Web, Email, and DHCP), which are connected directly to SCL's local switch (Switch0).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Style w:val="Strong"/>
          <w:rFonts w:ascii="Arial" w:hAnsi="Arial"/>
          <w:sz w:val="24"/>
          <w:szCs w:val="24"/>
        </w:rPr>
        <w:t>MDU LAN Expansion:</w:t>
      </w:r>
      <w:r>
        <w:rPr>
          <w:rFonts w:ascii="Arial" w:hAnsi="Arial"/>
          <w:sz w:val="24"/>
          <w:szCs w:val="24"/>
        </w:rPr>
        <w:t> MDU hosts its own local DHCP and Email servers connected to Switch3.</w:t>
      </w:r>
    </w:p>
    <w:p>
      <w:pPr>
        <w:pStyle w:val="Heading4"/>
        <w:spacing w:lineRule="auto" w:line="276" w:before="0" w:after="140"/>
        <w:ind w:hanging="0" w:start="0" w:end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2. The Shared Backbone WAN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Style w:val="Strong"/>
          <w:rFonts w:ascii="Arial" w:hAnsi="Arial"/>
          <w:sz w:val="24"/>
          <w:szCs w:val="24"/>
        </w:rPr>
        <w:t>Medium:</w:t>
      </w:r>
      <w:r>
        <w:rPr>
          <w:rFonts w:ascii="Arial" w:hAnsi="Arial"/>
          <w:sz w:val="24"/>
          <w:szCs w:val="24"/>
        </w:rPr>
        <w:t> </w:t>
      </w:r>
      <w:r>
        <w:rPr>
          <w:rStyle w:val="Strong"/>
          <w:rFonts w:ascii="Arial" w:hAnsi="Arial"/>
          <w:sz w:val="24"/>
          <w:szCs w:val="24"/>
        </w:rPr>
        <w:t>Copper Straight-Through</w:t>
      </w:r>
      <w:r>
        <w:rPr>
          <w:rFonts w:ascii="Arial" w:hAnsi="Arial"/>
          <w:sz w:val="24"/>
          <w:szCs w:val="24"/>
        </w:rPr>
        <w:t> cables.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Style w:val="Strong"/>
          <w:rFonts w:ascii="Arial" w:hAnsi="Arial"/>
          <w:sz w:val="24"/>
          <w:szCs w:val="24"/>
        </w:rPr>
        <w:t>Design:</w:t>
      </w:r>
      <w:r>
        <w:rPr>
          <w:rFonts w:ascii="Arial" w:hAnsi="Arial"/>
          <w:sz w:val="24"/>
          <w:szCs w:val="24"/>
        </w:rPr>
        <w:t> As required, the Read Mapping Unit (RMU), De Bruijn Graph Unit (DBG), and Motif Discovery Unit (MDU) are connected through a shared backbone switch (Switch6).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Style w:val="Strong"/>
          <w:rFonts w:ascii="Arial" w:hAnsi="Arial"/>
          <w:sz w:val="24"/>
          <w:szCs w:val="24"/>
        </w:rPr>
        <w:t>Routing Method:</w:t>
      </w:r>
      <w:r>
        <w:rPr>
          <w:rFonts w:ascii="Arial" w:hAnsi="Arial"/>
          <w:sz w:val="24"/>
          <w:szCs w:val="24"/>
        </w:rPr>
        <w:t> Rather than point-to-point links, this multi-access WAN operates within a single subnet (69.44.8.192/29). Routers connect to the backbone switch via their </w:t>
      </w:r>
      <w:r>
        <w:rPr>
          <w:rStyle w:val="Strong"/>
          <w:rFonts w:ascii="Arial" w:hAnsi="Arial"/>
          <w:sz w:val="24"/>
          <w:szCs w:val="24"/>
        </w:rPr>
        <w:t>GigabitEthernet0/1</w:t>
      </w:r>
      <w:r>
        <w:rPr>
          <w:rFonts w:ascii="Arial" w:hAnsi="Arial"/>
          <w:sz w:val="24"/>
          <w:szCs w:val="24"/>
        </w:rPr>
        <w:t> interfaces.</w:t>
      </w:r>
    </w:p>
    <w:p>
      <w:pPr>
        <w:pStyle w:val="Heading4"/>
        <w:spacing w:lineRule="auto" w:line="276" w:before="0" w:after="140"/>
        <w:ind w:hanging="0" w:start="0" w:end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3. Point-to-Point WAN Links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Style w:val="Strong"/>
          <w:rFonts w:ascii="Arial" w:hAnsi="Arial"/>
          <w:sz w:val="24"/>
          <w:szCs w:val="24"/>
        </w:rPr>
        <w:t>Medium:</w:t>
      </w:r>
      <w:r>
        <w:rPr>
          <w:rFonts w:ascii="Arial" w:hAnsi="Arial"/>
          <w:sz w:val="24"/>
          <w:szCs w:val="24"/>
        </w:rPr>
        <w:t> </w:t>
      </w:r>
      <w:r>
        <w:rPr>
          <w:rStyle w:val="Strong"/>
          <w:rFonts w:ascii="Arial" w:hAnsi="Arial"/>
          <w:sz w:val="24"/>
          <w:szCs w:val="24"/>
        </w:rPr>
        <w:t>Serial DCE</w:t>
      </w:r>
      <w:r>
        <w:rPr>
          <w:rFonts w:ascii="Arial" w:hAnsi="Arial"/>
          <w:sz w:val="24"/>
          <w:szCs w:val="24"/>
        </w:rPr>
        <w:t> cables.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Style w:val="Strong"/>
          <w:rFonts w:ascii="Arial" w:hAnsi="Arial"/>
          <w:sz w:val="24"/>
          <w:szCs w:val="24"/>
        </w:rPr>
        <w:t>Design:</w:t>
      </w:r>
      <w:r>
        <w:rPr>
          <w:rFonts w:ascii="Arial" w:hAnsi="Arial"/>
          <w:sz w:val="24"/>
          <w:szCs w:val="24"/>
        </w:rPr>
        <w:t> High-speed point-to-point serial links were established between neighboring routers.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Style w:val="Strong"/>
          <w:rFonts w:ascii="Arial" w:hAnsi="Arial"/>
          <w:sz w:val="24"/>
          <w:szCs w:val="24"/>
        </w:rPr>
        <w:t>Clocking:</w:t>
      </w:r>
      <w:r>
        <w:rPr>
          <w:rFonts w:ascii="Arial" w:hAnsi="Arial"/>
          <w:sz w:val="24"/>
          <w:szCs w:val="24"/>
        </w:rPr>
        <w:t> SCL and GVU act as the DCE ends for their respective links, meaning clock rate 64000 was configured on their interfaces to synchronize data transmission across the physical medium.</w:t>
      </w:r>
    </w:p>
    <w:p>
      <w:pPr>
        <w:pStyle w:val="BodyText"/>
        <w:ind w:hanging="0" w:start="0" w:end="0"/>
        <w:rPr/>
      </w:pPr>
      <w:r>
        <w:rPr/>
      </w:r>
    </w:p>
    <w:p>
      <w:pPr>
        <w:pStyle w:val="Heading2"/>
        <w:numPr>
          <w:ilvl w:val="0"/>
          <w:numId w:val="0"/>
        </w:numPr>
        <w:ind w:hanging="0" w:start="0"/>
        <w:jc w:val="center"/>
        <w:rPr/>
      </w:pPr>
      <w:r>
        <w:rPr/>
        <w:t>Section 4: Gateway &amp; Static IP Address Mapping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ind w:hanging="0" w:start="0" w:end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 strict IP allocation strategy was applied to static network elements [2]: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Style w:val="Strong"/>
          <w:rFonts w:ascii="Arial" w:hAnsi="Arial"/>
          <w:sz w:val="24"/>
          <w:szCs w:val="24"/>
        </w:rPr>
        <w:t>Default Gateways:</w:t>
      </w:r>
      <w:r>
        <w:rPr>
          <w:rFonts w:ascii="Arial" w:hAnsi="Arial"/>
          <w:sz w:val="24"/>
          <w:szCs w:val="24"/>
        </w:rPr>
        <w:t> The </w:t>
      </w:r>
      <w:r>
        <w:rPr>
          <w:rStyle w:val="Strong"/>
          <w:rFonts w:ascii="Arial" w:hAnsi="Arial"/>
          <w:sz w:val="24"/>
          <w:szCs w:val="24"/>
        </w:rPr>
        <w:t>first usable host IP address</w:t>
      </w:r>
      <w:r>
        <w:rPr>
          <w:rFonts w:ascii="Arial" w:hAnsi="Arial"/>
          <w:sz w:val="24"/>
          <w:szCs w:val="24"/>
        </w:rPr>
        <w:t> of each LAN subnet was consistently assigned to the router's GigabitEthernet0/0 interface.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Style w:val="Strong"/>
          <w:rFonts w:ascii="Arial" w:hAnsi="Arial"/>
          <w:sz w:val="24"/>
          <w:szCs w:val="24"/>
        </w:rPr>
        <w:t>Servers &amp; Printers:</w:t>
      </w:r>
      <w:r>
        <w:rPr>
          <w:rFonts w:ascii="Arial" w:hAnsi="Arial"/>
          <w:sz w:val="24"/>
          <w:szCs w:val="24"/>
        </w:rPr>
        <w:t> Configured with static IP addresses starting from the second usable address upward (e.g., .2, .3, .4).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Style w:val="Strong"/>
          <w:rFonts w:ascii="Arial" w:hAnsi="Arial"/>
          <w:sz w:val="24"/>
          <w:szCs w:val="24"/>
        </w:rPr>
        <w:t>Archive Storage Node (ASN):</w:t>
      </w:r>
      <w:r>
        <w:rPr>
          <w:rFonts w:ascii="Arial" w:hAnsi="Arial"/>
          <w:sz w:val="24"/>
          <w:szCs w:val="24"/>
        </w:rPr>
        <w:t> As ASN is a static-only environment, both PC10 and PC11 were configured manually with static IPs, subnet masks, default gateways, and a pointer to the SCL DNS Server (69.44.0.2).</w:t>
      </w:r>
    </w:p>
    <w:p>
      <w:pPr>
        <w:pStyle w:val="BodyText"/>
        <w:ind w:hanging="0" w:start="0" w:end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4"/>
        <w:ind w:hanging="0" w:start="0" w:end="0"/>
        <w:rPr>
          <w:rFonts w:ascii="Arial" w:hAnsi="Arial"/>
          <w:b w:val="false"/>
          <w:bCs w:val="false"/>
          <w:i/>
          <w:iCs/>
          <w:sz w:val="24"/>
          <w:szCs w:val="24"/>
        </w:rPr>
      </w:pPr>
      <w:r>
        <w:rPr>
          <w:rFonts w:ascii="Arial" w:hAnsi="Arial"/>
          <w:b w:val="false"/>
          <w:bCs w:val="false"/>
          <w:i/>
          <w:iCs/>
          <w:sz w:val="24"/>
          <w:szCs w:val="24"/>
        </w:rPr>
        <w:t>Summary of Gateways and Dedicated Device IPs:</w:t>
      </w:r>
    </w:p>
    <w:tbl>
      <w:tblPr>
        <w:tblW w:w="1044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50"/>
        <w:gridCol w:w="3060"/>
        <w:gridCol w:w="2250"/>
        <w:gridCol w:w="1980"/>
      </w:tblGrid>
      <w:tr>
        <w:trPr>
          <w:trHeight w:val="540" w:hRule="atLeast"/>
        </w:trPr>
        <w:tc>
          <w:tcPr>
            <w:tcW w:w="3150" w:type="dxa"/>
            <w:tcBorders/>
            <w:shd w:fill="2A6099" w:val="clear"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i/>
                <w:iCs/>
                <w:sz w:val="18"/>
                <w:szCs w:val="18"/>
              </w:rPr>
            </w:pPr>
            <w:r>
              <w:rPr>
                <w:rFonts w:ascii="Arial" w:hAnsi="Arial"/>
                <w:i/>
                <w:iCs/>
                <w:sz w:val="18"/>
                <w:szCs w:val="18"/>
              </w:rPr>
              <w:t>Device Name</w:t>
            </w:r>
          </w:p>
        </w:tc>
        <w:tc>
          <w:tcPr>
            <w:tcW w:w="3060" w:type="dxa"/>
            <w:tcBorders/>
            <w:shd w:fill="2A6099" w:val="clear"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i/>
                <w:iCs/>
                <w:sz w:val="18"/>
                <w:szCs w:val="18"/>
              </w:rPr>
            </w:pPr>
            <w:r>
              <w:rPr>
                <w:rFonts w:ascii="Arial" w:hAnsi="Arial"/>
                <w:i/>
                <w:iCs/>
                <w:sz w:val="18"/>
                <w:szCs w:val="18"/>
              </w:rPr>
              <w:t>Assigned IP Address</w:t>
            </w:r>
          </w:p>
        </w:tc>
        <w:tc>
          <w:tcPr>
            <w:tcW w:w="2250" w:type="dxa"/>
            <w:tcBorders/>
            <w:shd w:fill="2A6099" w:val="clear"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i/>
                <w:iCs/>
                <w:sz w:val="18"/>
                <w:szCs w:val="18"/>
              </w:rPr>
            </w:pPr>
            <w:r>
              <w:rPr>
                <w:rFonts w:ascii="Arial" w:hAnsi="Arial"/>
                <w:i/>
                <w:iCs/>
                <w:sz w:val="18"/>
                <w:szCs w:val="18"/>
              </w:rPr>
              <w:t>Subnet Mask</w:t>
            </w:r>
          </w:p>
        </w:tc>
        <w:tc>
          <w:tcPr>
            <w:tcW w:w="1980" w:type="dxa"/>
            <w:tcBorders/>
            <w:shd w:fill="2A6099" w:val="clear"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i/>
                <w:iCs/>
                <w:sz w:val="18"/>
                <w:szCs w:val="18"/>
              </w:rPr>
            </w:pPr>
            <w:r>
              <w:rPr>
                <w:rFonts w:ascii="Arial" w:hAnsi="Arial"/>
                <w:i/>
                <w:iCs/>
                <w:sz w:val="18"/>
                <w:szCs w:val="18"/>
              </w:rPr>
              <w:t>Default Gateway</w:t>
            </w:r>
          </w:p>
        </w:tc>
      </w:tr>
      <w:tr>
        <w:trPr>
          <w:trHeight w:val="514" w:hRule="atLeast"/>
        </w:trPr>
        <w:tc>
          <w:tcPr>
            <w:tcW w:w="3150" w:type="dxa"/>
            <w:tcBorders/>
            <w:shd w:fill="158466" w:val="clear"/>
            <w:vAlign w:val="center"/>
          </w:tcPr>
          <w:p>
            <w:pPr>
              <w:pStyle w:val="TableContents"/>
              <w:ind w:hanging="0" w:start="0" w:end="0"/>
              <w:jc w:val="center"/>
              <w:rPr/>
            </w:pPr>
            <w:r>
              <w:rPr>
                <w:rStyle w:val="Strong"/>
                <w:rFonts w:ascii="Arial" w:hAnsi="Arial"/>
                <w:sz w:val="18"/>
                <w:szCs w:val="18"/>
              </w:rPr>
              <w:t>SCL Router (LAN Gateway)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69.44.0.1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255.255.252.0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N/A</w:t>
            </w:r>
          </w:p>
        </w:tc>
      </w:tr>
      <w:tr>
        <w:trPr/>
        <w:tc>
          <w:tcPr>
            <w:tcW w:w="3150" w:type="dxa"/>
            <w:tcBorders/>
            <w:vAlign w:val="center"/>
          </w:tcPr>
          <w:p>
            <w:pPr>
              <w:pStyle w:val="TableContents"/>
              <w:numPr>
                <w:ilvl w:val="0"/>
                <w:numId w:val="11"/>
              </w:numPr>
              <w:jc w:val="star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SCL DNS Server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69.44.0.2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255.255.252.0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69.44.0.1</w:t>
            </w:r>
          </w:p>
        </w:tc>
      </w:tr>
      <w:tr>
        <w:trPr/>
        <w:tc>
          <w:tcPr>
            <w:tcW w:w="3150" w:type="dxa"/>
            <w:tcBorders/>
            <w:vAlign w:val="center"/>
          </w:tcPr>
          <w:p>
            <w:pPr>
              <w:pStyle w:val="TableContents"/>
              <w:numPr>
                <w:ilvl w:val="0"/>
                <w:numId w:val="11"/>
              </w:numPr>
              <w:jc w:val="star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SCL Web Server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69.44.0.3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255.255.252.0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69.44.0.1</w:t>
            </w:r>
          </w:p>
        </w:tc>
      </w:tr>
      <w:tr>
        <w:trPr/>
        <w:tc>
          <w:tcPr>
            <w:tcW w:w="3150" w:type="dxa"/>
            <w:tcBorders/>
            <w:vAlign w:val="center"/>
          </w:tcPr>
          <w:p>
            <w:pPr>
              <w:pStyle w:val="TableContents"/>
              <w:numPr>
                <w:ilvl w:val="0"/>
                <w:numId w:val="11"/>
              </w:numPr>
              <w:jc w:val="star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SCL Email Server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69.44.0.4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255.255.252.0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69.44.0.1</w:t>
            </w:r>
          </w:p>
        </w:tc>
      </w:tr>
      <w:tr>
        <w:trPr/>
        <w:tc>
          <w:tcPr>
            <w:tcW w:w="3150" w:type="dxa"/>
            <w:tcBorders/>
            <w:vAlign w:val="center"/>
          </w:tcPr>
          <w:p>
            <w:pPr>
              <w:pStyle w:val="TableContents"/>
              <w:numPr>
                <w:ilvl w:val="0"/>
                <w:numId w:val="11"/>
              </w:numPr>
              <w:jc w:val="star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SCL DHCP Server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69.44.0.5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255.255.252.0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69.44.0.1</w:t>
            </w:r>
          </w:p>
        </w:tc>
      </w:tr>
      <w:tr>
        <w:trPr/>
        <w:tc>
          <w:tcPr>
            <w:tcW w:w="3150" w:type="dxa"/>
            <w:tcBorders/>
            <w:vAlign w:val="center"/>
          </w:tcPr>
          <w:p>
            <w:pPr>
              <w:pStyle w:val="TableContents"/>
              <w:numPr>
                <w:ilvl w:val="0"/>
                <w:numId w:val="11"/>
              </w:numPr>
              <w:jc w:val="star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SCL Printer (Printer0)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69.44.0.6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255.255.252.0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69.44.0.1</w:t>
            </w:r>
          </w:p>
        </w:tc>
      </w:tr>
      <w:tr>
        <w:trPr>
          <w:trHeight w:val="519" w:hRule="atLeast"/>
        </w:trPr>
        <w:tc>
          <w:tcPr>
            <w:tcW w:w="3150" w:type="dxa"/>
            <w:tcBorders/>
            <w:shd w:fill="158466" w:val="clear"/>
            <w:vAlign w:val="center"/>
          </w:tcPr>
          <w:p>
            <w:pPr>
              <w:pStyle w:val="TableContents"/>
              <w:ind w:hanging="0" w:start="0" w:end="0"/>
              <w:jc w:val="center"/>
              <w:rPr/>
            </w:pPr>
            <w:r>
              <w:rPr>
                <w:rStyle w:val="Strong"/>
                <w:rFonts w:ascii="Arial" w:hAnsi="Arial"/>
                <w:sz w:val="18"/>
                <w:szCs w:val="18"/>
              </w:rPr>
              <w:t>RMU Router (LAN Gateway)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69.44.4.1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255.255.254.0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N/A</w:t>
            </w:r>
          </w:p>
        </w:tc>
      </w:tr>
      <w:tr>
        <w:trPr/>
        <w:tc>
          <w:tcPr>
            <w:tcW w:w="3150" w:type="dxa"/>
            <w:tcBorders/>
            <w:vAlign w:val="center"/>
          </w:tcPr>
          <w:p>
            <w:pPr>
              <w:pStyle w:val="TableContents"/>
              <w:numPr>
                <w:ilvl w:val="0"/>
                <w:numId w:val="12"/>
              </w:numPr>
              <w:jc w:val="star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RMU Printer (Printer1)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69.44.4.2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255.255.254.0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69.44.4.1</w:t>
            </w:r>
          </w:p>
        </w:tc>
      </w:tr>
      <w:tr>
        <w:trPr>
          <w:trHeight w:val="491" w:hRule="atLeast"/>
        </w:trPr>
        <w:tc>
          <w:tcPr>
            <w:tcW w:w="3150" w:type="dxa"/>
            <w:tcBorders/>
            <w:shd w:fill="158466" w:val="clear"/>
            <w:vAlign w:val="center"/>
          </w:tcPr>
          <w:p>
            <w:pPr>
              <w:pStyle w:val="TableContents"/>
              <w:ind w:hanging="0" w:start="0" w:end="0"/>
              <w:jc w:val="center"/>
              <w:rPr/>
            </w:pPr>
            <w:r>
              <w:rPr>
                <w:rStyle w:val="Strong"/>
                <w:rFonts w:ascii="Arial" w:hAnsi="Arial"/>
                <w:sz w:val="18"/>
                <w:szCs w:val="18"/>
              </w:rPr>
              <w:t>DBG Router (LAN Gateway)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69.44.6.1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255.255.255.0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N/A</w:t>
            </w:r>
          </w:p>
        </w:tc>
      </w:tr>
      <w:tr>
        <w:trPr/>
        <w:tc>
          <w:tcPr>
            <w:tcW w:w="3150" w:type="dxa"/>
            <w:tcBorders/>
            <w:vAlign w:val="center"/>
          </w:tcPr>
          <w:p>
            <w:pPr>
              <w:pStyle w:val="TableContents"/>
              <w:numPr>
                <w:ilvl w:val="0"/>
                <w:numId w:val="13"/>
              </w:numPr>
              <w:jc w:val="star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DBG Printer (Printer2)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69.44.6.2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255.255.255.0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69.44.6.1</w:t>
            </w:r>
          </w:p>
        </w:tc>
      </w:tr>
      <w:tr>
        <w:trPr>
          <w:trHeight w:val="491" w:hRule="atLeast"/>
        </w:trPr>
        <w:tc>
          <w:tcPr>
            <w:tcW w:w="3150" w:type="dxa"/>
            <w:tcBorders/>
            <w:shd w:fill="158466" w:val="clear"/>
            <w:vAlign w:val="center"/>
          </w:tcPr>
          <w:p>
            <w:pPr>
              <w:pStyle w:val="TableContents"/>
              <w:ind w:hanging="0" w:start="0" w:end="0"/>
              <w:jc w:val="center"/>
              <w:rPr/>
            </w:pPr>
            <w:r>
              <w:rPr>
                <w:rStyle w:val="Strong"/>
                <w:rFonts w:ascii="Arial" w:hAnsi="Arial"/>
                <w:sz w:val="18"/>
                <w:szCs w:val="18"/>
              </w:rPr>
              <w:t>MDU Router (LAN Gateway)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69.44.7.1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255.255.255.0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N/A</w:t>
            </w:r>
          </w:p>
        </w:tc>
      </w:tr>
      <w:tr>
        <w:trPr/>
        <w:tc>
          <w:tcPr>
            <w:tcW w:w="3150" w:type="dxa"/>
            <w:tcBorders/>
            <w:vAlign w:val="center"/>
          </w:tcPr>
          <w:p>
            <w:pPr>
              <w:pStyle w:val="TableContents"/>
              <w:numPr>
                <w:ilvl w:val="0"/>
                <w:numId w:val="14"/>
              </w:numPr>
              <w:jc w:val="star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MDU Email Server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69.44.7.2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255.255.255.0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69.44.7.1</w:t>
            </w:r>
          </w:p>
        </w:tc>
      </w:tr>
      <w:tr>
        <w:trPr/>
        <w:tc>
          <w:tcPr>
            <w:tcW w:w="3150" w:type="dxa"/>
            <w:tcBorders/>
            <w:vAlign w:val="center"/>
          </w:tcPr>
          <w:p>
            <w:pPr>
              <w:pStyle w:val="TableContents"/>
              <w:numPr>
                <w:ilvl w:val="0"/>
                <w:numId w:val="14"/>
              </w:numPr>
              <w:jc w:val="star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MDU DHCP Server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69.44.7.3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255.255.255.0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69.44.7.1</w:t>
            </w:r>
          </w:p>
        </w:tc>
      </w:tr>
      <w:tr>
        <w:trPr/>
        <w:tc>
          <w:tcPr>
            <w:tcW w:w="3150" w:type="dxa"/>
            <w:tcBorders/>
            <w:vAlign w:val="center"/>
          </w:tcPr>
          <w:p>
            <w:pPr>
              <w:pStyle w:val="TableContents"/>
              <w:numPr>
                <w:ilvl w:val="0"/>
                <w:numId w:val="14"/>
              </w:numPr>
              <w:jc w:val="star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MDU Printer (Printer3)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69.44.7.4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255.255.255.0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69.44.7.1</w:t>
            </w:r>
          </w:p>
        </w:tc>
      </w:tr>
      <w:tr>
        <w:trPr>
          <w:trHeight w:val="505" w:hRule="atLeast"/>
        </w:trPr>
        <w:tc>
          <w:tcPr>
            <w:tcW w:w="3150" w:type="dxa"/>
            <w:tcBorders/>
            <w:shd w:fill="158466" w:val="clear"/>
            <w:vAlign w:val="center"/>
          </w:tcPr>
          <w:p>
            <w:pPr>
              <w:pStyle w:val="TableContents"/>
              <w:ind w:hanging="0" w:start="0" w:end="0"/>
              <w:jc w:val="center"/>
              <w:rPr/>
            </w:pPr>
            <w:r>
              <w:rPr>
                <w:rStyle w:val="Strong"/>
                <w:rFonts w:ascii="Arial" w:hAnsi="Arial"/>
                <w:sz w:val="18"/>
                <w:szCs w:val="18"/>
              </w:rPr>
              <w:t>GVU Router (LAN Gateway)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69.44.8.1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255.255.255.128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N/A</w:t>
            </w:r>
          </w:p>
        </w:tc>
      </w:tr>
      <w:tr>
        <w:trPr/>
        <w:tc>
          <w:tcPr>
            <w:tcW w:w="3150" w:type="dxa"/>
            <w:tcBorders/>
            <w:vAlign w:val="center"/>
          </w:tcPr>
          <w:p>
            <w:pPr>
              <w:pStyle w:val="TableContents"/>
              <w:numPr>
                <w:ilvl w:val="0"/>
                <w:numId w:val="15"/>
              </w:numPr>
              <w:jc w:val="star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GVU Printer (Printer4)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69.44.8.2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255.255.255.128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69.44.8.1</w:t>
            </w:r>
          </w:p>
        </w:tc>
      </w:tr>
      <w:tr>
        <w:trPr>
          <w:trHeight w:val="491" w:hRule="atLeast"/>
        </w:trPr>
        <w:tc>
          <w:tcPr>
            <w:tcW w:w="3150" w:type="dxa"/>
            <w:tcBorders/>
            <w:shd w:fill="158466" w:val="clear"/>
            <w:vAlign w:val="center"/>
          </w:tcPr>
          <w:p>
            <w:pPr>
              <w:pStyle w:val="TableContents"/>
              <w:ind w:hanging="0" w:start="0" w:end="0"/>
              <w:jc w:val="center"/>
              <w:rPr/>
            </w:pPr>
            <w:r>
              <w:rPr>
                <w:rStyle w:val="Strong"/>
                <w:rFonts w:ascii="Arial" w:hAnsi="Arial"/>
                <w:sz w:val="18"/>
                <w:szCs w:val="18"/>
              </w:rPr>
              <w:t>ASN Router (LAN Gateway)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69.44.8.129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255.255.255.192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N/A</w:t>
            </w:r>
          </w:p>
        </w:tc>
      </w:tr>
      <w:tr>
        <w:trPr/>
        <w:tc>
          <w:tcPr>
            <w:tcW w:w="3150" w:type="dxa"/>
            <w:tcBorders/>
            <w:vAlign w:val="center"/>
          </w:tcPr>
          <w:p>
            <w:pPr>
              <w:pStyle w:val="TableContents"/>
              <w:numPr>
                <w:ilvl w:val="0"/>
                <w:numId w:val="16"/>
              </w:numPr>
              <w:jc w:val="star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ASN Printer (Printer5)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69.44.8.130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255.255.255.192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69.44.8.129</w:t>
            </w:r>
          </w:p>
        </w:tc>
      </w:tr>
      <w:tr>
        <w:trPr/>
        <w:tc>
          <w:tcPr>
            <w:tcW w:w="3150" w:type="dxa"/>
            <w:tcBorders/>
            <w:vAlign w:val="center"/>
          </w:tcPr>
          <w:p>
            <w:pPr>
              <w:pStyle w:val="TableContents"/>
              <w:numPr>
                <w:ilvl w:val="0"/>
                <w:numId w:val="16"/>
              </w:numPr>
              <w:jc w:val="star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ASN Client PC (PC10)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69.44.8.131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255.255.255.192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69.44.8.129</w:t>
            </w:r>
          </w:p>
        </w:tc>
      </w:tr>
      <w:tr>
        <w:trPr/>
        <w:tc>
          <w:tcPr>
            <w:tcW w:w="3150" w:type="dxa"/>
            <w:tcBorders/>
            <w:vAlign w:val="center"/>
          </w:tcPr>
          <w:p>
            <w:pPr>
              <w:pStyle w:val="TableContents"/>
              <w:numPr>
                <w:ilvl w:val="0"/>
                <w:numId w:val="16"/>
              </w:numPr>
              <w:jc w:val="star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ASN Client PC (PC11)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69.44.8.132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255.255.255.192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69.44.8.129</w:t>
            </w:r>
          </w:p>
        </w:tc>
      </w:tr>
    </w:tbl>
    <w:p>
      <w:pPr>
        <w:pStyle w:val="BodyText"/>
        <w:ind w:hanging="0" w:start="0" w:end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2"/>
        <w:ind w:hanging="0" w:start="0"/>
        <w:jc w:val="center"/>
        <w:rPr/>
      </w:pPr>
      <w:r>
        <w:rPr/>
        <w:t>Section 5: Current Implementation Status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Style w:val="Strong"/>
          <w:rFonts w:ascii="Arial" w:hAnsi="Arial"/>
          <w:sz w:val="24"/>
          <w:szCs w:val="24"/>
        </w:rPr>
        <w:t>Physical Topology:</w:t>
      </w:r>
      <w:r>
        <w:rPr>
          <w:rFonts w:ascii="Arial" w:hAnsi="Arial"/>
          <w:sz w:val="24"/>
          <w:szCs w:val="24"/>
        </w:rPr>
        <w:t> All routers, switches, servers, printers, and client PCs have been successfully placed, module-expanded, and interconnected.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Style w:val="Strong"/>
          <w:rFonts w:ascii="Arial" w:hAnsi="Arial"/>
          <w:sz w:val="24"/>
          <w:szCs w:val="24"/>
        </w:rPr>
        <w:t>Interface Initialization:</w:t>
      </w:r>
      <w:r>
        <w:rPr>
          <w:rFonts w:ascii="Arial" w:hAnsi="Arial"/>
          <w:sz w:val="24"/>
          <w:szCs w:val="24"/>
        </w:rPr>
        <w:t> Basic configuration scripts have been executed on all six routers. This process: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 w:end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Set custom hostnames on each router corresponding to its research unit.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 w:end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Disabled DNS domain-lookup on routers to prevent input freezes during CLI typos.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 w:end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Assigned static IP addresses and subnet masks to all local LAN interfaces and interconnecting WAN interfaces.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 w:end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Issued the no shutdown command on all configured interfaces, successfully bringing up all links to an active state (indicated by green connection triangles across the entire topology).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 w:end="0"/>
        <w:rPr>
          <w:rFonts w:ascii="Calibri" w:hAnsi="Calibri"/>
        </w:rPr>
      </w:pPr>
      <w:r>
        <w:rPr>
          <w:rStyle w:val="Strong"/>
          <w:rFonts w:ascii="Arial" w:hAnsi="Arial"/>
          <w:sz w:val="24"/>
          <w:szCs w:val="24"/>
        </w:rPr>
        <w:t>Static Endpoint Configuration:</w:t>
      </w:r>
      <w:r>
        <w:rPr>
          <w:rFonts w:ascii="Arial" w:hAnsi="Arial"/>
          <w:sz w:val="24"/>
          <w:szCs w:val="24"/>
        </w:rPr>
        <w:t> All servers, printers, and the ASN LAN end-devices have been configured manually with their respective IP parameters, establishing physical and local-link readiness.</w:t>
      </w:r>
    </w:p>
    <w:p>
      <w:pPr>
        <w:pStyle w:val="BodyText"/>
        <w:ind w:hanging="0" w:start="0" w:end="0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Heading2"/>
        <w:ind w:hanging="0" w:start="0"/>
        <w:jc w:val="center"/>
        <w:rPr/>
      </w:pPr>
      <w:r>
        <w:rPr>
          <w:rStyle w:val="Strong"/>
          <w:b/>
          <w:bCs/>
        </w:rPr>
        <w:t xml:space="preserve">Section 6: </w:t>
      </w:r>
      <w:r>
        <w:rPr>
          <w:rStyle w:val="Strong"/>
          <w:b/>
          <w:bCs/>
        </w:rPr>
        <w:t>LAN Sub-nets (Sorted from Largest to Smallest)</w:t>
      </w:r>
    </w:p>
    <w:p>
      <w:pPr>
        <w:pStyle w:val="BodyText"/>
        <w:jc w:val="center"/>
        <w:rPr>
          <w:rStyle w:val="Strong"/>
        </w:rPr>
      </w:pPr>
      <w:r>
        <w:rPr/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47"/>
        <w:gridCol w:w="1147"/>
        <w:gridCol w:w="1726"/>
        <w:gridCol w:w="679"/>
        <w:gridCol w:w="1392"/>
        <w:gridCol w:w="1708"/>
        <w:gridCol w:w="1473"/>
      </w:tblGrid>
      <w:tr>
        <w:trPr>
          <w:trHeight w:val="720" w:hRule="atLeast"/>
        </w:trPr>
        <w:tc>
          <w:tcPr>
            <w:tcW w:w="1847" w:type="dxa"/>
            <w:tcBorders/>
            <w:shd w:fill="2A6099" w:val="clear"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i/>
                <w:iCs/>
                <w:sz w:val="18"/>
                <w:szCs w:val="18"/>
              </w:rPr>
              <w:t>Unit Name</w:t>
            </w:r>
          </w:p>
        </w:tc>
        <w:tc>
          <w:tcPr>
            <w:tcW w:w="1147" w:type="dxa"/>
            <w:tcBorders/>
            <w:shd w:fill="2A6099" w:val="clear"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i/>
                <w:iCs/>
                <w:sz w:val="18"/>
                <w:szCs w:val="18"/>
              </w:rPr>
              <w:t>Required Hosts</w:t>
            </w:r>
          </w:p>
        </w:tc>
        <w:tc>
          <w:tcPr>
            <w:tcW w:w="1726" w:type="dxa"/>
            <w:tcBorders/>
            <w:shd w:fill="2A6099" w:val="clear"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i/>
                <w:iCs/>
                <w:sz w:val="18"/>
                <w:szCs w:val="18"/>
              </w:rPr>
              <w:t>Subnet Mask</w:t>
            </w:r>
          </w:p>
        </w:tc>
        <w:tc>
          <w:tcPr>
            <w:tcW w:w="679" w:type="dxa"/>
            <w:tcBorders/>
            <w:shd w:fill="2A6099" w:val="clear"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i/>
                <w:iCs/>
                <w:sz w:val="18"/>
                <w:szCs w:val="18"/>
              </w:rPr>
              <w:t>CIDR</w:t>
            </w:r>
          </w:p>
        </w:tc>
        <w:tc>
          <w:tcPr>
            <w:tcW w:w="1392" w:type="dxa"/>
            <w:tcBorders/>
            <w:shd w:fill="2A6099" w:val="clear"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i/>
                <w:iCs/>
                <w:sz w:val="18"/>
                <w:szCs w:val="18"/>
              </w:rPr>
              <w:t>Network Address</w:t>
            </w:r>
          </w:p>
        </w:tc>
        <w:tc>
          <w:tcPr>
            <w:tcW w:w="1708" w:type="dxa"/>
            <w:tcBorders/>
            <w:shd w:fill="2A6099" w:val="clear"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i/>
                <w:iCs/>
                <w:sz w:val="18"/>
                <w:szCs w:val="18"/>
              </w:rPr>
              <w:t>Usable IP Range</w:t>
            </w:r>
          </w:p>
        </w:tc>
        <w:tc>
          <w:tcPr>
            <w:tcW w:w="1473" w:type="dxa"/>
            <w:tcBorders/>
            <w:shd w:fill="2A6099" w:val="clear"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  <w:i/>
                <w:iCs/>
                <w:sz w:val="18"/>
                <w:szCs w:val="18"/>
              </w:rPr>
              <w:t>Broadcast Address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Sequencing Core Lab (SCL)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520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255.255.252.0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/22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69.44.0.0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69.44.0.1 - 69.44.3.254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69.44.3.255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Read Mapping Unit (RMU)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300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255.255.254.0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/23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69.44.4.0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69.44.4.1 - 69.44.5.254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69.44.5.255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De Bruijn Graph Unit (DBG)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220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255.255.255.0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/24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69.44.6.0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69.44.6.1 - 69.44.6.254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69.44.6.255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Motif Discovery Unit (MDU)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160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255.255.255.0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/24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69.44.7.0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69.44.7.1 - 69.44.7.254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69.44.7.255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Genome Validation Unit (GVU)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90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255.255.255.128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/25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69.44.8.0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69.44.8.1 - 69.44.8.126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69.44.8.127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Archive Storage Node (ASN)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45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255.255.255.192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/26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69.44.8.128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69.44.8.129 - 69.44.8.190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69.44.8.191</w:t>
            </w:r>
          </w:p>
        </w:tc>
      </w:tr>
    </w:tbl>
    <w:p>
      <w:pPr>
        <w:pStyle w:val="BodyText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Heading2"/>
        <w:ind w:hanging="0" w:start="0"/>
        <w:jc w:val="center"/>
        <w:rPr/>
      </w:pPr>
      <w:r>
        <w:rPr>
          <w:rStyle w:val="Strong"/>
          <w:b/>
          <w:bCs/>
        </w:rPr>
        <w:t xml:space="preserve">Section 7: </w:t>
      </w:r>
      <w:r>
        <w:rPr>
          <w:rStyle w:val="Strong"/>
          <w:b/>
          <w:bCs/>
        </w:rPr>
        <w:t>WAN Sub-nets (Connections between Routers)</w:t>
      </w:r>
    </w:p>
    <w:p>
      <w:pPr>
        <w:pStyle w:val="BodyText"/>
        <w:jc w:val="center"/>
        <w:rPr>
          <w:rStyle w:val="Strong"/>
        </w:rPr>
      </w:pPr>
      <w:r>
        <w:rPr/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26"/>
        <w:gridCol w:w="1154"/>
        <w:gridCol w:w="1726"/>
        <w:gridCol w:w="679"/>
        <w:gridCol w:w="1498"/>
        <w:gridCol w:w="1989"/>
      </w:tblGrid>
      <w:tr>
        <w:trPr>
          <w:trHeight w:val="720" w:hRule="atLeast"/>
        </w:trPr>
        <w:tc>
          <w:tcPr>
            <w:tcW w:w="2926" w:type="dxa"/>
            <w:tcBorders/>
            <w:shd w:fill="2A6099" w:val="clear"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i/>
                <w:iCs/>
                <w:sz w:val="18"/>
                <w:szCs w:val="18"/>
              </w:rPr>
              <w:t>WAN Link</w:t>
            </w:r>
          </w:p>
        </w:tc>
        <w:tc>
          <w:tcPr>
            <w:tcW w:w="1154" w:type="dxa"/>
            <w:tcBorders/>
            <w:shd w:fill="2A6099" w:val="clear"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i/>
                <w:iCs/>
                <w:sz w:val="18"/>
                <w:szCs w:val="18"/>
              </w:rPr>
              <w:t>Required IPs</w:t>
            </w:r>
          </w:p>
        </w:tc>
        <w:tc>
          <w:tcPr>
            <w:tcW w:w="1726" w:type="dxa"/>
            <w:tcBorders/>
            <w:shd w:fill="2A6099" w:val="clear"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i/>
                <w:iCs/>
                <w:sz w:val="18"/>
                <w:szCs w:val="18"/>
              </w:rPr>
              <w:t>Subnet Mask</w:t>
            </w:r>
          </w:p>
        </w:tc>
        <w:tc>
          <w:tcPr>
            <w:tcW w:w="679" w:type="dxa"/>
            <w:tcBorders/>
            <w:shd w:fill="2A6099" w:val="clear"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i/>
                <w:iCs/>
                <w:sz w:val="18"/>
                <w:szCs w:val="18"/>
              </w:rPr>
              <w:t>CIDR</w:t>
            </w:r>
          </w:p>
        </w:tc>
        <w:tc>
          <w:tcPr>
            <w:tcW w:w="1498" w:type="dxa"/>
            <w:tcBorders/>
            <w:shd w:fill="2A6099" w:val="clear"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i/>
                <w:iCs/>
                <w:sz w:val="18"/>
                <w:szCs w:val="18"/>
              </w:rPr>
              <w:t>Network Address</w:t>
            </w:r>
          </w:p>
        </w:tc>
        <w:tc>
          <w:tcPr>
            <w:tcW w:w="1989" w:type="dxa"/>
            <w:tcBorders/>
            <w:shd w:fill="2A6099" w:val="clear"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i/>
                <w:iCs/>
                <w:sz w:val="18"/>
                <w:szCs w:val="18"/>
              </w:rPr>
              <w:t>Usable IP Range</w:t>
            </w:r>
          </w:p>
        </w:tc>
      </w:tr>
      <w:tr>
        <w:trPr/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Shared Backbone (RMU-DBG-MDU)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3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255.255.255.248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/29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69.44.8.192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69.44.8.193 - 69.44.8.198</w:t>
            </w:r>
          </w:p>
        </w:tc>
      </w:tr>
      <w:tr>
        <w:trPr/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SCL to RMU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255.255.255.252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/30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69.44.8.200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69.44.8.201 - 69.44.8.202</w:t>
            </w:r>
          </w:p>
        </w:tc>
      </w:tr>
      <w:tr>
        <w:trPr/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SCL to DBG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255.255.255.252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/30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69.44.8.204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69.44.8.205 - 69.44.8.206</w:t>
            </w:r>
          </w:p>
        </w:tc>
      </w:tr>
      <w:tr>
        <w:trPr/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SCL to GVU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255.255.255.252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/30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69.44.8.208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69.44.8.209 - 69.44.8.210</w:t>
            </w:r>
          </w:p>
        </w:tc>
      </w:tr>
      <w:tr>
        <w:trPr/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MDU to GVU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255.255.255.252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/30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69.44.8.212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69.44.8.213 - 69.44.8.214</w:t>
            </w:r>
          </w:p>
        </w:tc>
      </w:tr>
      <w:tr>
        <w:trPr/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DBG to MDU (Backup Link)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255.255.255.252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/30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69.44.8.216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69.44.8.217 - 69.44.8.218</w:t>
            </w:r>
          </w:p>
        </w:tc>
      </w:tr>
      <w:tr>
        <w:trPr/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>ASN to GVU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255.255.255.252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/30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69.44.8.220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  <w:szCs w:val="20"/>
              </w:rPr>
              <w:t>69.44.8.221 - 69.44.8.222</w:t>
            </w:r>
          </w:p>
        </w:tc>
      </w:tr>
    </w:tbl>
    <w:p>
      <w:pPr>
        <w:pStyle w:val="BodyText"/>
        <w:bidi w:val="0"/>
        <w:spacing w:before="0" w:after="14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Inter">
    <w:altName w:val="sans-serif"/>
    <w:charset w:val="00" w:characterSet="windows-1252"/>
    <w:family w:val="auto"/>
    <w:pitch w:val="default"/>
  </w:font>
  <w:font w:name="Calibri"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LibreOffice/26.2.5.2$Windows_X86_64 LibreOffice_project/cd7284b4cbbfeb507e630c1aac019f4157393acb</Application>
  <AppVersion>15.0000</AppVersion>
  <Pages>6</Pages>
  <Words>1143</Words>
  <Characters>6807</Characters>
  <CharactersWithSpaces>7675</CharactersWithSpaces>
  <Paragraphs>232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2026-08-26T15:05:56Z</dcterms:created>
  <dc:creator/>
  <dc:description/>
  <dc:language>en-US</dc:language>
  <cp:lastModifiedBy/>
  <dcterms:modified xsi:type="dcterms:W3CDTF">2026-08-26T23:14:24Z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