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5E6" w:rsidRDefault="003B55E6" w:rsidP="003B55E6">
      <w:pPr>
        <w:pStyle w:val="tabcap"/>
        <w:rPr>
          <w:lang w:eastAsia="ja-JP"/>
        </w:rPr>
      </w:pPr>
      <w:r>
        <w:rPr>
          <w:lang w:eastAsia="ja-JP"/>
        </w:rPr>
        <w:t xml:space="preserve">Table </w:t>
      </w:r>
      <w:r>
        <w:rPr>
          <w:lang w:eastAsia="ja-JP"/>
        </w:rPr>
        <w:fldChar w:fldCharType="begin"/>
      </w:r>
      <w:r>
        <w:rPr>
          <w:lang w:eastAsia="ja-JP"/>
        </w:rPr>
        <w:instrText xml:space="preserve"> seq tab </w:instrText>
      </w:r>
      <w:r>
        <w:rPr>
          <w:lang w:eastAsia="ja-JP"/>
        </w:rPr>
        <w:fldChar w:fldCharType="separate"/>
      </w:r>
      <w:r>
        <w:rPr>
          <w:noProof/>
          <w:lang w:eastAsia="ja-JP"/>
        </w:rPr>
        <w:t>1</w:t>
      </w:r>
      <w:r>
        <w:rPr>
          <w:lang w:eastAsia="ja-JP"/>
        </w:rPr>
        <w:fldChar w:fldCharType="end"/>
      </w:r>
      <w:r>
        <w:rPr>
          <w:lang w:eastAsia="ja-JP"/>
        </w:rPr>
        <w:t>.</w:t>
      </w:r>
      <w:r>
        <w:rPr>
          <w:lang w:eastAsia="ja-JP"/>
        </w:rPr>
        <w:tab/>
        <w:t>Systematic model progression from the 2012 assessment data to the agreed revised datasets for 2013. Note that the data file names corresponding to each model follow the convention e.g., “Mod0.1.dat” and “Mod0.1.ctl”.</w:t>
      </w:r>
    </w:p>
    <w:tbl>
      <w:tblPr>
        <w:tblStyle w:val="Grid"/>
        <w:tblW w:w="0" w:type="auto"/>
        <w:tblLook w:val="04A0" w:firstRow="1" w:lastRow="0" w:firstColumn="1" w:lastColumn="0" w:noHBand="0" w:noVBand="1"/>
      </w:tblPr>
      <w:tblGrid>
        <w:gridCol w:w="791"/>
        <w:gridCol w:w="8569"/>
      </w:tblGrid>
      <w:tr w:rsidR="003B55E6" w:rsidRPr="00B42801" w:rsidTr="00974C00">
        <w:tc>
          <w:tcPr>
            <w:tcW w:w="0" w:type="auto"/>
            <w:tcBorders>
              <w:top w:val="double" w:sz="4" w:space="0" w:color="auto"/>
              <w:bottom w:val="single" w:sz="4" w:space="0" w:color="auto"/>
            </w:tcBorders>
            <w:shd w:val="clear" w:color="auto" w:fill="auto"/>
          </w:tcPr>
          <w:p w:rsidR="003B55E6" w:rsidRPr="00B42801" w:rsidRDefault="003B55E6" w:rsidP="003B451C">
            <w:pPr>
              <w:rPr>
                <w:lang w:eastAsia="ja-JP"/>
              </w:rPr>
            </w:pPr>
            <w:r w:rsidRPr="00B42801">
              <w:rPr>
                <w:lang w:eastAsia="ja-JP"/>
              </w:rPr>
              <w:t>Model</w:t>
            </w:r>
          </w:p>
        </w:tc>
        <w:tc>
          <w:tcPr>
            <w:tcW w:w="0" w:type="auto"/>
            <w:tcBorders>
              <w:top w:val="double" w:sz="4" w:space="0" w:color="auto"/>
              <w:bottom w:val="single" w:sz="4" w:space="0" w:color="auto"/>
            </w:tcBorders>
            <w:shd w:val="clear" w:color="auto" w:fill="auto"/>
          </w:tcPr>
          <w:p w:rsidR="003B55E6" w:rsidRPr="00B42801" w:rsidRDefault="003B55E6" w:rsidP="003B451C">
            <w:pPr>
              <w:rPr>
                <w:lang w:eastAsia="ja-JP"/>
              </w:rPr>
            </w:pPr>
            <w:r w:rsidRPr="00B42801">
              <w:rPr>
                <w:lang w:eastAsia="ja-JP"/>
              </w:rPr>
              <w:t>Description</w:t>
            </w:r>
          </w:p>
        </w:tc>
      </w:tr>
      <w:tr w:rsidR="003B55E6" w:rsidRPr="00B42801" w:rsidTr="00974C00">
        <w:tc>
          <w:tcPr>
            <w:tcW w:w="0" w:type="auto"/>
            <w:tcBorders>
              <w:top w:val="single" w:sz="4" w:space="0" w:color="auto"/>
            </w:tcBorders>
          </w:tcPr>
          <w:p w:rsidR="003B55E6" w:rsidRPr="00B42801" w:rsidRDefault="003B55E6" w:rsidP="003B451C">
            <w:pPr>
              <w:jc w:val="center"/>
              <w:rPr>
                <w:lang w:eastAsia="ja-JP"/>
              </w:rPr>
            </w:pPr>
            <w:r w:rsidRPr="00B42801">
              <w:rPr>
                <w:lang w:eastAsia="ja-JP"/>
              </w:rPr>
              <w:t>0.0</w:t>
            </w:r>
          </w:p>
        </w:tc>
        <w:tc>
          <w:tcPr>
            <w:tcW w:w="0" w:type="auto"/>
            <w:tcBorders>
              <w:top w:val="single" w:sz="4" w:space="0" w:color="auto"/>
            </w:tcBorders>
          </w:tcPr>
          <w:p w:rsidR="003B55E6" w:rsidRPr="00B42801" w:rsidRDefault="003B55E6" w:rsidP="003B451C">
            <w:pPr>
              <w:rPr>
                <w:lang w:eastAsia="ja-JP"/>
              </w:rPr>
            </w:pPr>
            <w:r w:rsidRPr="00B42801">
              <w:rPr>
                <w:lang w:eastAsia="ja-JP"/>
              </w:rPr>
              <w:t>2012 configuration and data (Model 7c from the 2012 assessment)</w:t>
            </w:r>
          </w:p>
        </w:tc>
      </w:tr>
      <w:tr w:rsidR="003B55E6" w:rsidRPr="00B42801" w:rsidTr="00974C00">
        <w:tc>
          <w:tcPr>
            <w:tcW w:w="0" w:type="auto"/>
          </w:tcPr>
          <w:p w:rsidR="003B55E6" w:rsidRPr="00B42801" w:rsidRDefault="003B55E6" w:rsidP="003B451C">
            <w:pPr>
              <w:jc w:val="center"/>
              <w:rPr>
                <w:lang w:eastAsia="ja-JP"/>
              </w:rPr>
            </w:pPr>
            <w:r w:rsidRPr="00B42801">
              <w:rPr>
                <w:lang w:eastAsia="ja-JP"/>
              </w:rPr>
              <w:t>0.1</w:t>
            </w:r>
          </w:p>
        </w:tc>
        <w:tc>
          <w:tcPr>
            <w:tcW w:w="0" w:type="auto"/>
          </w:tcPr>
          <w:p w:rsidR="003B55E6" w:rsidRPr="00B42801" w:rsidRDefault="003B55E6" w:rsidP="003B451C">
            <w:pPr>
              <w:rPr>
                <w:lang w:eastAsia="ja-JP"/>
              </w:rPr>
            </w:pPr>
            <w:r>
              <w:rPr>
                <w:lang w:eastAsia="ja-JP"/>
              </w:rPr>
              <w:t>A</w:t>
            </w:r>
            <w:r w:rsidRPr="00B42801">
              <w:rPr>
                <w:lang w:eastAsia="ja-JP"/>
              </w:rPr>
              <w:t>s in Mo</w:t>
            </w:r>
            <w:r>
              <w:rPr>
                <w:lang w:eastAsia="ja-JP"/>
              </w:rPr>
              <w:t>del 0.0 but with the updated catch time series (through 2012 only)</w:t>
            </w:r>
          </w:p>
        </w:tc>
      </w:tr>
      <w:tr w:rsidR="003B55E6" w:rsidRPr="00B42801" w:rsidTr="00974C00">
        <w:tc>
          <w:tcPr>
            <w:tcW w:w="0" w:type="auto"/>
          </w:tcPr>
          <w:p w:rsidR="003B55E6" w:rsidRPr="00B42801" w:rsidRDefault="003B55E6" w:rsidP="003B451C">
            <w:pPr>
              <w:jc w:val="center"/>
              <w:rPr>
                <w:lang w:eastAsia="ja-JP"/>
              </w:rPr>
            </w:pPr>
            <w:r>
              <w:rPr>
                <w:lang w:eastAsia="ja-JP"/>
              </w:rPr>
              <w:t>0.2</w:t>
            </w:r>
          </w:p>
        </w:tc>
        <w:tc>
          <w:tcPr>
            <w:tcW w:w="0" w:type="auto"/>
          </w:tcPr>
          <w:p w:rsidR="003B55E6" w:rsidRPr="00B42801" w:rsidRDefault="003B55E6" w:rsidP="003B451C">
            <w:pPr>
              <w:rPr>
                <w:lang w:eastAsia="ja-JP"/>
              </w:rPr>
            </w:pPr>
            <w:r>
              <w:rPr>
                <w:lang w:eastAsia="ja-JP"/>
              </w:rPr>
              <w:t>A</w:t>
            </w:r>
            <w:r w:rsidRPr="00B42801">
              <w:rPr>
                <w:lang w:eastAsia="ja-JP"/>
              </w:rPr>
              <w:t>s in Mo</w:t>
            </w:r>
            <w:r>
              <w:rPr>
                <w:lang w:eastAsia="ja-JP"/>
              </w:rPr>
              <w:t>del 0.1 but with the revised mean weights-at-age provided by Chile</w:t>
            </w:r>
          </w:p>
        </w:tc>
      </w:tr>
      <w:tr w:rsidR="003B55E6" w:rsidRPr="00B42801" w:rsidTr="00974C00">
        <w:tc>
          <w:tcPr>
            <w:tcW w:w="0" w:type="auto"/>
          </w:tcPr>
          <w:p w:rsidR="003B55E6" w:rsidRDefault="003B55E6" w:rsidP="003B451C">
            <w:pPr>
              <w:jc w:val="center"/>
              <w:rPr>
                <w:lang w:eastAsia="ja-JP"/>
              </w:rPr>
            </w:pPr>
            <w:r>
              <w:rPr>
                <w:lang w:eastAsia="ja-JP"/>
              </w:rPr>
              <w:t>0.3</w:t>
            </w:r>
          </w:p>
        </w:tc>
        <w:tc>
          <w:tcPr>
            <w:tcW w:w="0" w:type="auto"/>
          </w:tcPr>
          <w:p w:rsidR="003B55E6" w:rsidRPr="00B42801" w:rsidRDefault="003B55E6" w:rsidP="003B451C">
            <w:pPr>
              <w:rPr>
                <w:lang w:eastAsia="ja-JP"/>
              </w:rPr>
            </w:pPr>
            <w:r>
              <w:rPr>
                <w:lang w:eastAsia="ja-JP"/>
              </w:rPr>
              <w:t>A</w:t>
            </w:r>
            <w:r w:rsidRPr="00B42801">
              <w:rPr>
                <w:lang w:eastAsia="ja-JP"/>
              </w:rPr>
              <w:t>s in Mo</w:t>
            </w:r>
            <w:r>
              <w:rPr>
                <w:lang w:eastAsia="ja-JP"/>
              </w:rPr>
              <w:t>del 0.2 but extended to 2013 (estimated end-year catches) and with the updated Chilean indices and age compositions</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0.4</w:t>
            </w:r>
          </w:p>
        </w:tc>
        <w:tc>
          <w:tcPr>
            <w:tcW w:w="0" w:type="auto"/>
            <w:shd w:val="clear" w:color="auto" w:fill="auto"/>
          </w:tcPr>
          <w:p w:rsidR="003B55E6" w:rsidRDefault="00974C00" w:rsidP="003B451C">
            <w:pPr>
              <w:rPr>
                <w:lang w:eastAsia="ja-JP"/>
              </w:rPr>
            </w:pPr>
            <w:r>
              <w:rPr>
                <w:lang w:eastAsia="ja-JP"/>
              </w:rPr>
              <w:t>A</w:t>
            </w:r>
            <w:r w:rsidRPr="00B42801">
              <w:rPr>
                <w:lang w:eastAsia="ja-JP"/>
              </w:rPr>
              <w:t>s in Mo</w:t>
            </w:r>
            <w:r>
              <w:rPr>
                <w:lang w:eastAsia="ja-JP"/>
              </w:rPr>
              <w:t>del 0.3 but with the all other updated indices and age compositions</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1.1</w:t>
            </w:r>
          </w:p>
        </w:tc>
        <w:tc>
          <w:tcPr>
            <w:tcW w:w="0" w:type="auto"/>
            <w:shd w:val="clear" w:color="auto" w:fill="auto"/>
          </w:tcPr>
          <w:p w:rsidR="003B55E6" w:rsidRDefault="003B55E6" w:rsidP="003B451C">
            <w:pPr>
              <w:rPr>
                <w:lang w:eastAsia="ja-JP"/>
              </w:rPr>
            </w:pPr>
            <w:r>
              <w:rPr>
                <w:lang w:eastAsia="ja-JP"/>
              </w:rPr>
              <w:t>As in 0.4 Chilean SC CPUE q change in 2012 and SC Acoustic q step 2002+</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1.2</w:t>
            </w:r>
          </w:p>
        </w:tc>
        <w:tc>
          <w:tcPr>
            <w:tcW w:w="0" w:type="auto"/>
            <w:shd w:val="clear" w:color="auto" w:fill="auto"/>
          </w:tcPr>
          <w:p w:rsidR="003B55E6" w:rsidRDefault="003B55E6" w:rsidP="003B451C">
            <w:pPr>
              <w:rPr>
                <w:lang w:eastAsia="ja-JP"/>
              </w:rPr>
            </w:pPr>
            <w:r>
              <w:rPr>
                <w:lang w:eastAsia="ja-JP"/>
              </w:rPr>
              <w:t>As in 1.1 Peruvian acoustic q change from 1994, and again in 1997</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1.3</w:t>
            </w:r>
          </w:p>
        </w:tc>
        <w:tc>
          <w:tcPr>
            <w:tcW w:w="0" w:type="auto"/>
            <w:shd w:val="clear" w:color="auto" w:fill="auto"/>
          </w:tcPr>
          <w:p w:rsidR="003B55E6" w:rsidRDefault="003B55E6" w:rsidP="003B451C">
            <w:pPr>
              <w:rPr>
                <w:lang w:eastAsia="ja-JP"/>
              </w:rPr>
            </w:pPr>
            <w:r>
              <w:rPr>
                <w:lang w:eastAsia="ja-JP"/>
              </w:rPr>
              <w:t>As in 1.2 but with time-varying selectivity for the SC Chilean fleet</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1.4</w:t>
            </w:r>
          </w:p>
        </w:tc>
        <w:tc>
          <w:tcPr>
            <w:tcW w:w="0" w:type="auto"/>
            <w:shd w:val="clear" w:color="auto" w:fill="auto"/>
          </w:tcPr>
          <w:p w:rsidR="003B55E6" w:rsidRDefault="003B55E6" w:rsidP="003B451C">
            <w:pPr>
              <w:rPr>
                <w:lang w:eastAsia="ja-JP"/>
              </w:rPr>
            </w:pPr>
            <w:r>
              <w:rPr>
                <w:lang w:eastAsia="ja-JP"/>
              </w:rPr>
              <w:t>As 1.3 add time-varying for other fleets</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1.5</w:t>
            </w:r>
          </w:p>
        </w:tc>
        <w:tc>
          <w:tcPr>
            <w:tcW w:w="0" w:type="auto"/>
            <w:shd w:val="clear" w:color="auto" w:fill="auto"/>
          </w:tcPr>
          <w:p w:rsidR="003B55E6" w:rsidRDefault="003B55E6" w:rsidP="003B451C">
            <w:pPr>
              <w:rPr>
                <w:lang w:eastAsia="ja-JP"/>
              </w:rPr>
            </w:pPr>
            <w:r>
              <w:rPr>
                <w:lang w:eastAsia="ja-JP"/>
              </w:rPr>
              <w:t>As 1.4 but SigmaR = 1.0</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1.6</w:t>
            </w:r>
          </w:p>
        </w:tc>
        <w:tc>
          <w:tcPr>
            <w:tcW w:w="0" w:type="auto"/>
            <w:shd w:val="clear" w:color="auto" w:fill="auto"/>
          </w:tcPr>
          <w:p w:rsidR="003B55E6" w:rsidRDefault="003B55E6" w:rsidP="003B451C">
            <w:pPr>
              <w:rPr>
                <w:lang w:eastAsia="ja-JP"/>
              </w:rPr>
            </w:pPr>
            <w:r>
              <w:rPr>
                <w:lang w:eastAsia="ja-JP"/>
              </w:rPr>
              <w:t>As 1.2 but down weight offshore trawl composition data by a factor of 10</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1.7</w:t>
            </w:r>
          </w:p>
        </w:tc>
        <w:tc>
          <w:tcPr>
            <w:tcW w:w="0" w:type="auto"/>
            <w:shd w:val="clear" w:color="auto" w:fill="auto"/>
          </w:tcPr>
          <w:p w:rsidR="003B55E6" w:rsidRDefault="003B55E6" w:rsidP="003B451C">
            <w:pPr>
              <w:rPr>
                <w:lang w:eastAsia="ja-JP"/>
              </w:rPr>
            </w:pPr>
            <w:r>
              <w:rPr>
                <w:lang w:eastAsia="ja-JP"/>
              </w:rPr>
              <w:t>As 1.2 but down weight all indices (and their age or length comps) except Chinese CPUE, SC Chilean CPUE, and SC Acoustics, and downweight offshore age compositions</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1.8</w:t>
            </w:r>
          </w:p>
        </w:tc>
        <w:tc>
          <w:tcPr>
            <w:tcW w:w="0" w:type="auto"/>
            <w:shd w:val="clear" w:color="auto" w:fill="auto"/>
          </w:tcPr>
          <w:p w:rsidR="003B55E6" w:rsidRDefault="003B55E6" w:rsidP="003B451C">
            <w:pPr>
              <w:rPr>
                <w:lang w:eastAsia="ja-JP"/>
              </w:rPr>
            </w:pPr>
            <w:r>
              <w:rPr>
                <w:lang w:eastAsia="ja-JP"/>
              </w:rPr>
              <w:t>As 1.2 w/ M estimated (but constant w/ age and time)</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1.9</w:t>
            </w:r>
          </w:p>
        </w:tc>
        <w:tc>
          <w:tcPr>
            <w:tcW w:w="0" w:type="auto"/>
            <w:shd w:val="clear" w:color="auto" w:fill="auto"/>
          </w:tcPr>
          <w:p w:rsidR="003B55E6" w:rsidRDefault="003B55E6" w:rsidP="003B451C">
            <w:pPr>
              <w:rPr>
                <w:lang w:eastAsia="ja-JP"/>
              </w:rPr>
            </w:pPr>
            <w:r>
              <w:rPr>
                <w:lang w:eastAsia="ja-JP"/>
              </w:rPr>
              <w:t>As  1.2 with all age composition data downweighted by 10</w:t>
            </w:r>
          </w:p>
        </w:tc>
      </w:tr>
      <w:tr w:rsidR="003B55E6" w:rsidRPr="00B42801" w:rsidTr="00974C00">
        <w:tc>
          <w:tcPr>
            <w:tcW w:w="0" w:type="auto"/>
            <w:shd w:val="clear" w:color="auto" w:fill="auto"/>
          </w:tcPr>
          <w:p w:rsidR="003B55E6" w:rsidRDefault="003B55E6" w:rsidP="003B451C">
            <w:pPr>
              <w:jc w:val="center"/>
              <w:rPr>
                <w:lang w:eastAsia="ja-JP"/>
              </w:rPr>
            </w:pPr>
            <w:r>
              <w:rPr>
                <w:lang w:eastAsia="ja-JP"/>
              </w:rPr>
              <w:t>1.10</w:t>
            </w:r>
          </w:p>
        </w:tc>
        <w:tc>
          <w:tcPr>
            <w:tcW w:w="0" w:type="auto"/>
            <w:shd w:val="clear" w:color="auto" w:fill="auto"/>
          </w:tcPr>
          <w:p w:rsidR="003B55E6" w:rsidRDefault="003B55E6" w:rsidP="003B451C">
            <w:pPr>
              <w:rPr>
                <w:lang w:eastAsia="ja-JP"/>
              </w:rPr>
            </w:pPr>
            <w:r>
              <w:rPr>
                <w:lang w:eastAsia="ja-JP"/>
              </w:rPr>
              <w:t>As 1.2 but with age-error turned on</w:t>
            </w:r>
          </w:p>
        </w:tc>
      </w:tr>
      <w:tr w:rsidR="003B55E6" w:rsidRPr="00B42801" w:rsidTr="00974C00">
        <w:tc>
          <w:tcPr>
            <w:tcW w:w="0" w:type="auto"/>
            <w:tcBorders>
              <w:bottom w:val="single" w:sz="4" w:space="0" w:color="auto"/>
            </w:tcBorders>
            <w:shd w:val="clear" w:color="auto" w:fill="auto"/>
          </w:tcPr>
          <w:p w:rsidR="003B55E6" w:rsidRDefault="003B55E6" w:rsidP="003B451C">
            <w:pPr>
              <w:jc w:val="center"/>
              <w:rPr>
                <w:lang w:eastAsia="ja-JP"/>
              </w:rPr>
            </w:pPr>
            <w:r>
              <w:rPr>
                <w:lang w:eastAsia="ja-JP"/>
              </w:rPr>
              <w:t>Retro</w:t>
            </w:r>
          </w:p>
        </w:tc>
        <w:tc>
          <w:tcPr>
            <w:tcW w:w="0" w:type="auto"/>
            <w:tcBorders>
              <w:bottom w:val="single" w:sz="4" w:space="0" w:color="auto"/>
            </w:tcBorders>
            <w:shd w:val="clear" w:color="auto" w:fill="auto"/>
          </w:tcPr>
          <w:p w:rsidR="003B55E6" w:rsidRDefault="003B55E6" w:rsidP="003B451C">
            <w:pPr>
              <w:rPr>
                <w:lang w:eastAsia="ja-JP"/>
              </w:rPr>
            </w:pPr>
            <w:r>
              <w:rPr>
                <w:lang w:eastAsia="ja-JP"/>
              </w:rPr>
              <w:t>From 1.3 for 0-8 peels</w:t>
            </w:r>
          </w:p>
        </w:tc>
      </w:tr>
    </w:tbl>
    <w:p w:rsidR="003B55E6" w:rsidRDefault="003B55E6" w:rsidP="003B55E6">
      <w:pPr>
        <w:rPr>
          <w:lang w:eastAsia="ja-JP"/>
        </w:rPr>
      </w:pPr>
    </w:p>
    <w:tbl>
      <w:tblPr>
        <w:tblW w:w="3928" w:type="pct"/>
        <w:tblCellMar>
          <w:left w:w="29" w:type="dxa"/>
          <w:right w:w="29" w:type="dxa"/>
        </w:tblCellMar>
        <w:tblLook w:val="04A0" w:firstRow="1" w:lastRow="0" w:firstColumn="1" w:lastColumn="0" w:noHBand="0" w:noVBand="1"/>
      </w:tblPr>
      <w:tblGrid>
        <w:gridCol w:w="1290"/>
        <w:gridCol w:w="641"/>
        <w:gridCol w:w="871"/>
        <w:gridCol w:w="744"/>
        <w:gridCol w:w="487"/>
        <w:gridCol w:w="487"/>
        <w:gridCol w:w="487"/>
        <w:gridCol w:w="487"/>
        <w:gridCol w:w="487"/>
        <w:gridCol w:w="703"/>
        <w:gridCol w:w="669"/>
      </w:tblGrid>
      <w:tr w:rsidR="003F30B0" w:rsidRPr="003E7818" w:rsidTr="003F30B0">
        <w:trPr>
          <w:cantSplit/>
        </w:trPr>
        <w:tc>
          <w:tcPr>
            <w:tcW w:w="877" w:type="pct"/>
            <w:tcBorders>
              <w:top w:val="double" w:sz="4" w:space="0" w:color="auto"/>
              <w:left w:val="nil"/>
              <w:bottom w:val="single" w:sz="4" w:space="0" w:color="auto"/>
              <w:right w:val="nil"/>
            </w:tcBorders>
            <w:shd w:val="clear" w:color="auto" w:fill="auto"/>
            <w:noWrap/>
            <w:vAlign w:val="bottom"/>
            <w:hideMark/>
          </w:tcPr>
          <w:p w:rsidR="003F30B0" w:rsidRPr="003E7818" w:rsidRDefault="003F30B0" w:rsidP="003E7818">
            <w:pPr>
              <w:keepNext/>
              <w:spacing w:after="0"/>
              <w:jc w:val="right"/>
              <w:rPr>
                <w:sz w:val="16"/>
              </w:rPr>
            </w:pPr>
          </w:p>
        </w:tc>
        <w:tc>
          <w:tcPr>
            <w:tcW w:w="436" w:type="pct"/>
            <w:tcBorders>
              <w:top w:val="double" w:sz="4" w:space="0" w:color="auto"/>
              <w:left w:val="nil"/>
              <w:bottom w:val="single" w:sz="4" w:space="0" w:color="auto"/>
              <w:right w:val="nil"/>
            </w:tcBorders>
            <w:shd w:val="clear" w:color="auto" w:fill="auto"/>
            <w:noWrap/>
            <w:vAlign w:val="bottom"/>
            <w:hideMark/>
          </w:tcPr>
          <w:p w:rsidR="003F30B0" w:rsidRDefault="003F30B0" w:rsidP="003E7818">
            <w:pPr>
              <w:keepNext/>
              <w:spacing w:after="0"/>
              <w:jc w:val="right"/>
              <w:rPr>
                <w:sz w:val="16"/>
              </w:rPr>
            </w:pPr>
            <w:r w:rsidRPr="003E7818">
              <w:rPr>
                <w:sz w:val="16"/>
              </w:rPr>
              <w:t xml:space="preserve">catch </w:t>
            </w:r>
          </w:p>
          <w:p w:rsidR="003F30B0" w:rsidRPr="003E7818" w:rsidRDefault="003F30B0" w:rsidP="003E7818">
            <w:pPr>
              <w:keepNext/>
              <w:spacing w:after="0"/>
              <w:jc w:val="right"/>
              <w:rPr>
                <w:sz w:val="16"/>
              </w:rPr>
            </w:pPr>
            <w:r w:rsidRPr="003E7818">
              <w:rPr>
                <w:sz w:val="16"/>
              </w:rPr>
              <w:t>like</w:t>
            </w:r>
          </w:p>
        </w:tc>
        <w:tc>
          <w:tcPr>
            <w:tcW w:w="592" w:type="pct"/>
            <w:tcBorders>
              <w:top w:val="double" w:sz="4" w:space="0" w:color="auto"/>
              <w:left w:val="nil"/>
              <w:bottom w:val="single" w:sz="4" w:space="0" w:color="auto"/>
              <w:right w:val="nil"/>
            </w:tcBorders>
            <w:shd w:val="clear" w:color="auto" w:fill="auto"/>
            <w:noWrap/>
            <w:vAlign w:val="bottom"/>
            <w:hideMark/>
          </w:tcPr>
          <w:p w:rsidR="003F30B0" w:rsidRPr="003E7818" w:rsidRDefault="003F30B0" w:rsidP="003E7818">
            <w:pPr>
              <w:keepNext/>
              <w:spacing w:after="0"/>
              <w:jc w:val="right"/>
              <w:rPr>
                <w:sz w:val="16"/>
              </w:rPr>
            </w:pPr>
            <w:r w:rsidRPr="003E7818">
              <w:rPr>
                <w:sz w:val="16"/>
              </w:rPr>
              <w:t xml:space="preserve">age </w:t>
            </w:r>
          </w:p>
          <w:p w:rsidR="003F30B0" w:rsidRDefault="003F30B0" w:rsidP="003E7818">
            <w:pPr>
              <w:keepNext/>
              <w:spacing w:after="0"/>
              <w:jc w:val="right"/>
              <w:rPr>
                <w:sz w:val="16"/>
              </w:rPr>
            </w:pPr>
            <w:r w:rsidRPr="003E7818">
              <w:rPr>
                <w:sz w:val="16"/>
              </w:rPr>
              <w:t xml:space="preserve">like </w:t>
            </w:r>
          </w:p>
          <w:p w:rsidR="003F30B0" w:rsidRPr="003E7818" w:rsidRDefault="003F30B0" w:rsidP="003E7818">
            <w:pPr>
              <w:keepNext/>
              <w:spacing w:after="0"/>
              <w:jc w:val="right"/>
              <w:rPr>
                <w:sz w:val="16"/>
              </w:rPr>
            </w:pPr>
            <w:r w:rsidRPr="003E7818">
              <w:rPr>
                <w:sz w:val="16"/>
              </w:rPr>
              <w:t>fsh</w:t>
            </w:r>
          </w:p>
        </w:tc>
        <w:tc>
          <w:tcPr>
            <w:tcW w:w="506" w:type="pct"/>
            <w:tcBorders>
              <w:top w:val="double" w:sz="4" w:space="0" w:color="auto"/>
              <w:left w:val="nil"/>
              <w:bottom w:val="single" w:sz="4" w:space="0" w:color="auto"/>
              <w:right w:val="nil"/>
            </w:tcBorders>
            <w:shd w:val="clear" w:color="auto" w:fill="auto"/>
            <w:noWrap/>
            <w:vAlign w:val="bottom"/>
            <w:hideMark/>
          </w:tcPr>
          <w:p w:rsidR="003F30B0" w:rsidRDefault="003F30B0" w:rsidP="003E7818">
            <w:pPr>
              <w:keepNext/>
              <w:spacing w:after="0"/>
              <w:jc w:val="right"/>
              <w:rPr>
                <w:sz w:val="16"/>
              </w:rPr>
            </w:pPr>
            <w:r w:rsidRPr="003E7818">
              <w:rPr>
                <w:sz w:val="16"/>
              </w:rPr>
              <w:t xml:space="preserve">length </w:t>
            </w:r>
          </w:p>
          <w:p w:rsidR="003F30B0" w:rsidRPr="003E7818" w:rsidRDefault="003F30B0" w:rsidP="003E7818">
            <w:pPr>
              <w:keepNext/>
              <w:spacing w:after="0"/>
              <w:jc w:val="right"/>
              <w:rPr>
                <w:sz w:val="16"/>
              </w:rPr>
            </w:pPr>
            <w:r w:rsidRPr="003E7818">
              <w:rPr>
                <w:sz w:val="16"/>
              </w:rPr>
              <w:t xml:space="preserve">like </w:t>
            </w:r>
          </w:p>
          <w:p w:rsidR="003F30B0" w:rsidRPr="003E7818" w:rsidRDefault="003F30B0" w:rsidP="003E7818">
            <w:pPr>
              <w:keepNext/>
              <w:spacing w:after="0"/>
              <w:jc w:val="right"/>
              <w:rPr>
                <w:sz w:val="16"/>
              </w:rPr>
            </w:pPr>
            <w:r w:rsidRPr="003E7818">
              <w:rPr>
                <w:sz w:val="16"/>
              </w:rPr>
              <w:t>fsh</w:t>
            </w:r>
          </w:p>
        </w:tc>
        <w:tc>
          <w:tcPr>
            <w:tcW w:w="331" w:type="pct"/>
            <w:tcBorders>
              <w:top w:val="double" w:sz="4" w:space="0" w:color="auto"/>
              <w:left w:val="nil"/>
              <w:bottom w:val="single" w:sz="4" w:space="0" w:color="auto"/>
              <w:right w:val="nil"/>
            </w:tcBorders>
            <w:shd w:val="clear" w:color="auto" w:fill="auto"/>
            <w:noWrap/>
            <w:vAlign w:val="bottom"/>
            <w:hideMark/>
          </w:tcPr>
          <w:p w:rsidR="003F30B0" w:rsidRPr="003E7818" w:rsidRDefault="003F30B0" w:rsidP="003E7818">
            <w:pPr>
              <w:keepNext/>
              <w:spacing w:after="0"/>
              <w:jc w:val="right"/>
              <w:rPr>
                <w:sz w:val="16"/>
              </w:rPr>
            </w:pPr>
            <w:r w:rsidRPr="003E7818">
              <w:rPr>
                <w:sz w:val="16"/>
              </w:rPr>
              <w:t xml:space="preserve">sel </w:t>
            </w:r>
          </w:p>
          <w:p w:rsidR="003F30B0" w:rsidRDefault="003F30B0" w:rsidP="003E7818">
            <w:pPr>
              <w:keepNext/>
              <w:spacing w:after="0"/>
              <w:jc w:val="right"/>
              <w:rPr>
                <w:sz w:val="16"/>
              </w:rPr>
            </w:pPr>
            <w:r w:rsidRPr="003E7818">
              <w:rPr>
                <w:sz w:val="16"/>
              </w:rPr>
              <w:t xml:space="preserve">like </w:t>
            </w:r>
          </w:p>
          <w:p w:rsidR="003F30B0" w:rsidRPr="003E7818" w:rsidRDefault="003F30B0" w:rsidP="003E7818">
            <w:pPr>
              <w:keepNext/>
              <w:spacing w:after="0"/>
              <w:jc w:val="right"/>
              <w:rPr>
                <w:sz w:val="16"/>
              </w:rPr>
            </w:pPr>
            <w:r w:rsidRPr="003E7818">
              <w:rPr>
                <w:sz w:val="16"/>
              </w:rPr>
              <w:t>fsh</w:t>
            </w:r>
          </w:p>
        </w:tc>
        <w:tc>
          <w:tcPr>
            <w:tcW w:w="331" w:type="pct"/>
            <w:tcBorders>
              <w:top w:val="double" w:sz="4" w:space="0" w:color="auto"/>
              <w:left w:val="nil"/>
              <w:bottom w:val="single" w:sz="4" w:space="0" w:color="auto"/>
              <w:right w:val="nil"/>
            </w:tcBorders>
            <w:shd w:val="clear" w:color="auto" w:fill="auto"/>
            <w:noWrap/>
            <w:vAlign w:val="bottom"/>
            <w:hideMark/>
          </w:tcPr>
          <w:p w:rsidR="003F30B0" w:rsidRDefault="003F30B0" w:rsidP="003E7818">
            <w:pPr>
              <w:keepNext/>
              <w:spacing w:after="0"/>
              <w:jc w:val="right"/>
              <w:rPr>
                <w:sz w:val="16"/>
              </w:rPr>
            </w:pPr>
            <w:r w:rsidRPr="003E7818">
              <w:rPr>
                <w:sz w:val="16"/>
              </w:rPr>
              <w:t xml:space="preserve">ind </w:t>
            </w:r>
          </w:p>
          <w:p w:rsidR="003F30B0" w:rsidRPr="003E7818" w:rsidRDefault="003F30B0" w:rsidP="003E7818">
            <w:pPr>
              <w:keepNext/>
              <w:spacing w:after="0"/>
              <w:jc w:val="right"/>
              <w:rPr>
                <w:sz w:val="16"/>
              </w:rPr>
            </w:pPr>
            <w:r w:rsidRPr="003E7818">
              <w:rPr>
                <w:sz w:val="16"/>
              </w:rPr>
              <w:t>like</w:t>
            </w:r>
          </w:p>
        </w:tc>
        <w:tc>
          <w:tcPr>
            <w:tcW w:w="331" w:type="pct"/>
            <w:tcBorders>
              <w:top w:val="double" w:sz="4" w:space="0" w:color="auto"/>
              <w:left w:val="nil"/>
              <w:bottom w:val="single" w:sz="4" w:space="0" w:color="auto"/>
              <w:right w:val="nil"/>
            </w:tcBorders>
            <w:shd w:val="clear" w:color="auto" w:fill="auto"/>
            <w:noWrap/>
            <w:vAlign w:val="bottom"/>
            <w:hideMark/>
          </w:tcPr>
          <w:p w:rsidR="003F30B0" w:rsidRPr="003E7818" w:rsidRDefault="003F30B0" w:rsidP="003E7818">
            <w:pPr>
              <w:keepNext/>
              <w:spacing w:after="0"/>
              <w:jc w:val="right"/>
              <w:rPr>
                <w:sz w:val="16"/>
              </w:rPr>
            </w:pPr>
            <w:r w:rsidRPr="003E7818">
              <w:rPr>
                <w:sz w:val="16"/>
              </w:rPr>
              <w:t xml:space="preserve">age </w:t>
            </w:r>
          </w:p>
          <w:p w:rsidR="003F30B0" w:rsidRDefault="003F30B0" w:rsidP="003E7818">
            <w:pPr>
              <w:keepNext/>
              <w:spacing w:after="0"/>
              <w:jc w:val="right"/>
              <w:rPr>
                <w:sz w:val="16"/>
              </w:rPr>
            </w:pPr>
            <w:r w:rsidRPr="003E7818">
              <w:rPr>
                <w:sz w:val="16"/>
              </w:rPr>
              <w:t xml:space="preserve">like </w:t>
            </w:r>
          </w:p>
          <w:p w:rsidR="003F30B0" w:rsidRPr="003E7818" w:rsidRDefault="003F30B0" w:rsidP="003E7818">
            <w:pPr>
              <w:keepNext/>
              <w:spacing w:after="0"/>
              <w:jc w:val="right"/>
              <w:rPr>
                <w:sz w:val="16"/>
              </w:rPr>
            </w:pPr>
            <w:r w:rsidRPr="003E7818">
              <w:rPr>
                <w:sz w:val="16"/>
              </w:rPr>
              <w:t>ind</w:t>
            </w:r>
          </w:p>
        </w:tc>
        <w:tc>
          <w:tcPr>
            <w:tcW w:w="331" w:type="pct"/>
            <w:tcBorders>
              <w:top w:val="double" w:sz="4" w:space="0" w:color="auto"/>
              <w:left w:val="nil"/>
              <w:bottom w:val="single" w:sz="4" w:space="0" w:color="auto"/>
              <w:right w:val="nil"/>
            </w:tcBorders>
            <w:shd w:val="clear" w:color="auto" w:fill="auto"/>
            <w:noWrap/>
            <w:vAlign w:val="bottom"/>
            <w:hideMark/>
          </w:tcPr>
          <w:p w:rsidR="003F30B0" w:rsidRPr="003E7818" w:rsidRDefault="003F30B0" w:rsidP="003E7818">
            <w:pPr>
              <w:keepNext/>
              <w:spacing w:after="0"/>
              <w:jc w:val="right"/>
              <w:rPr>
                <w:sz w:val="16"/>
              </w:rPr>
            </w:pPr>
            <w:r w:rsidRPr="003E7818">
              <w:rPr>
                <w:sz w:val="16"/>
              </w:rPr>
              <w:t xml:space="preserve">sel </w:t>
            </w:r>
          </w:p>
          <w:p w:rsidR="003F30B0" w:rsidRDefault="003F30B0" w:rsidP="003E7818">
            <w:pPr>
              <w:keepNext/>
              <w:spacing w:after="0"/>
              <w:jc w:val="right"/>
              <w:rPr>
                <w:sz w:val="16"/>
              </w:rPr>
            </w:pPr>
            <w:r w:rsidRPr="003E7818">
              <w:rPr>
                <w:sz w:val="16"/>
              </w:rPr>
              <w:t xml:space="preserve">like </w:t>
            </w:r>
          </w:p>
          <w:p w:rsidR="003F30B0" w:rsidRPr="003E7818" w:rsidRDefault="003F30B0" w:rsidP="003E7818">
            <w:pPr>
              <w:keepNext/>
              <w:spacing w:after="0"/>
              <w:jc w:val="right"/>
              <w:rPr>
                <w:sz w:val="16"/>
              </w:rPr>
            </w:pPr>
            <w:r w:rsidRPr="003E7818">
              <w:rPr>
                <w:sz w:val="16"/>
              </w:rPr>
              <w:t>ind</w:t>
            </w:r>
          </w:p>
        </w:tc>
        <w:tc>
          <w:tcPr>
            <w:tcW w:w="331" w:type="pct"/>
            <w:tcBorders>
              <w:top w:val="double" w:sz="4" w:space="0" w:color="auto"/>
              <w:left w:val="nil"/>
              <w:bottom w:val="single" w:sz="4" w:space="0" w:color="auto"/>
              <w:right w:val="nil"/>
            </w:tcBorders>
            <w:shd w:val="clear" w:color="auto" w:fill="auto"/>
            <w:noWrap/>
            <w:vAlign w:val="bottom"/>
            <w:hideMark/>
          </w:tcPr>
          <w:p w:rsidR="003F30B0" w:rsidRDefault="003F30B0" w:rsidP="003E7818">
            <w:pPr>
              <w:keepNext/>
              <w:spacing w:after="0"/>
              <w:jc w:val="right"/>
              <w:rPr>
                <w:sz w:val="16"/>
              </w:rPr>
            </w:pPr>
            <w:r w:rsidRPr="003E7818">
              <w:rPr>
                <w:sz w:val="16"/>
              </w:rPr>
              <w:t xml:space="preserve">rec </w:t>
            </w:r>
          </w:p>
          <w:p w:rsidR="003F30B0" w:rsidRPr="003E7818" w:rsidRDefault="003F30B0" w:rsidP="003E7818">
            <w:pPr>
              <w:keepNext/>
              <w:spacing w:after="0"/>
              <w:jc w:val="right"/>
              <w:rPr>
                <w:sz w:val="16"/>
              </w:rPr>
            </w:pPr>
            <w:r w:rsidRPr="003E7818">
              <w:rPr>
                <w:sz w:val="16"/>
              </w:rPr>
              <w:t>like</w:t>
            </w:r>
          </w:p>
        </w:tc>
        <w:tc>
          <w:tcPr>
            <w:tcW w:w="478" w:type="pct"/>
            <w:tcBorders>
              <w:top w:val="double" w:sz="4" w:space="0" w:color="auto"/>
              <w:left w:val="nil"/>
              <w:bottom w:val="single" w:sz="4" w:space="0" w:color="auto"/>
              <w:right w:val="nil"/>
            </w:tcBorders>
            <w:shd w:val="clear" w:color="auto" w:fill="auto"/>
            <w:noWrap/>
            <w:vAlign w:val="bottom"/>
            <w:hideMark/>
          </w:tcPr>
          <w:p w:rsidR="003F30B0" w:rsidRDefault="003F30B0" w:rsidP="003E7818">
            <w:pPr>
              <w:keepNext/>
              <w:spacing w:after="0"/>
              <w:jc w:val="right"/>
              <w:rPr>
                <w:sz w:val="16"/>
              </w:rPr>
            </w:pPr>
            <w:r w:rsidRPr="003E7818">
              <w:rPr>
                <w:sz w:val="16"/>
              </w:rPr>
              <w:t xml:space="preserve">post </w:t>
            </w:r>
          </w:p>
          <w:p w:rsidR="003F30B0" w:rsidRPr="003E7818" w:rsidRDefault="003F30B0" w:rsidP="003E7818">
            <w:pPr>
              <w:keepNext/>
              <w:spacing w:after="0"/>
              <w:jc w:val="right"/>
              <w:rPr>
                <w:sz w:val="16"/>
              </w:rPr>
            </w:pPr>
            <w:r w:rsidRPr="003E7818">
              <w:rPr>
                <w:sz w:val="16"/>
              </w:rPr>
              <w:t>priors</w:t>
            </w:r>
          </w:p>
        </w:tc>
        <w:tc>
          <w:tcPr>
            <w:tcW w:w="455" w:type="pct"/>
            <w:tcBorders>
              <w:top w:val="double" w:sz="4" w:space="0" w:color="auto"/>
              <w:left w:val="nil"/>
              <w:bottom w:val="single" w:sz="4" w:space="0" w:color="auto"/>
              <w:right w:val="nil"/>
            </w:tcBorders>
            <w:shd w:val="clear" w:color="auto" w:fill="auto"/>
            <w:noWrap/>
            <w:vAlign w:val="bottom"/>
            <w:hideMark/>
          </w:tcPr>
          <w:p w:rsidR="003F30B0" w:rsidRPr="003E7818" w:rsidRDefault="003F30B0" w:rsidP="003E7818">
            <w:pPr>
              <w:keepNext/>
              <w:spacing w:after="0"/>
              <w:jc w:val="right"/>
              <w:rPr>
                <w:sz w:val="16"/>
              </w:rPr>
            </w:pPr>
            <w:r w:rsidRPr="003E7818">
              <w:rPr>
                <w:sz w:val="16"/>
              </w:rPr>
              <w:t>total</w:t>
            </w:r>
          </w:p>
        </w:tc>
      </w:tr>
      <w:tr w:rsidR="003F30B0" w:rsidRPr="003E7818" w:rsidTr="003F30B0">
        <w:trPr>
          <w:cantSplit/>
        </w:trPr>
        <w:tc>
          <w:tcPr>
            <w:tcW w:w="877" w:type="pct"/>
            <w:tcBorders>
              <w:top w:val="single" w:sz="4" w:space="0" w:color="auto"/>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0.0</w:t>
            </w:r>
          </w:p>
        </w:tc>
        <w:tc>
          <w:tcPr>
            <w:tcW w:w="436"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w:t>
            </w:r>
          </w:p>
        </w:tc>
        <w:tc>
          <w:tcPr>
            <w:tcW w:w="592"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614</w:t>
            </w:r>
          </w:p>
        </w:tc>
        <w:tc>
          <w:tcPr>
            <w:tcW w:w="506"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467</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75</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522</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133</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25</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25</w:t>
            </w:r>
          </w:p>
        </w:tc>
        <w:tc>
          <w:tcPr>
            <w:tcW w:w="478"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1,863</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0.1</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614</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467</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75</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518</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132</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25</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26</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1,859</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0.2</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616</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466</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534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132</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26</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25</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1,877</w:t>
            </w:r>
          </w:p>
        </w:tc>
      </w:tr>
      <w:tr w:rsidR="003F30B0" w:rsidRPr="003E7818" w:rsidTr="003F30B0">
        <w:trPr>
          <w:cantSplit/>
        </w:trPr>
        <w:tc>
          <w:tcPr>
            <w:tcW w:w="877" w:type="pct"/>
            <w:tcBorders>
              <w:top w:val="nil"/>
              <w:left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0.3</w:t>
            </w:r>
          </w:p>
        </w:tc>
        <w:tc>
          <w:tcPr>
            <w:tcW w:w="436"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592"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634</w:t>
            </w:r>
          </w:p>
        </w:tc>
        <w:tc>
          <w:tcPr>
            <w:tcW w:w="506"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471</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76</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571</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229</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27</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21</w:t>
            </w:r>
          </w:p>
        </w:tc>
        <w:tc>
          <w:tcPr>
            <w:tcW w:w="478"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2,032</w:t>
            </w:r>
          </w:p>
        </w:tc>
      </w:tr>
      <w:tr w:rsidR="003F30B0" w:rsidRPr="003E7818" w:rsidTr="003F30B0">
        <w:trPr>
          <w:cantSplit/>
        </w:trPr>
        <w:tc>
          <w:tcPr>
            <w:tcW w:w="877" w:type="pct"/>
            <w:tcBorders>
              <w:top w:val="nil"/>
              <w:left w:val="nil"/>
              <w:bottom w:val="single" w:sz="4" w:space="0" w:color="auto"/>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0.4</w:t>
            </w:r>
          </w:p>
        </w:tc>
        <w:tc>
          <w:tcPr>
            <w:tcW w:w="436"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w:t>
            </w:r>
          </w:p>
        </w:tc>
        <w:tc>
          <w:tcPr>
            <w:tcW w:w="592"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645</w:t>
            </w:r>
          </w:p>
        </w:tc>
        <w:tc>
          <w:tcPr>
            <w:tcW w:w="506"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534</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74</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702</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236</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28</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30</w:t>
            </w:r>
          </w:p>
        </w:tc>
        <w:tc>
          <w:tcPr>
            <w:tcW w:w="478"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2,251</w:t>
            </w:r>
          </w:p>
        </w:tc>
      </w:tr>
      <w:tr w:rsidR="003F30B0" w:rsidRPr="003E7818" w:rsidTr="003F30B0">
        <w:trPr>
          <w:cantSplit/>
        </w:trPr>
        <w:tc>
          <w:tcPr>
            <w:tcW w:w="877" w:type="pct"/>
            <w:tcBorders>
              <w:top w:val="single" w:sz="4" w:space="0" w:color="auto"/>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1.1</w:t>
            </w:r>
          </w:p>
        </w:tc>
        <w:tc>
          <w:tcPr>
            <w:tcW w:w="436"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w:t>
            </w:r>
          </w:p>
        </w:tc>
        <w:tc>
          <w:tcPr>
            <w:tcW w:w="592"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631</w:t>
            </w:r>
          </w:p>
        </w:tc>
        <w:tc>
          <w:tcPr>
            <w:tcW w:w="506"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535</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74</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687</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233</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24</w:t>
            </w:r>
          </w:p>
        </w:tc>
        <w:tc>
          <w:tcPr>
            <w:tcW w:w="331"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31</w:t>
            </w:r>
          </w:p>
        </w:tc>
        <w:tc>
          <w:tcPr>
            <w:tcW w:w="478"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single" w:sz="4" w:space="0" w:color="auto"/>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2,217</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1.2</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612</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527</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71</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405</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16</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1,884</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1.3</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517</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524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101</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372</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218</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23</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16</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1,774</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1.4</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381</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422</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271</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294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25</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1,602</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1.5</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362</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421</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267</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293</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183</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51</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1,602</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1.6</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431</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522</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65</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384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227</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25</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1,660</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1.7</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411</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507</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66</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134</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113</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20</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1,257</w:t>
            </w:r>
          </w:p>
        </w:tc>
      </w:tr>
      <w:tr w:rsidR="003F30B0" w:rsidRPr="003E7818" w:rsidTr="003F30B0">
        <w:trPr>
          <w:cantSplit/>
        </w:trPr>
        <w:tc>
          <w:tcPr>
            <w:tcW w:w="877" w:type="pct"/>
            <w:tcBorders>
              <w:top w:val="nil"/>
              <w:left w:val="nil"/>
              <w:bottom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1.8</w:t>
            </w:r>
          </w:p>
        </w:tc>
        <w:tc>
          <w:tcPr>
            <w:tcW w:w="43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w:t>
            </w:r>
          </w:p>
        </w:tc>
        <w:tc>
          <w:tcPr>
            <w:tcW w:w="592"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574</w:t>
            </w:r>
          </w:p>
        </w:tc>
        <w:tc>
          <w:tcPr>
            <w:tcW w:w="506"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531</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67</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400</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227</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25</w:t>
            </w:r>
          </w:p>
        </w:tc>
        <w:tc>
          <w:tcPr>
            <w:tcW w:w="331"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478"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16</w:t>
            </w:r>
          </w:p>
        </w:tc>
        <w:tc>
          <w:tcPr>
            <w:tcW w:w="455" w:type="pct"/>
            <w:tcBorders>
              <w:top w:val="nil"/>
              <w:left w:val="nil"/>
              <w:bottom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1,842</w:t>
            </w:r>
          </w:p>
        </w:tc>
      </w:tr>
      <w:tr w:rsidR="003F30B0" w:rsidRPr="003E7818" w:rsidTr="003F30B0">
        <w:trPr>
          <w:cantSplit/>
        </w:trPr>
        <w:tc>
          <w:tcPr>
            <w:tcW w:w="877" w:type="pct"/>
            <w:tcBorders>
              <w:top w:val="nil"/>
              <w:left w:val="nil"/>
              <w:right w:val="nil"/>
            </w:tcBorders>
            <w:shd w:val="clear" w:color="auto" w:fill="auto"/>
            <w:noWrap/>
            <w:vAlign w:val="bottom"/>
            <w:hideMark/>
          </w:tcPr>
          <w:p w:rsidR="003F30B0" w:rsidRPr="003E7818" w:rsidRDefault="003F30B0" w:rsidP="003F30B0">
            <w:pPr>
              <w:keepNext/>
              <w:spacing w:after="0"/>
              <w:rPr>
                <w:sz w:val="16"/>
              </w:rPr>
            </w:pPr>
            <w:r w:rsidRPr="003E7818">
              <w:rPr>
                <w:sz w:val="16"/>
              </w:rPr>
              <w:t>Model 1.9</w:t>
            </w:r>
          </w:p>
        </w:tc>
        <w:tc>
          <w:tcPr>
            <w:tcW w:w="436"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w:t>
            </w:r>
          </w:p>
        </w:tc>
        <w:tc>
          <w:tcPr>
            <w:tcW w:w="592"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119</w:t>
            </w:r>
          </w:p>
        </w:tc>
        <w:tc>
          <w:tcPr>
            <w:tcW w:w="506"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62</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34</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230</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43</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w:t>
            </w:r>
          </w:p>
        </w:tc>
        <w:tc>
          <w:tcPr>
            <w:tcW w:w="331"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w:t>
            </w:r>
          </w:p>
        </w:tc>
        <w:tc>
          <w:tcPr>
            <w:tcW w:w="478"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489</w:t>
            </w:r>
          </w:p>
        </w:tc>
      </w:tr>
      <w:tr w:rsidR="003F30B0" w:rsidRPr="003E7818" w:rsidTr="003F30B0">
        <w:trPr>
          <w:cantSplit/>
        </w:trPr>
        <w:tc>
          <w:tcPr>
            <w:tcW w:w="877" w:type="pct"/>
            <w:tcBorders>
              <w:top w:val="nil"/>
              <w:left w:val="nil"/>
              <w:bottom w:val="single" w:sz="4" w:space="0" w:color="auto"/>
              <w:right w:val="nil"/>
            </w:tcBorders>
            <w:shd w:val="clear" w:color="auto" w:fill="auto"/>
            <w:noWrap/>
            <w:vAlign w:val="bottom"/>
            <w:hideMark/>
          </w:tcPr>
          <w:p w:rsidR="003F30B0" w:rsidRPr="003E7818" w:rsidRDefault="003F30B0" w:rsidP="003F30B0">
            <w:pPr>
              <w:keepNext/>
              <w:spacing w:after="0"/>
              <w:rPr>
                <w:sz w:val="16"/>
              </w:rPr>
            </w:pPr>
            <w:bookmarkStart w:id="0" w:name="_GoBack"/>
            <w:bookmarkEnd w:id="0"/>
            <w:r w:rsidRPr="003E7818">
              <w:rPr>
                <w:sz w:val="16"/>
              </w:rPr>
              <w:t>Model 1.10</w:t>
            </w:r>
          </w:p>
        </w:tc>
        <w:tc>
          <w:tcPr>
            <w:tcW w:w="436"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w:t>
            </w:r>
          </w:p>
        </w:tc>
        <w:tc>
          <w:tcPr>
            <w:tcW w:w="592"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596</w:t>
            </w:r>
          </w:p>
        </w:tc>
        <w:tc>
          <w:tcPr>
            <w:tcW w:w="506"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516</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100</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388</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246</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23</w:t>
            </w:r>
          </w:p>
        </w:tc>
        <w:tc>
          <w:tcPr>
            <w:tcW w:w="331"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4</w:t>
            </w:r>
          </w:p>
        </w:tc>
        <w:tc>
          <w:tcPr>
            <w:tcW w:w="478"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0</w:t>
            </w:r>
          </w:p>
        </w:tc>
        <w:tc>
          <w:tcPr>
            <w:tcW w:w="455" w:type="pct"/>
            <w:tcBorders>
              <w:top w:val="nil"/>
              <w:left w:val="nil"/>
              <w:bottom w:val="single" w:sz="4" w:space="0" w:color="auto"/>
              <w:right w:val="nil"/>
            </w:tcBorders>
            <w:shd w:val="clear" w:color="auto" w:fill="auto"/>
            <w:noWrap/>
            <w:vAlign w:val="bottom"/>
            <w:hideMark/>
          </w:tcPr>
          <w:p w:rsidR="003F30B0" w:rsidRPr="003F30B0" w:rsidRDefault="003F30B0" w:rsidP="003F30B0">
            <w:pPr>
              <w:keepNext/>
              <w:spacing w:after="0"/>
              <w:jc w:val="right"/>
              <w:rPr>
                <w:sz w:val="14"/>
              </w:rPr>
            </w:pPr>
            <w:r w:rsidRPr="003F30B0">
              <w:rPr>
                <w:sz w:val="14"/>
              </w:rPr>
              <w:t>1,879</w:t>
            </w:r>
          </w:p>
        </w:tc>
      </w:tr>
    </w:tbl>
    <w:p w:rsidR="002444D5" w:rsidRDefault="002444D5" w:rsidP="003B55E6"/>
    <w:p w:rsidR="003F30B0" w:rsidRPr="003B55E6" w:rsidRDefault="003F30B0" w:rsidP="003B55E6"/>
    <w:sectPr w:rsidR="003F30B0" w:rsidRPr="003B55E6">
      <w:footerReference w:type="even" r:id="rId7"/>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387" w:rsidRDefault="00EF5387">
      <w:r>
        <w:separator/>
      </w:r>
    </w:p>
  </w:endnote>
  <w:endnote w:type="continuationSeparator" w:id="0">
    <w:p w:rsidR="00EF5387" w:rsidRDefault="00EF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3E7818">
      <w:rPr>
        <w:rStyle w:val="PageNumber"/>
      </w:rPr>
      <w:fldChar w:fldCharType="separate"/>
    </w:r>
    <w:r w:rsidR="003F30B0">
      <w:rPr>
        <w:rStyle w:val="PageNumber"/>
        <w:noProof/>
      </w:rPr>
      <w:t>2</w:t>
    </w:r>
    <w:r>
      <w:rPr>
        <w:rStyle w:val="PageNumber"/>
      </w:rPr>
      <w:fldChar w:fldCharType="end"/>
    </w:r>
  </w:p>
  <w:p w:rsidR="00BD4049" w:rsidRDefault="00BD404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387" w:rsidRDefault="00EF5387">
      <w:r>
        <w:separator/>
      </w:r>
    </w:p>
  </w:footnote>
  <w:footnote w:type="continuationSeparator" w:id="0">
    <w:p w:rsidR="00EF5387" w:rsidRDefault="00EF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D8BAB6"/>
    <w:lvl w:ilvl="0">
      <w:start w:val="1"/>
      <w:numFmt w:val="decimal"/>
      <w:lvlText w:val="%1."/>
      <w:lvlJc w:val="left"/>
      <w:pPr>
        <w:tabs>
          <w:tab w:val="num" w:pos="1800"/>
        </w:tabs>
        <w:ind w:left="1800" w:hanging="360"/>
      </w:pPr>
    </w:lvl>
  </w:abstractNum>
  <w:abstractNum w:abstractNumId="1">
    <w:nsid w:val="FFFFFF7D"/>
    <w:multiLevelType w:val="singleLevel"/>
    <w:tmpl w:val="D6A64C0E"/>
    <w:lvl w:ilvl="0">
      <w:start w:val="1"/>
      <w:numFmt w:val="decimal"/>
      <w:lvlText w:val="%1."/>
      <w:lvlJc w:val="left"/>
      <w:pPr>
        <w:tabs>
          <w:tab w:val="num" w:pos="1440"/>
        </w:tabs>
        <w:ind w:left="1440" w:hanging="360"/>
      </w:pPr>
    </w:lvl>
  </w:abstractNum>
  <w:abstractNum w:abstractNumId="2">
    <w:nsid w:val="FFFFFF7E"/>
    <w:multiLevelType w:val="singleLevel"/>
    <w:tmpl w:val="36665E1C"/>
    <w:lvl w:ilvl="0">
      <w:start w:val="1"/>
      <w:numFmt w:val="decimal"/>
      <w:lvlText w:val="%1."/>
      <w:lvlJc w:val="left"/>
      <w:pPr>
        <w:tabs>
          <w:tab w:val="num" w:pos="1080"/>
        </w:tabs>
        <w:ind w:left="1080" w:hanging="360"/>
      </w:pPr>
    </w:lvl>
  </w:abstractNum>
  <w:abstractNum w:abstractNumId="3">
    <w:nsid w:val="FFFFFF7F"/>
    <w:multiLevelType w:val="singleLevel"/>
    <w:tmpl w:val="F17CE740"/>
    <w:lvl w:ilvl="0">
      <w:start w:val="1"/>
      <w:numFmt w:val="decimal"/>
      <w:lvlText w:val="%1."/>
      <w:lvlJc w:val="left"/>
      <w:pPr>
        <w:tabs>
          <w:tab w:val="num" w:pos="720"/>
        </w:tabs>
        <w:ind w:left="720" w:hanging="360"/>
      </w:pPr>
    </w:lvl>
  </w:abstractNum>
  <w:abstractNum w:abstractNumId="4">
    <w:nsid w:val="FFFFFF80"/>
    <w:multiLevelType w:val="singleLevel"/>
    <w:tmpl w:val="71786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5436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D6A9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7291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3A99C6"/>
    <w:lvl w:ilvl="0">
      <w:start w:val="1"/>
      <w:numFmt w:val="decimal"/>
      <w:lvlText w:val="%1."/>
      <w:lvlJc w:val="left"/>
      <w:pPr>
        <w:tabs>
          <w:tab w:val="num" w:pos="360"/>
        </w:tabs>
        <w:ind w:left="360" w:hanging="360"/>
      </w:p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lvl>
  </w:abstractNum>
  <w:abstractNum w:abstractNumId="11">
    <w:nsid w:val="108C0814"/>
    <w:multiLevelType w:val="multilevel"/>
    <w:tmpl w:val="0409001D"/>
    <w:numStyleLink w:val="1ai"/>
  </w:abstractNum>
  <w:abstractNum w:abstractNumId="12">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31AF33D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7DB55BD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14"/>
  </w:num>
  <w:num w:numId="3">
    <w:abstractNumId w:val="14"/>
  </w:num>
  <w:num w:numId="4">
    <w:abstractNumId w:val="14"/>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49"/>
    <w:rsid w:val="00000EE5"/>
    <w:rsid w:val="000176F6"/>
    <w:rsid w:val="000444C9"/>
    <w:rsid w:val="00046185"/>
    <w:rsid w:val="00077563"/>
    <w:rsid w:val="00091395"/>
    <w:rsid w:val="000A48E5"/>
    <w:rsid w:val="000B2E4D"/>
    <w:rsid w:val="000C00C8"/>
    <w:rsid w:val="000C3048"/>
    <w:rsid w:val="000C6D2C"/>
    <w:rsid w:val="000E2E5B"/>
    <w:rsid w:val="000E5B26"/>
    <w:rsid w:val="000E5BF5"/>
    <w:rsid w:val="000E5DC2"/>
    <w:rsid w:val="00135297"/>
    <w:rsid w:val="0015610A"/>
    <w:rsid w:val="00171DD3"/>
    <w:rsid w:val="00180C63"/>
    <w:rsid w:val="001856DC"/>
    <w:rsid w:val="001B3652"/>
    <w:rsid w:val="001E2D3C"/>
    <w:rsid w:val="001E4873"/>
    <w:rsid w:val="001F50AB"/>
    <w:rsid w:val="002353FB"/>
    <w:rsid w:val="002444D5"/>
    <w:rsid w:val="00256660"/>
    <w:rsid w:val="00263698"/>
    <w:rsid w:val="00276FA1"/>
    <w:rsid w:val="002900C0"/>
    <w:rsid w:val="0029764D"/>
    <w:rsid w:val="002A4C00"/>
    <w:rsid w:val="002B6D34"/>
    <w:rsid w:val="002C532F"/>
    <w:rsid w:val="002D0103"/>
    <w:rsid w:val="002D152F"/>
    <w:rsid w:val="002D4A80"/>
    <w:rsid w:val="002F7E20"/>
    <w:rsid w:val="003056D1"/>
    <w:rsid w:val="00323864"/>
    <w:rsid w:val="0033040A"/>
    <w:rsid w:val="0033691E"/>
    <w:rsid w:val="00336CA5"/>
    <w:rsid w:val="00343DC9"/>
    <w:rsid w:val="003472EB"/>
    <w:rsid w:val="003502B5"/>
    <w:rsid w:val="00354B4B"/>
    <w:rsid w:val="00357844"/>
    <w:rsid w:val="00365089"/>
    <w:rsid w:val="003A1A0C"/>
    <w:rsid w:val="003B4089"/>
    <w:rsid w:val="003B55E6"/>
    <w:rsid w:val="003C4E96"/>
    <w:rsid w:val="003C594E"/>
    <w:rsid w:val="003C617E"/>
    <w:rsid w:val="003D1D7B"/>
    <w:rsid w:val="003E02D0"/>
    <w:rsid w:val="003E07A0"/>
    <w:rsid w:val="003E7818"/>
    <w:rsid w:val="003F30B0"/>
    <w:rsid w:val="003F33BD"/>
    <w:rsid w:val="00407E90"/>
    <w:rsid w:val="004321BB"/>
    <w:rsid w:val="004343F8"/>
    <w:rsid w:val="0044730E"/>
    <w:rsid w:val="004866F1"/>
    <w:rsid w:val="0049059E"/>
    <w:rsid w:val="00493FA2"/>
    <w:rsid w:val="00494804"/>
    <w:rsid w:val="0049615C"/>
    <w:rsid w:val="004B1428"/>
    <w:rsid w:val="004B4341"/>
    <w:rsid w:val="004D7CC6"/>
    <w:rsid w:val="004E10F8"/>
    <w:rsid w:val="004E3067"/>
    <w:rsid w:val="00554134"/>
    <w:rsid w:val="005554A8"/>
    <w:rsid w:val="00560D6F"/>
    <w:rsid w:val="005649CC"/>
    <w:rsid w:val="00570E9E"/>
    <w:rsid w:val="0057423D"/>
    <w:rsid w:val="00575713"/>
    <w:rsid w:val="0057608F"/>
    <w:rsid w:val="0058306A"/>
    <w:rsid w:val="00583703"/>
    <w:rsid w:val="00594CED"/>
    <w:rsid w:val="005A0450"/>
    <w:rsid w:val="005A5DE1"/>
    <w:rsid w:val="005B34CF"/>
    <w:rsid w:val="005E4136"/>
    <w:rsid w:val="005F106E"/>
    <w:rsid w:val="005F7368"/>
    <w:rsid w:val="006321B0"/>
    <w:rsid w:val="00635C7C"/>
    <w:rsid w:val="00645003"/>
    <w:rsid w:val="006606AA"/>
    <w:rsid w:val="006A314C"/>
    <w:rsid w:val="006A752E"/>
    <w:rsid w:val="006B4469"/>
    <w:rsid w:val="006B7E35"/>
    <w:rsid w:val="006D4153"/>
    <w:rsid w:val="006F37A0"/>
    <w:rsid w:val="006F57C1"/>
    <w:rsid w:val="0071285C"/>
    <w:rsid w:val="007147DD"/>
    <w:rsid w:val="0071751F"/>
    <w:rsid w:val="007205FC"/>
    <w:rsid w:val="00721524"/>
    <w:rsid w:val="00733A59"/>
    <w:rsid w:val="00761177"/>
    <w:rsid w:val="00764258"/>
    <w:rsid w:val="00771DA0"/>
    <w:rsid w:val="00792FFC"/>
    <w:rsid w:val="007A63E6"/>
    <w:rsid w:val="007B214F"/>
    <w:rsid w:val="007D4F82"/>
    <w:rsid w:val="007D6649"/>
    <w:rsid w:val="007F67AD"/>
    <w:rsid w:val="00800772"/>
    <w:rsid w:val="008224B0"/>
    <w:rsid w:val="00844600"/>
    <w:rsid w:val="00855DEE"/>
    <w:rsid w:val="008617D7"/>
    <w:rsid w:val="00861E4F"/>
    <w:rsid w:val="00866AB1"/>
    <w:rsid w:val="00872893"/>
    <w:rsid w:val="00875E82"/>
    <w:rsid w:val="00892975"/>
    <w:rsid w:val="00897645"/>
    <w:rsid w:val="008B26DE"/>
    <w:rsid w:val="008D40AF"/>
    <w:rsid w:val="008E60CD"/>
    <w:rsid w:val="008E7D3B"/>
    <w:rsid w:val="008F607A"/>
    <w:rsid w:val="008F7066"/>
    <w:rsid w:val="00932607"/>
    <w:rsid w:val="009342A7"/>
    <w:rsid w:val="00946A08"/>
    <w:rsid w:val="00946ACA"/>
    <w:rsid w:val="00953D7A"/>
    <w:rsid w:val="009621C3"/>
    <w:rsid w:val="00974C00"/>
    <w:rsid w:val="0099014C"/>
    <w:rsid w:val="009A367F"/>
    <w:rsid w:val="009A5AD8"/>
    <w:rsid w:val="009B2E8C"/>
    <w:rsid w:val="009E32B0"/>
    <w:rsid w:val="009E588D"/>
    <w:rsid w:val="009F44B7"/>
    <w:rsid w:val="00A01C48"/>
    <w:rsid w:val="00A17223"/>
    <w:rsid w:val="00A24BE8"/>
    <w:rsid w:val="00A44462"/>
    <w:rsid w:val="00A45E75"/>
    <w:rsid w:val="00A46292"/>
    <w:rsid w:val="00A5446C"/>
    <w:rsid w:val="00A60F58"/>
    <w:rsid w:val="00A87271"/>
    <w:rsid w:val="00AC5AC5"/>
    <w:rsid w:val="00AE29C9"/>
    <w:rsid w:val="00AE5A03"/>
    <w:rsid w:val="00AF278E"/>
    <w:rsid w:val="00B01C4D"/>
    <w:rsid w:val="00B142B2"/>
    <w:rsid w:val="00B15262"/>
    <w:rsid w:val="00B20CFD"/>
    <w:rsid w:val="00B21BC1"/>
    <w:rsid w:val="00B26DDF"/>
    <w:rsid w:val="00B44C34"/>
    <w:rsid w:val="00B64FDD"/>
    <w:rsid w:val="00B82869"/>
    <w:rsid w:val="00BC3DD0"/>
    <w:rsid w:val="00BC5F7B"/>
    <w:rsid w:val="00BD4049"/>
    <w:rsid w:val="00C01833"/>
    <w:rsid w:val="00C07F99"/>
    <w:rsid w:val="00C148E5"/>
    <w:rsid w:val="00C35B10"/>
    <w:rsid w:val="00C479BF"/>
    <w:rsid w:val="00C54650"/>
    <w:rsid w:val="00C55E20"/>
    <w:rsid w:val="00C6645E"/>
    <w:rsid w:val="00C75224"/>
    <w:rsid w:val="00C87714"/>
    <w:rsid w:val="00C95055"/>
    <w:rsid w:val="00C95C2D"/>
    <w:rsid w:val="00CB17B0"/>
    <w:rsid w:val="00CB4506"/>
    <w:rsid w:val="00CB564B"/>
    <w:rsid w:val="00CD17C0"/>
    <w:rsid w:val="00CD372E"/>
    <w:rsid w:val="00CF2E82"/>
    <w:rsid w:val="00D31410"/>
    <w:rsid w:val="00D46CD6"/>
    <w:rsid w:val="00D529AA"/>
    <w:rsid w:val="00D64744"/>
    <w:rsid w:val="00D715EA"/>
    <w:rsid w:val="00D76565"/>
    <w:rsid w:val="00D87C71"/>
    <w:rsid w:val="00DE083E"/>
    <w:rsid w:val="00DE510C"/>
    <w:rsid w:val="00DE7344"/>
    <w:rsid w:val="00E00802"/>
    <w:rsid w:val="00E02409"/>
    <w:rsid w:val="00E40EC1"/>
    <w:rsid w:val="00E41A7A"/>
    <w:rsid w:val="00E71DE1"/>
    <w:rsid w:val="00E720AD"/>
    <w:rsid w:val="00EA3829"/>
    <w:rsid w:val="00EA4881"/>
    <w:rsid w:val="00EA619E"/>
    <w:rsid w:val="00EC6486"/>
    <w:rsid w:val="00ED0A45"/>
    <w:rsid w:val="00ED33B4"/>
    <w:rsid w:val="00EF1DC5"/>
    <w:rsid w:val="00EF5387"/>
    <w:rsid w:val="00EF67C6"/>
    <w:rsid w:val="00F15D4F"/>
    <w:rsid w:val="00F562B1"/>
    <w:rsid w:val="00F7007E"/>
    <w:rsid w:val="00F7358E"/>
    <w:rsid w:val="00F8273E"/>
    <w:rsid w:val="00F924C4"/>
    <w:rsid w:val="00FB4832"/>
    <w:rsid w:val="00FD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EF6E4F-7784-45BF-A985-9658ACD9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5E6"/>
    <w:pPr>
      <w:spacing w:after="160"/>
    </w:pPr>
    <w:rPr>
      <w:sz w:val="22"/>
    </w:rPr>
  </w:style>
  <w:style w:type="paragraph" w:styleId="Heading1">
    <w:name w:val="heading 1"/>
    <w:next w:val="Normal"/>
    <w:qFormat/>
    <w:rsid w:val="00C95C2D"/>
    <w:pPr>
      <w:keepNext/>
      <w:spacing w:before="240" w:after="60"/>
      <w:outlineLvl w:val="0"/>
    </w:pPr>
    <w:rPr>
      <w:rFonts w:ascii="Arial" w:hAnsi="Arial"/>
      <w:b/>
      <w:kern w:val="28"/>
      <w:sz w:val="24"/>
      <w:lang w:eastAsia="ja-JP"/>
    </w:rPr>
  </w:style>
  <w:style w:type="paragraph" w:styleId="Heading2">
    <w:name w:val="heading 2"/>
    <w:basedOn w:val="Heading1"/>
    <w:next w:val="Normal"/>
    <w:qFormat/>
    <w:pPr>
      <w:keepLines/>
      <w:outlineLvl w:val="1"/>
    </w:pPr>
    <w:rPr>
      <w:b w:val="0"/>
    </w:rPr>
  </w:style>
  <w:style w:type="paragraph" w:styleId="Heading3">
    <w:name w:val="heading 3"/>
    <w:basedOn w:val="Heading2"/>
    <w:next w:val="Normal"/>
    <w:qFormat/>
    <w:pPr>
      <w:spacing w:before="160"/>
      <w:outlineLvl w:val="2"/>
    </w:pPr>
    <w:rPr>
      <w:b/>
      <w:i/>
    </w:rPr>
  </w:style>
  <w:style w:type="paragraph" w:styleId="Heading4">
    <w:name w:val="heading 4"/>
    <w:basedOn w:val="Heading3"/>
    <w:next w:val="Normal"/>
    <w:qFormat/>
    <w:rsid w:val="000A48E5"/>
    <w:pPr>
      <w:spacing w:before="240"/>
      <w:outlineLvl w:val="3"/>
    </w:p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C54650"/>
    <w:pPr>
      <w:tabs>
        <w:tab w:val="center" w:pos="4320"/>
        <w:tab w:val="right" w:pos="9360"/>
      </w:tabs>
      <w:spacing w:after="0"/>
    </w:pPr>
    <w:rPr>
      <w:i/>
    </w:rPr>
  </w:style>
  <w:style w:type="numbering" w:styleId="111111">
    <w:name w:val="Outline List 2"/>
    <w:basedOn w:val="NoList"/>
    <w:rsid w:val="00336CA5"/>
    <w:pPr>
      <w:numPr>
        <w:numId w:val="17"/>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rPr>
      <w:color w:val="0000FF"/>
      <w:u w:val="single"/>
    </w:rPr>
  </w:style>
  <w:style w:type="paragraph" w:customStyle="1" w:styleId="lc">
    <w:name w:val="lc"/>
    <w:basedOn w:val="Normal"/>
    <w:pPr>
      <w:spacing w:after="120"/>
      <w:ind w:left="720" w:hanging="720"/>
    </w:pPr>
    <w:rPr>
      <w:color w:val="000000"/>
    </w:rPr>
  </w:style>
  <w:style w:type="numbering" w:styleId="1ai">
    <w:name w:val="Outline List 1"/>
    <w:basedOn w:val="NoList"/>
    <w:rsid w:val="00336CA5"/>
    <w:pPr>
      <w:numPr>
        <w:numId w:val="18"/>
      </w:numPr>
    </w:p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semiHidden/>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1">
    <w:name w:val="Title1"/>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semiHidden/>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blInd w:w="0" w:type="dxa"/>
      <w:tblCellMar>
        <w:top w:w="0" w:type="dxa"/>
        <w:left w:w="108" w:type="dxa"/>
        <w:bottom w:w="0" w:type="dxa"/>
        <w:right w:w="108" w:type="dxa"/>
      </w:tblCellMa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81704">
      <w:bodyDiv w:val="1"/>
      <w:marLeft w:val="0"/>
      <w:marRight w:val="0"/>
      <w:marTop w:val="0"/>
      <w:marBottom w:val="0"/>
      <w:divBdr>
        <w:top w:val="none" w:sz="0" w:space="0" w:color="auto"/>
        <w:left w:val="none" w:sz="0" w:space="0" w:color="auto"/>
        <w:bottom w:val="none" w:sz="0" w:space="0" w:color="auto"/>
        <w:right w:val="none" w:sz="0" w:space="0" w:color="auto"/>
      </w:divBdr>
    </w:div>
    <w:div w:id="170598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4</cp:revision>
  <dcterms:created xsi:type="dcterms:W3CDTF">2013-10-23T21:34:00Z</dcterms:created>
  <dcterms:modified xsi:type="dcterms:W3CDTF">2013-10-24T14:20:00Z</dcterms:modified>
</cp:coreProperties>
</file>