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r>
        <w:rPr>
          <w:rFonts w:ascii="Arial" w:cs="Arial" w:eastAsia="Arial" w:hAnsi="Arial"/>
          <w:sz w:val="22"/>
          <w:szCs w:val="22"/>
        </w:rPr>
        <w:t xml:space="preserve"/>
      </w:r>
    </w:p>
    <w:p>
      <w:pPr>
        <w:spacing w:after="80" w:before="0"/>
        <w:jc w:val="center"/>
      </w:pPr>
      <w:r>
        <w:rPr>
          <w:rFonts w:ascii="Arial" w:cs="Arial" w:eastAsia="Arial" w:hAnsi="Arial"/>
          <w:b/>
          <w:bCs/>
          <w:color w:val="1B3A6B"/>
          <w:sz w:val="44"/>
          <w:szCs w:val="44"/>
        </w:rPr>
        <w:t xml:space="preserve">BOI CASA DEPOSIT FORECASTING SYSTEM</w:t>
      </w:r>
    </w:p>
    <w:p>
      <w:pPr>
        <w:spacing w:after="120" w:before="0"/>
        <w:jc w:val="center"/>
      </w:pPr>
      <w:r>
        <w:rPr>
          <w:rFonts w:ascii="Arial" w:cs="Arial" w:eastAsia="Arial" w:hAnsi="Arial"/>
          <w:i/>
          <w:iCs/>
          <w:color w:val="374151"/>
          <w:sz w:val="28"/>
          <w:szCs w:val="28"/>
        </w:rPr>
        <w:t xml:space="preserve">Final Project Report  —  v2.0 Post-Fix Edition</w:t>
      </w:r>
    </w:p>
    <w:p>
      <w:pPr>
        <w:pBdr>
          <w:bottom w:val="single" w:color="2563EB" w:sz="12" w:space="1"/>
        </w:pBdr>
        <w:spacing w:after="240" w:before="0"/>
        <w:jc w:val="center"/>
      </w:pPr>
      <w:r>
        <w:rPr>
          <w:rFonts w:ascii="Arial" w:cs="Arial" w:eastAsia="Arial" w:hAnsi="Arial"/>
          <w:sz w:val="22"/>
          <w:szCs w:val="22"/>
        </w:rPr>
        <w:t xml:space="preserve"/>
      </w:r>
    </w:p>
    <w:p>
      <w:pPr>
        <w:spacing w:after="0" w:before="80"/>
      </w:pPr>
      <w:r>
        <w:rPr>
          <w:rFonts w:ascii="Arial" w:cs="Arial" w:eastAsia="Arial" w:hAnsi="Arial"/>
          <w:sz w:val="22"/>
          <w:szCs w:val="22"/>
        </w:rPr>
        <w:t xml:space="preserve"/>
      </w:r>
    </w:p>
    <w:p>
      <w:pPr>
        <w:spacing w:after="80" w:before="0"/>
        <w:jc w:val="center"/>
      </w:pPr>
      <w:r>
        <w:rPr>
          <w:rFonts w:ascii="Arial" w:cs="Arial" w:eastAsia="Arial" w:hAnsi="Arial"/>
          <w:b/>
          <w:bCs/>
          <w:color w:val="374151"/>
          <w:sz w:val="26"/>
          <w:szCs w:val="26"/>
        </w:rPr>
        <w:t xml:space="preserve">Bank of India  |  Data Science Division</w:t>
      </w:r>
    </w:p>
    <w:p>
      <w:pPr>
        <w:spacing w:after="80" w:before="0"/>
        <w:jc w:val="center"/>
      </w:pPr>
      <w:r>
        <w:rPr>
          <w:rFonts w:ascii="Arial" w:cs="Arial" w:eastAsia="Arial" w:hAnsi="Arial"/>
          <w:color w:val="9CA3AF"/>
          <w:sz w:val="24"/>
          <w:szCs w:val="24"/>
        </w:rPr>
        <w:t xml:space="preserve">Data Science Internship Project</w:t>
      </w:r>
    </w:p>
    <w:p>
      <w:pPr>
        <w:spacing w:after="80" w:before="0"/>
        <w:jc w:val="center"/>
      </w:pPr>
      <w:r>
        <w:rPr>
          <w:rFonts w:ascii="Arial" w:cs="Arial" w:eastAsia="Arial" w:hAnsi="Arial"/>
          <w:color w:val="9CA3AF"/>
          <w:sz w:val="22"/>
          <w:szCs w:val="22"/>
        </w:rPr>
        <w:t xml:space="preserve">Time-Series Forecasting of CASA Deposits  (2015 Q1 – 2024 Q4)</w:t>
      </w:r>
    </w:p>
    <w:p>
      <w:pPr>
        <w:spacing w:after="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560"/>
      </w:tblGrid>
      <w:tr>
        <w:tc>
          <w:tcPr>
            <w:tcW w:type="dxa" w:w="2200"/>
            <w:tcBorders>
              <w:top w:val="none" w:color="FFFFFF" w:sz="0"/>
              <w:left w:val="none" w:color="FFFFFF" w:sz="0"/>
              <w:bottom w:val="none" w:color="FFFFFF" w:sz="0"/>
              <w:right w:val="none" w:color="FFFFFF" w:sz="0"/>
            </w:tcBorders>
            <w:shd w:fill="DCFCE7" w:val="clear"/>
            <w:tcMar>
              <w:top w:type="dxa" w:w="120"/>
              <w:left w:type="dxa" w:w="160"/>
              <w:bottom w:type="dxa" w:w="120"/>
              <w:right w:type="dxa" w:w="160"/>
            </w:tcMar>
          </w:tcPr>
          <w:p>
            <w:pPr>
              <w:spacing w:after="40" w:before="0"/>
              <w:jc w:val="center"/>
            </w:pPr>
            <w:r>
              <w:rPr>
                <w:rFonts w:ascii="Arial" w:cs="Arial" w:eastAsia="Arial" w:hAnsi="Arial"/>
                <w:b/>
                <w:bCs/>
                <w:color w:val="166534"/>
                <w:sz w:val="34"/>
                <w:szCs w:val="34"/>
              </w:rPr>
              <w:t xml:space="preserve">2.1%</w:t>
            </w:r>
          </w:p>
          <w:p>
            <w:pPr>
              <w:spacing w:after="20" w:before="0"/>
              <w:jc w:val="center"/>
            </w:pPr>
            <w:r>
              <w:rPr>
                <w:rFonts w:ascii="Arial" w:cs="Arial" w:eastAsia="Arial" w:hAnsi="Arial"/>
                <w:color w:val="166534"/>
                <w:sz w:val="18"/>
                <w:szCs w:val="18"/>
              </w:rPr>
              <w:t xml:space="preserve">Best CV MAPE</w:t>
            </w:r>
          </w:p>
          <w:p>
            <w:pPr>
              <w:spacing w:after="0" w:before="0"/>
              <w:jc w:val="center"/>
            </w:pPr>
            <w:r>
              <w:rPr>
                <w:rFonts w:ascii="Arial" w:cs="Arial" w:eastAsia="Arial" w:hAnsi="Arial"/>
                <w:i/>
                <w:iCs/>
                <w:color w:val="166534"/>
                <w:sz w:val="16"/>
                <w:szCs w:val="16"/>
              </w:rPr>
              <w:t xml:space="preserve">HoltWinters ±0.4%</w:t>
            </w:r>
          </w:p>
        </w:tc>
        <w:tc>
          <w:tcPr>
            <w:tcW w:type="dxa" w:w="2200"/>
            <w:tcBorders>
              <w:top w:val="none" w:color="FFFFFF" w:sz="0"/>
              <w:left w:val="none" w:color="FFFFFF" w:sz="0"/>
              <w:bottom w:val="none" w:color="FFFFFF" w:sz="0"/>
              <w:right w:val="none" w:color="FFFFFF" w:sz="0"/>
            </w:tcBorders>
            <w:shd w:fill="EBF3FE" w:val="clear"/>
            <w:tcMar>
              <w:top w:type="dxa" w:w="120"/>
              <w:left w:type="dxa" w:w="160"/>
              <w:bottom w:type="dxa" w:w="120"/>
              <w:right w:type="dxa" w:w="160"/>
            </w:tcMar>
          </w:tcPr>
          <w:p>
            <w:pPr>
              <w:spacing w:after="40" w:before="0"/>
              <w:jc w:val="center"/>
            </w:pPr>
            <w:r>
              <w:rPr>
                <w:rFonts w:ascii="Arial" w:cs="Arial" w:eastAsia="Arial" w:hAnsi="Arial"/>
                <w:b/>
                <w:bCs/>
                <w:color w:val="1B3A6B"/>
                <w:sz w:val="34"/>
                <w:szCs w:val="34"/>
              </w:rPr>
              <w:t xml:space="preserve">0.892</w:t>
            </w:r>
          </w:p>
          <w:p>
            <w:pPr>
              <w:spacing w:after="20" w:before="0"/>
              <w:jc w:val="center"/>
            </w:pPr>
            <w:r>
              <w:rPr>
                <w:rFonts w:ascii="Arial" w:cs="Arial" w:eastAsia="Arial" w:hAnsi="Arial"/>
                <w:color w:val="1B3A6B"/>
                <w:sz w:val="18"/>
                <w:szCs w:val="18"/>
              </w:rPr>
              <w:t xml:space="preserve">Best R²</w:t>
            </w:r>
          </w:p>
          <w:p>
            <w:pPr>
              <w:spacing w:after="0" w:before="0"/>
              <w:jc w:val="center"/>
            </w:pPr>
            <w:r>
              <w:rPr>
                <w:rFonts w:ascii="Arial" w:cs="Arial" w:eastAsia="Arial" w:hAnsi="Arial"/>
                <w:i/>
                <w:iCs/>
                <w:color w:val="1B3A6B"/>
                <w:sz w:val="16"/>
                <w:szCs w:val="16"/>
              </w:rPr>
              <w:t xml:space="preserve">HoltWinters</w:t>
            </w:r>
          </w:p>
        </w:tc>
        <w:tc>
          <w:tcPr>
            <w:tcW w:type="dxa" w:w="220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pPr>
              <w:spacing w:after="40" w:before="0"/>
              <w:jc w:val="center"/>
            </w:pPr>
            <w:r>
              <w:rPr>
                <w:rFonts w:ascii="Arial" w:cs="Arial" w:eastAsia="Arial" w:hAnsi="Arial"/>
                <w:b/>
                <w:bCs/>
                <w:color w:val="B45309"/>
                <w:sz w:val="34"/>
                <w:szCs w:val="34"/>
              </w:rPr>
              <w:t xml:space="preserve">6</w:t>
            </w:r>
          </w:p>
          <w:p>
            <w:pPr>
              <w:spacing w:after="20" w:before="0"/>
              <w:jc w:val="center"/>
            </w:pPr>
            <w:r>
              <w:rPr>
                <w:rFonts w:ascii="Arial" w:cs="Arial" w:eastAsia="Arial" w:hAnsi="Arial"/>
                <w:color w:val="B45309"/>
                <w:sz w:val="18"/>
                <w:szCs w:val="18"/>
              </w:rPr>
              <w:t xml:space="preserve">Models</w:t>
            </w:r>
          </w:p>
          <w:p>
            <w:pPr>
              <w:spacing w:after="0" w:before="0"/>
              <w:jc w:val="center"/>
            </w:pPr>
            <w:r>
              <w:rPr>
                <w:rFonts w:ascii="Arial" w:cs="Arial" w:eastAsia="Arial" w:hAnsi="Arial"/>
                <w:i/>
                <w:iCs/>
                <w:color w:val="B45309"/>
                <w:sz w:val="16"/>
                <w:szCs w:val="16"/>
              </w:rPr>
              <w:t xml:space="preserve">incl. Holt-Winters</w:t>
            </w:r>
          </w:p>
        </w:tc>
        <w:tc>
          <w:tcPr>
            <w:tcW w:type="dxa" w:w="220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pPr>
              <w:spacing w:after="40" w:before="0"/>
              <w:jc w:val="center"/>
            </w:pPr>
            <w:r>
              <w:rPr>
                <w:rFonts w:ascii="Arial" w:cs="Arial" w:eastAsia="Arial" w:hAnsi="Arial"/>
                <w:b/>
                <w:bCs/>
                <w:color w:val="0F6E56"/>
                <w:sz w:val="34"/>
                <w:szCs w:val="34"/>
              </w:rPr>
              <w:t xml:space="preserve">5</w:t>
            </w:r>
          </w:p>
          <w:p>
            <w:pPr>
              <w:spacing w:after="20" w:before="0"/>
              <w:jc w:val="center"/>
            </w:pPr>
            <w:r>
              <w:rPr>
                <w:rFonts w:ascii="Arial" w:cs="Arial" w:eastAsia="Arial" w:hAnsi="Arial"/>
                <w:color w:val="0F6E56"/>
                <w:sz w:val="18"/>
                <w:szCs w:val="18"/>
              </w:rPr>
              <w:t xml:space="preserve">CV Folds</w:t>
            </w:r>
          </w:p>
          <w:p>
            <w:pPr>
              <w:spacing w:after="0" w:before="0"/>
              <w:jc w:val="center"/>
            </w:pPr>
            <w:r>
              <w:rPr>
                <w:rFonts w:ascii="Arial" w:cs="Arial" w:eastAsia="Arial" w:hAnsi="Arial"/>
                <w:i/>
                <w:iCs/>
                <w:color w:val="0F6E56"/>
                <w:sz w:val="16"/>
                <w:szCs w:val="16"/>
              </w:rPr>
              <w:t xml:space="preserve">TimeSeriesSplit</w:t>
            </w:r>
          </w:p>
        </w:tc>
        <w:tc>
          <w:tcPr>
            <w:tcW w:type="dxa" w:w="560"/>
            <w:tcBorders>
              <w:top w:val="none" w:color="FFFFFF" w:sz="0"/>
              <w:left w:val="none" w:color="FFFFFF" w:sz="0"/>
              <w:bottom w:val="none" w:color="FFFFFF" w:sz="0"/>
              <w:right w:val="none" w:color="FFFFFF" w:sz="0"/>
            </w:tcBorders>
          </w:tcPr>
          <w:p>
            <w:pPr>
              <w:spacing w:after="60" w:before="60"/>
              <w:jc w:val="both"/>
            </w:pPr>
            <w:r>
              <w:rPr>
                <w:rFonts w:ascii="Arial" w:cs="Arial" w:eastAsia="Arial" w:hAnsi="Arial"/>
                <w:color w:val="111827"/>
                <w:sz w:val="22"/>
                <w:szCs w:val="22"/>
              </w:rPr>
              <w:t xml:space="preserve"/>
            </w:r>
          </w:p>
        </w:tc>
      </w:tr>
    </w:tbl>
    <w:p>
      <w:pPr>
        <w:spacing w:after="0" w:before="160"/>
      </w:pPr>
      <w:r>
        <w:rPr>
          <w:rFonts w:ascii="Arial" w:cs="Arial" w:eastAsia="Arial" w:hAnsi="Arial"/>
          <w:sz w:val="22"/>
          <w:szCs w:val="22"/>
        </w:rPr>
        <w:t xml:space="preserve"/>
      </w:r>
    </w:p>
    <w:p>
      <w:pPr>
        <w:spacing w:after="0" w:before="0"/>
        <w:jc w:val="center"/>
      </w:pPr>
      <w:r>
        <w:rPr>
          <w:rFonts w:ascii="Arial" w:cs="Arial" w:eastAsia="Arial" w:hAnsi="Arial"/>
          <w:i/>
          <w:iCs/>
          <w:color w:val="9CA3AF"/>
          <w:sz w:val="18"/>
          <w:szCs w:val="18"/>
        </w:rPr>
        <w:t xml:space="preserve">Report generated: May 2026</w:t>
      </w:r>
    </w:p>
    <w:p>
      <w:r>
        <w:br w:type="page"/>
      </w:r>
    </w:p>
    <w:p>
      <w:pPr>
        <w:pStyle w:val="Heading1"/>
        <w:spacing w:after="160" w:before="320"/>
      </w:pPr>
      <w:r>
        <w:rPr>
          <w:rFonts w:ascii="Arial" w:cs="Arial" w:eastAsia="Arial" w:hAnsi="Arial"/>
          <w:b/>
          <w:bCs/>
          <w:color w:val="1B3A6B"/>
          <w:sz w:val="32"/>
          <w:szCs w:val="32"/>
        </w:rPr>
        <w:t xml:space="preserve">1. Executive Summary</w:t>
      </w:r>
    </w:p>
    <w:p>
      <w:pPr>
        <w:spacing w:after="60" w:before="60"/>
        <w:jc w:val="both"/>
      </w:pPr>
      <w:r>
        <w:rPr>
          <w:rFonts w:ascii="Arial" w:cs="Arial" w:eastAsia="Arial" w:hAnsi="Arial"/>
          <w:color w:val="111827"/>
          <w:sz w:val="22"/>
          <w:szCs w:val="22"/>
        </w:rPr>
        <w:t xml:space="preserve">This report presents results of a comprehensive time-series forecasting study on Bank of India CASA (Current Account Savings Account) deposit data, covering 40 quarters from 2015 Q1 through 2024 Q4. The study evaluated six forecasting models under version 2.0 of the platform, which incorporates significant fixes over v1.0 including real macroeconomic exogenous variables, corrected model orders, Holt-Winters as a new model, and proper 5-fold time-series cross-validation.</w:t>
      </w:r>
    </w:p>
    <w:p>
      <w:pPr>
        <w:spacing w:after="0" w:before="80"/>
      </w:pPr>
      <w:r>
        <w:rPr>
          <w:rFonts w:ascii="Arial" w:cs="Arial" w:eastAsia="Arial" w:hAnsi="Arial"/>
          <w:sz w:val="22"/>
          <w:szCs w:val="22"/>
        </w:rPr>
        <w:t xml:space="preserve"/>
      </w:r>
    </w:p>
    <w:p>
      <w:pPr>
        <w:spacing w:after="60" w:before="60"/>
        <w:jc w:val="both"/>
      </w:pPr>
      <w:r>
        <w:rPr>
          <w:rFonts w:ascii="Arial" w:cs="Arial" w:eastAsia="Arial" w:hAnsi="Arial"/>
          <w:color w:val="111827"/>
          <w:sz w:val="22"/>
          <w:szCs w:val="22"/>
        </w:rPr>
        <w:t xml:space="preserve">The Holt-Winters Exponential Smoothing model achieved the highest performance with a CV MAPE of 2.1% (+/-0.4%), R-squared of 0.892, and directional accuracy of 84%. SARIMAX with real macroeconomic exogenous variables (RBI Repo Rate, CPI Inflation, GDP Growth Rate) improved from R-squared 0.130 in v1.0 to 0.804 in v2.0. All six models now achieve R-squared above 0.60, eliminating the negative R-squared values (ARIMA: -0.004, AutoARIMA: -0.136) present in v1.0.</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3FE" w:sz="1"/>
              <w:left w:val="single" w:color="2563EB" w:sz="20"/>
              <w:bottom w:val="single" w:color="EBF3FE" w:sz="1"/>
              <w:right w:val="single" w:color="EBF3FE" w:sz="1"/>
            </w:tcBorders>
            <w:shd w:fill="EBF3FE" w:val="clear"/>
            <w:tcMar>
              <w:top w:type="dxa" w:w="100"/>
              <w:left w:type="dxa" w:w="160"/>
              <w:bottom w:type="dxa" w:w="100"/>
              <w:right w:type="dxa" w:w="160"/>
            </w:tcMar>
          </w:tcPr>
          <w:p>
            <w:pPr>
              <w:spacing w:after="0" w:before="0"/>
            </w:pPr>
            <w:r>
              <w:rPr>
                <w:rFonts w:ascii="Arial" w:cs="Arial" w:eastAsia="Arial" w:hAnsi="Arial"/>
                <w:i/>
                <w:iCs/>
                <w:color w:val="1B3A6B"/>
                <w:sz w:val="21"/>
                <w:szCs w:val="21"/>
              </w:rPr>
              <w:t xml:space="preserve">Key finding: The primary causes of poor v1.0 performance were (1) overfitting due to too many ARIMA/SARIMA parameters relative to training data size, (2) a meaningless dummy time-index as SARIMAX exogenous input, and (3) absence of macroeconomic context. All three issues are resolved in v2.0.</w:t>
            </w:r>
          </w:p>
        </w:tc>
      </w:tr>
    </w:tbl>
    <w:p>
      <w:pPr>
        <w:spacing w:after="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1B3A6B"/>
          <w:sz w:val="32"/>
          <w:szCs w:val="32"/>
        </w:rPr>
        <w:t xml:space="preserve">2. Model Performance Leaderboard</w:t>
      </w:r>
    </w:p>
    <w:p>
      <w:pPr>
        <w:spacing w:after="60" w:before="60"/>
        <w:jc w:val="both"/>
      </w:pPr>
      <w:r>
        <w:rPr>
          <w:rFonts w:ascii="Arial" w:cs="Arial" w:eastAsia="Arial" w:hAnsi="Arial"/>
          <w:color w:val="111827"/>
          <w:sz w:val="22"/>
          <w:szCs w:val="22"/>
        </w:rPr>
        <w:t xml:space="preserve">The table below presents all six models ranked by composite score (v2.0). CV MAPE is reported as mean +/- standard deviation across five TimeSeriesSplit folds.</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60"/>
        <w:gridCol w:w="900"/>
        <w:gridCol w:w="800"/>
        <w:gridCol w:w="800"/>
        <w:gridCol w:w="850"/>
        <w:gridCol w:w="1450"/>
      </w:tblGrid>
      <w:tr>
        <w:tc>
          <w:tcPr>
            <w:tcW w:type="dxa" w:w="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Rank</w:t>
            </w:r>
          </w:p>
        </w:tc>
        <w:tc>
          <w:tcPr>
            <w:tcW w:type="dxa" w:w="16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Model</w:t>
            </w:r>
          </w:p>
        </w:tc>
        <w:tc>
          <w:tcPr>
            <w:tcW w:type="dxa" w:w="14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CV MAPE +/- Std</w:t>
            </w:r>
          </w:p>
        </w:tc>
        <w:tc>
          <w:tcPr>
            <w:tcW w:type="dxa" w:w="9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RMSE %</w:t>
            </w:r>
          </w:p>
        </w:tc>
        <w:tc>
          <w:tcPr>
            <w:tcW w:type="dxa" w:w="8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R²</w:t>
            </w:r>
          </w:p>
        </w:tc>
        <w:tc>
          <w:tcPr>
            <w:tcW w:type="dxa" w:w="8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Adj R²</w:t>
            </w:r>
          </w:p>
        </w:tc>
        <w:tc>
          <w:tcPr>
            <w:tcW w:type="dxa" w:w="85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Dir Acc</w:t>
            </w:r>
          </w:p>
        </w:tc>
        <w:tc>
          <w:tcPr>
            <w:tcW w:type="dxa" w:w="145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Composite</w:t>
            </w:r>
          </w:p>
        </w:tc>
      </w:tr>
      <w:tr>
        <w:tc>
          <w:tcPr>
            <w:tcW w:type="dxa" w:w="5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vAlign w:val="center"/>
          </w:tcPr>
          <w:p>
            <w:pPr>
              <w:spacing w:after="0" w:before="0"/>
              <w:jc w:val="center"/>
            </w:pPr>
            <w:r>
              <w:rPr>
                <w:rFonts w:ascii="Arial" w:cs="Arial" w:eastAsia="Arial" w:hAnsi="Arial"/>
                <w:b/>
                <w:bCs/>
                <w:color w:val="111827"/>
                <w:sz w:val="20"/>
                <w:szCs w:val="20"/>
              </w:rPr>
              <w:t xml:space="preserve">1</w:t>
            </w:r>
          </w:p>
        </w:tc>
        <w:tc>
          <w:tcPr>
            <w:tcW w:type="dxa" w:w="16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vAlign w:val="center"/>
          </w:tcPr>
          <w:p>
            <w:pPr>
              <w:spacing w:after="0" w:before="0"/>
              <w:jc w:val="left"/>
            </w:pPr>
            <w:r>
              <w:rPr>
                <w:rFonts w:ascii="Arial" w:cs="Arial" w:eastAsia="Arial" w:hAnsi="Arial"/>
                <w:b/>
                <w:bCs/>
                <w:color w:val="111827"/>
                <w:sz w:val="20"/>
                <w:szCs w:val="20"/>
              </w:rPr>
              <w:t xml:space="preserve">HoltWinters  [NEW]</w:t>
            </w:r>
          </w:p>
        </w:tc>
        <w:tc>
          <w:tcPr>
            <w:tcW w:type="dxa" w:w="146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vAlign w:val="center"/>
          </w:tcPr>
          <w:p>
            <w:pPr>
              <w:spacing w:after="0" w:before="0"/>
              <w:jc w:val="center"/>
            </w:pPr>
            <w:r>
              <w:rPr>
                <w:rFonts w:ascii="Arial" w:cs="Arial" w:eastAsia="Arial" w:hAnsi="Arial"/>
                <w:b/>
                <w:bCs/>
                <w:color w:val="166534"/>
                <w:sz w:val="20"/>
                <w:szCs w:val="20"/>
              </w:rPr>
              <w:t xml:space="preserve">2.1% +/- 0.4%</w:t>
            </w:r>
          </w:p>
        </w:tc>
        <w:tc>
          <w:tcPr>
            <w:tcW w:type="dxa" w:w="9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2.31%</w:t>
            </w:r>
          </w:p>
        </w:tc>
        <w:tc>
          <w:tcPr>
            <w:tcW w:type="dxa" w:w="8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vAlign w:val="center"/>
          </w:tcPr>
          <w:p>
            <w:pPr>
              <w:spacing w:after="0" w:before="0"/>
              <w:jc w:val="center"/>
            </w:pPr>
            <w:r>
              <w:rPr>
                <w:rFonts w:ascii="Arial" w:cs="Arial" w:eastAsia="Arial" w:hAnsi="Arial"/>
                <w:b/>
                <w:bCs/>
                <w:color w:val="166534"/>
                <w:sz w:val="20"/>
                <w:szCs w:val="20"/>
              </w:rPr>
              <w:t xml:space="preserve">0.892</w:t>
            </w:r>
          </w:p>
        </w:tc>
        <w:tc>
          <w:tcPr>
            <w:tcW w:type="dxa" w:w="8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0.873</w:t>
            </w:r>
          </w:p>
        </w:tc>
        <w:tc>
          <w:tcPr>
            <w:tcW w:type="dxa" w:w="85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84%</w:t>
            </w:r>
          </w:p>
        </w:tc>
        <w:tc>
          <w:tcPr>
            <w:tcW w:type="dxa" w:w="145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vAlign w:val="center"/>
          </w:tcPr>
          <w:p>
            <w:pPr>
              <w:spacing w:after="0" w:before="0"/>
              <w:jc w:val="center"/>
            </w:pPr>
            <w:r>
              <w:rPr>
                <w:rFonts w:ascii="Arial" w:cs="Arial" w:eastAsia="Arial" w:hAnsi="Arial"/>
                <w:b/>
                <w:bCs/>
                <w:color w:val="111827"/>
                <w:sz w:val="20"/>
                <w:szCs w:val="20"/>
              </w:rPr>
              <w:t xml:space="preserve">100.0</w:t>
            </w:r>
          </w:p>
        </w:tc>
      </w:tr>
      <w:tr>
        <w:tc>
          <w:tcPr>
            <w:tcW w:type="dxa" w:w="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Prophet</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2.3% +/- 0.6%</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2.62%</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0.853</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0.831</w:t>
            </w:r>
          </w:p>
        </w:tc>
        <w:tc>
          <w:tcPr>
            <w:tcW w:type="dxa" w:w="85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81%</w:t>
            </w:r>
          </w:p>
        </w:tc>
        <w:tc>
          <w:tcPr>
            <w:tcW w:type="dxa" w:w="145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87.4</w:t>
            </w:r>
          </w:p>
        </w:tc>
      </w:tr>
      <w:tr>
        <w:tc>
          <w:tcPr>
            <w:tcW w:type="dxa" w:w="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SARIMAX  [real exog]</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2.8% +/- 0.5%</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3.07%</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0.804</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0.786</w:t>
            </w:r>
          </w:p>
        </w:tc>
        <w:tc>
          <w:tcPr>
            <w:tcW w:type="dxa" w:w="85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78%</w:t>
            </w:r>
          </w:p>
        </w:tc>
        <w:tc>
          <w:tcPr>
            <w:tcW w:type="dxa" w:w="145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74.1</w:t>
            </w:r>
          </w:p>
        </w:tc>
      </w:tr>
      <w:tr>
        <w:tc>
          <w:tcPr>
            <w:tcW w:type="dxa" w:w="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AutoARIMA</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3.4% +/- 0.8%</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3.59%</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0.743</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0.712</w:t>
            </w:r>
          </w:p>
        </w:tc>
        <w:tc>
          <w:tcPr>
            <w:tcW w:type="dxa" w:w="85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74%</w:t>
            </w:r>
          </w:p>
        </w:tc>
        <w:tc>
          <w:tcPr>
            <w:tcW w:type="dxa" w:w="145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55.8</w:t>
            </w:r>
          </w:p>
        </w:tc>
      </w:tr>
      <w:tr>
        <w:tc>
          <w:tcPr>
            <w:tcW w:type="dxa" w:w="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5</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SARIMA  [fixed]</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3.6% +/- 0.7%</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3.78%</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0.718</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0.681</w:t>
            </w:r>
          </w:p>
        </w:tc>
        <w:tc>
          <w:tcPr>
            <w:tcW w:type="dxa" w:w="85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72%</w:t>
            </w:r>
          </w:p>
        </w:tc>
        <w:tc>
          <w:tcPr>
            <w:tcW w:type="dxa" w:w="145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48.3</w:t>
            </w:r>
          </w:p>
        </w:tc>
      </w:tr>
      <w:tr>
        <w:tc>
          <w:tcPr>
            <w:tcW w:type="dxa" w:w="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6</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ARIMA  [fixed]</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3.9% +/- 1.1%</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4.12%</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0.673</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0.624</w:t>
            </w:r>
          </w:p>
        </w:tc>
        <w:tc>
          <w:tcPr>
            <w:tcW w:type="dxa" w:w="85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70%</w:t>
            </w:r>
          </w:p>
        </w:tc>
        <w:tc>
          <w:tcPr>
            <w:tcW w:type="dxa" w:w="145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36.0</w:t>
            </w:r>
          </w:p>
        </w:tc>
      </w:tr>
    </w:tbl>
    <w:p>
      <w:pPr>
        <w:spacing w:after="0" w:before="80"/>
      </w:pPr>
      <w:r>
        <w:rPr>
          <w:rFonts w:ascii="Arial" w:cs="Arial" w:eastAsia="Arial" w:hAnsi="Arial"/>
          <w:sz w:val="22"/>
          <w:szCs w:val="22"/>
        </w:rPr>
        <w:t xml:space="preserve"/>
      </w:r>
    </w:p>
    <w:p>
      <w:pPr>
        <w:spacing w:after="60" w:before="60"/>
        <w:jc w:val="both"/>
      </w:pPr>
      <w:r>
        <w:rPr>
          <w:rFonts w:ascii="Arial" w:cs="Arial" w:eastAsia="Arial" w:hAnsi="Arial"/>
          <w:color w:val="374151"/>
          <w:sz w:val="19"/>
          <w:szCs w:val="19"/>
        </w:rPr>
        <w:t xml:space="preserve">Composite Score = 0.35 x (norm MAPE) + 0.25 x (norm RMSE%) + 0.20 x (norm MAE%) + 0.20 x (Stability). Higher is better. Dir Acc = directional accuracy: % of quarters where the forecast correctly predicted the sign (up/down) of the period-over-period change.</w:t>
      </w:r>
    </w:p>
    <w:p>
      <w:pPr>
        <w:spacing w:after="0" w:before="80"/>
      </w:pPr>
      <w:r>
        <w:rPr>
          <w:rFonts w:ascii="Arial" w:cs="Arial" w:eastAsia="Arial" w:hAnsi="Arial"/>
          <w:sz w:val="22"/>
          <w:szCs w:val="22"/>
        </w:rPr>
        <w:t xml:space="preserve"/>
      </w:r>
    </w:p>
    <w:p>
      <w:pPr>
        <w:pStyle w:val="Heading2"/>
        <w:pBdr>
          <w:bottom w:val="single" w:color="2563EB" w:sz="6" w:space="1"/>
        </w:pBdr>
        <w:spacing w:after="120" w:before="240"/>
      </w:pPr>
      <w:r>
        <w:rPr>
          <w:rFonts w:ascii="Arial" w:cs="Arial" w:eastAsia="Arial" w:hAnsi="Arial"/>
          <w:b/>
          <w:bCs/>
          <w:color w:val="1B3A6B"/>
          <w:sz w:val="26"/>
          <w:szCs w:val="26"/>
        </w:rPr>
        <w:t xml:space="preserve">2.1  Before vs After — R² Improvement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Model</w:t>
            </w:r>
          </w:p>
        </w:tc>
        <w:tc>
          <w:tcPr>
            <w:tcW w:type="dxa" w:w="24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R² Before (v1.0)</w:t>
            </w:r>
          </w:p>
        </w:tc>
        <w:tc>
          <w:tcPr>
            <w:tcW w:type="dxa" w:w="24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R² After (v2.0)</w:t>
            </w:r>
          </w:p>
        </w:tc>
        <w:tc>
          <w:tcPr>
            <w:tcW w:type="dxa" w:w="27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Fix Applied</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ARIMA</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20"/>
                <w:szCs w:val="20"/>
              </w:rPr>
              <w:t xml:space="preserve">-0.004</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166534"/>
                <w:sz w:val="20"/>
                <w:szCs w:val="20"/>
              </w:rPr>
              <w:t xml:space="preserve">0.673</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Order (1,1,1) reduced to (1,1,0)</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SARIMA</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B45309"/>
                <w:sz w:val="20"/>
                <w:szCs w:val="20"/>
              </w:rPr>
              <w:t xml:space="preserve">0.131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166534"/>
                <w:sz w:val="20"/>
                <w:szCs w:val="20"/>
              </w:rPr>
              <w:t xml:space="preserve">0.718</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Seasonal (1,1,1,4) reduced to (0,1,1,4)</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SARIMAX</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B45309"/>
                <w:sz w:val="20"/>
                <w:szCs w:val="20"/>
              </w:rPr>
              <w:t xml:space="preserve">0.130</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166534"/>
                <w:sz w:val="20"/>
                <w:szCs w:val="20"/>
              </w:rPr>
              <w:t xml:space="preserve">0.804</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Real macro exog: RBI Rate, CPI, GDP Growth</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AutoARIMA</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20"/>
                <w:szCs w:val="20"/>
              </w:rPr>
              <w:t xml:space="preserve">-0.136</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166534"/>
                <w:sz w:val="20"/>
                <w:szCs w:val="20"/>
              </w:rPr>
              <w:t xml:space="preserve">0.743</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CV validation fixed; max P/Q reduced</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HoltWinters</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9CA3AF"/>
                <w:sz w:val="20"/>
                <w:szCs w:val="20"/>
              </w:rPr>
              <w:t xml:space="preserve">N/A (new)</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166534"/>
                <w:sz w:val="20"/>
                <w:szCs w:val="20"/>
              </w:rPr>
              <w:t xml:space="preserve">0.892</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New model added in v2.0</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Prophet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0.646</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166534"/>
                <w:sz w:val="20"/>
                <w:szCs w:val="20"/>
              </w:rPr>
              <w:t xml:space="preserve">0.853</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Unchanged model; improved CV validation</w:t>
            </w:r>
          </w:p>
        </w:tc>
      </w:tr>
    </w:tbl>
    <w:p>
      <w:r>
        <w:br w:type="page"/>
      </w:r>
    </w:p>
    <w:p>
      <w:pPr>
        <w:pStyle w:val="Heading1"/>
        <w:spacing w:after="160" w:before="320"/>
      </w:pPr>
      <w:r>
        <w:rPr>
          <w:rFonts w:ascii="Arial" w:cs="Arial" w:eastAsia="Arial" w:hAnsi="Arial"/>
          <w:b/>
          <w:bCs/>
          <w:color w:val="1B3A6B"/>
          <w:sz w:val="32"/>
          <w:szCs w:val="32"/>
        </w:rPr>
        <w:t xml:space="preserve">3. What Changed in v2.0</w:t>
      </w:r>
    </w:p>
    <w:p>
      <w:pPr>
        <w:pStyle w:val="Heading2"/>
        <w:pBdr>
          <w:bottom w:val="single" w:color="2563EB" w:sz="6" w:space="1"/>
        </w:pBdr>
        <w:spacing w:after="120" w:before="240"/>
      </w:pPr>
      <w:r>
        <w:rPr>
          <w:rFonts w:ascii="Arial" w:cs="Arial" w:eastAsia="Arial" w:hAnsi="Arial"/>
          <w:b/>
          <w:bCs/>
          <w:color w:val="1B3A6B"/>
          <w:sz w:val="26"/>
          <w:szCs w:val="26"/>
        </w:rPr>
        <w:t xml:space="preserve">3.1  Macroeconomic Data Integration</w:t>
      </w:r>
    </w:p>
    <w:p>
      <w:pPr>
        <w:spacing w:after="60" w:before="60"/>
        <w:jc w:val="both"/>
      </w:pPr>
      <w:r>
        <w:rPr>
          <w:rFonts w:ascii="Arial" w:cs="Arial" w:eastAsia="Arial" w:hAnsi="Arial"/>
          <w:color w:val="111827"/>
          <w:sz w:val="22"/>
          <w:szCs w:val="22"/>
        </w:rPr>
        <w:t xml:space="preserve">A new file data/raw/macro_indicators.csv was created containing 40 rows of historically accurate Indian macroeconomic data from 2015 Q1 to 2024 Q4. The six features are:</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11827"/>
          <w:sz w:val="22"/>
          <w:szCs w:val="22"/>
        </w:rPr>
        <w:t xml:space="preserve">RBI Repo Rate (%) — started at 7.5% in 2015, cut to 4.0% during COVID-19 (2020), raised back to 6.5% by 2023</w:t>
      </w:r>
    </w:p>
    <w:p>
      <w:pPr>
        <w:pStyle w:val="ListParagraph"/>
        <w:numPr>
          <w:ilvl w:val="0"/>
          <w:numId w:val="2"/>
        </w:numPr>
        <w:spacing w:after="40" w:before="40"/>
      </w:pPr>
      <w:r>
        <w:rPr>
          <w:rFonts w:ascii="Arial" w:cs="Arial" w:eastAsia="Arial" w:hAnsi="Arial"/>
          <w:color w:val="111827"/>
          <w:sz w:val="22"/>
          <w:szCs w:val="22"/>
        </w:rPr>
        <w:t xml:space="preserve">CPI Inflation (%) — ranged 3.4% to 7.4%, with a spike during 2019-20</w:t>
      </w:r>
    </w:p>
    <w:p>
      <w:pPr>
        <w:pStyle w:val="ListParagraph"/>
        <w:numPr>
          <w:ilvl w:val="0"/>
          <w:numId w:val="2"/>
        </w:numPr>
        <w:spacing w:after="40" w:before="40"/>
      </w:pPr>
      <w:r>
        <w:rPr>
          <w:rFonts w:ascii="Arial" w:cs="Arial" w:eastAsia="Arial" w:hAnsi="Arial"/>
          <w:color w:val="111827"/>
          <w:sz w:val="22"/>
          <w:szCs w:val="22"/>
        </w:rPr>
        <w:t xml:space="preserve">GDP Growth Rate (%) — approximately 7% pre-COVID, fell to -23.9% in Q2 2020, full recovery by 2021</w:t>
      </w:r>
    </w:p>
    <w:p>
      <w:pPr>
        <w:pStyle w:val="ListParagraph"/>
        <w:numPr>
          <w:ilvl w:val="0"/>
          <w:numId w:val="2"/>
        </w:numPr>
        <w:spacing w:after="40" w:before="40"/>
      </w:pPr>
      <w:r>
        <w:rPr>
          <w:rFonts w:ascii="Arial" w:cs="Arial" w:eastAsia="Arial" w:hAnsi="Arial"/>
          <w:color w:val="111827"/>
          <w:sz w:val="22"/>
          <w:szCs w:val="22"/>
        </w:rPr>
        <w:t xml:space="preserve">Nifty Bank Index — grew from approximately 16,000 in 2015 to over 51,000 in 2024</w:t>
      </w:r>
    </w:p>
    <w:p>
      <w:pPr>
        <w:pStyle w:val="ListParagraph"/>
        <w:numPr>
          <w:ilvl w:val="0"/>
          <w:numId w:val="2"/>
        </w:numPr>
        <w:spacing w:after="40" w:before="40"/>
      </w:pPr>
      <w:r>
        <w:rPr>
          <w:rFonts w:ascii="Arial" w:cs="Arial" w:eastAsia="Arial" w:hAnsi="Arial"/>
          <w:color w:val="111827"/>
          <w:sz w:val="22"/>
          <w:szCs w:val="22"/>
        </w:rPr>
        <w:t xml:space="preserve">Credit-Deposit Ratio (%) — stable in the 68% to 77% range</w:t>
      </w:r>
    </w:p>
    <w:p>
      <w:pPr>
        <w:pStyle w:val="ListParagraph"/>
        <w:numPr>
          <w:ilvl w:val="0"/>
          <w:numId w:val="2"/>
        </w:numPr>
        <w:spacing w:after="40" w:before="40"/>
      </w:pPr>
      <w:r>
        <w:rPr>
          <w:rFonts w:ascii="Arial" w:cs="Arial" w:eastAsia="Arial" w:hAnsi="Arial"/>
          <w:color w:val="111827"/>
          <w:sz w:val="22"/>
          <w:szCs w:val="22"/>
        </w:rPr>
        <w:t xml:space="preserve">CASA Industry Ratio (%) — industry average 40% to 46%, spiked post-COVID</w:t>
      </w:r>
    </w:p>
    <w:p>
      <w:pPr>
        <w:spacing w:after="0" w:before="80"/>
      </w:pPr>
      <w:r>
        <w:rPr>
          <w:rFonts w:ascii="Arial" w:cs="Arial" w:eastAsia="Arial" w:hAnsi="Arial"/>
          <w:sz w:val="22"/>
          <w:szCs w:val="22"/>
        </w:rPr>
        <w:t xml:space="preserve"/>
      </w:r>
    </w:p>
    <w:p>
      <w:pPr>
        <w:spacing w:after="60" w:before="60"/>
        <w:jc w:val="both"/>
      </w:pPr>
      <w:r>
        <w:rPr>
          <w:rFonts w:ascii="Arial" w:cs="Arial" w:eastAsia="Arial" w:hAnsi="Arial"/>
          <w:color w:val="111827"/>
          <w:sz w:val="22"/>
          <w:szCs w:val="22"/>
        </w:rPr>
        <w:t xml:space="preserve">These features were merged into the main data loader by Quarter_Year key and used as real exogenous inputs for SARIMAX. The scaler is always fit on the training portion only to prevent data leakage.</w:t>
      </w:r>
    </w:p>
    <w:p>
      <w:pPr>
        <w:spacing w:after="0" w:before="80"/>
      </w:pPr>
      <w:r>
        <w:rPr>
          <w:rFonts w:ascii="Arial" w:cs="Arial" w:eastAsia="Arial" w:hAnsi="Arial"/>
          <w:sz w:val="22"/>
          <w:szCs w:val="22"/>
        </w:rPr>
        <w:t xml:space="preserve"/>
      </w:r>
    </w:p>
    <w:p>
      <w:pPr>
        <w:pStyle w:val="Heading2"/>
        <w:pBdr>
          <w:bottom w:val="single" w:color="2563EB" w:sz="6" w:space="1"/>
        </w:pBdr>
        <w:spacing w:after="120" w:before="240"/>
      </w:pPr>
      <w:r>
        <w:rPr>
          <w:rFonts w:ascii="Arial" w:cs="Arial" w:eastAsia="Arial" w:hAnsi="Arial"/>
          <w:b/>
          <w:bCs/>
          <w:color w:val="1B3A6B"/>
          <w:sz w:val="26"/>
          <w:szCs w:val="26"/>
        </w:rPr>
        <w:t xml:space="preserve">3.2  Feature Engineering Additions</w:t>
      </w:r>
    </w:p>
    <w:p>
      <w:pPr>
        <w:spacing w:after="60" w:before="60"/>
        <w:jc w:val="both"/>
      </w:pPr>
      <w:r>
        <w:rPr>
          <w:rFonts w:ascii="Arial" w:cs="Arial" w:eastAsia="Arial" w:hAnsi="Arial"/>
          <w:color w:val="111827"/>
          <w:sz w:val="22"/>
          <w:szCs w:val="22"/>
        </w:rPr>
        <w:t xml:space="preserve">Five new engineered features were added to data_loader.py:</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11827"/>
          <w:sz w:val="22"/>
          <w:szCs w:val="22"/>
        </w:rPr>
        <w:t xml:space="preserve">Deposit_t1 — one-quarter lag of Deposit_Amount (captures immediate autocorrelation)</w:t>
      </w:r>
    </w:p>
    <w:p>
      <w:pPr>
        <w:pStyle w:val="ListParagraph"/>
        <w:numPr>
          <w:ilvl w:val="0"/>
          <w:numId w:val="2"/>
        </w:numPr>
        <w:spacing w:after="40" w:before="40"/>
      </w:pPr>
      <w:r>
        <w:rPr>
          <w:rFonts w:ascii="Arial" w:cs="Arial" w:eastAsia="Arial" w:hAnsi="Arial"/>
          <w:color w:val="111827"/>
          <w:sz w:val="22"/>
          <w:szCs w:val="22"/>
        </w:rPr>
        <w:t xml:space="preserve">Deposit_t4 — four-quarter (annual) lag (captures year-over-year seasonal pattern)</w:t>
      </w:r>
    </w:p>
    <w:p>
      <w:pPr>
        <w:pStyle w:val="ListParagraph"/>
        <w:numPr>
          <w:ilvl w:val="0"/>
          <w:numId w:val="2"/>
        </w:numPr>
        <w:spacing w:after="40" w:before="40"/>
      </w:pPr>
      <w:r>
        <w:rPr>
          <w:rFonts w:ascii="Arial" w:cs="Arial" w:eastAsia="Arial" w:hAnsi="Arial"/>
          <w:color w:val="111827"/>
          <w:sz w:val="22"/>
          <w:szCs w:val="22"/>
        </w:rPr>
        <w:t xml:space="preserve">Deposit_t8 — eight-quarter (two-year) lag (captures medium-term momentum)</w:t>
      </w:r>
    </w:p>
    <w:p>
      <w:pPr>
        <w:pStyle w:val="ListParagraph"/>
        <w:numPr>
          <w:ilvl w:val="0"/>
          <w:numId w:val="2"/>
        </w:numPr>
        <w:spacing w:after="40" w:before="40"/>
      </w:pPr>
      <w:r>
        <w:rPr>
          <w:rFonts w:ascii="Arial" w:cs="Arial" w:eastAsia="Arial" w:hAnsi="Arial"/>
          <w:color w:val="111827"/>
          <w:sz w:val="22"/>
          <w:szCs w:val="22"/>
        </w:rPr>
        <w:t xml:space="preserve">rate_x_growth — interaction term: RBI_Repo_Rate multiplied by YoY_Growth (captures monetary policy effect on deposit growth)</w:t>
      </w:r>
    </w:p>
    <w:p>
      <w:pPr>
        <w:pStyle w:val="ListParagraph"/>
        <w:numPr>
          <w:ilvl w:val="0"/>
          <w:numId w:val="2"/>
        </w:numPr>
        <w:spacing w:after="40" w:before="40"/>
      </w:pPr>
      <w:r>
        <w:rPr>
          <w:rFonts w:ascii="Arial" w:cs="Arial" w:eastAsia="Arial" w:hAnsi="Arial"/>
          <w:color w:val="111827"/>
          <w:sz w:val="22"/>
          <w:szCs w:val="22"/>
        </w:rPr>
        <w:t xml:space="preserve">rolling_vol_4q — four-quarter rolling standard deviation of deposits (captures volatility regime)</w:t>
      </w:r>
    </w:p>
    <w:p>
      <w:pPr>
        <w:spacing w:after="0" w:before="80"/>
      </w:pPr>
      <w:r>
        <w:rPr>
          <w:rFonts w:ascii="Arial" w:cs="Arial" w:eastAsia="Arial" w:hAnsi="Arial"/>
          <w:sz w:val="22"/>
          <w:szCs w:val="22"/>
        </w:rPr>
        <w:t xml:space="preserve"/>
      </w:r>
    </w:p>
    <w:p>
      <w:pPr>
        <w:spacing w:after="60" w:before="60"/>
        <w:jc w:val="both"/>
      </w:pPr>
      <w:r>
        <w:rPr>
          <w:rFonts w:ascii="Arial" w:cs="Arial" w:eastAsia="Arial" w:hAnsi="Arial"/>
          <w:color w:val="111827"/>
          <w:sz w:val="22"/>
          <w:szCs w:val="22"/>
        </w:rPr>
        <w:t xml:space="preserve">All new features are normalised using StandardScaler fitted on the training window only.</w:t>
      </w:r>
    </w:p>
    <w:p>
      <w:pPr>
        <w:spacing w:after="0" w:before="80"/>
      </w:pPr>
      <w:r>
        <w:rPr>
          <w:rFonts w:ascii="Arial" w:cs="Arial" w:eastAsia="Arial" w:hAnsi="Arial"/>
          <w:sz w:val="22"/>
          <w:szCs w:val="22"/>
        </w:rPr>
        <w:t xml:space="preserve"/>
      </w:r>
    </w:p>
    <w:p>
      <w:pPr>
        <w:pStyle w:val="Heading2"/>
        <w:pBdr>
          <w:bottom w:val="single" w:color="2563EB" w:sz="6" w:space="1"/>
        </w:pBdr>
        <w:spacing w:after="120" w:before="240"/>
      </w:pPr>
      <w:r>
        <w:rPr>
          <w:rFonts w:ascii="Arial" w:cs="Arial" w:eastAsia="Arial" w:hAnsi="Arial"/>
          <w:b/>
          <w:bCs/>
          <w:color w:val="1B3A6B"/>
          <w:sz w:val="26"/>
          <w:szCs w:val="26"/>
        </w:rPr>
        <w:t xml:space="preserve">3.3  ARIMA Order Fix</w:t>
      </w:r>
    </w:p>
    <w:p>
      <w:pPr>
        <w:spacing w:after="60" w:before="60"/>
        <w:jc w:val="both"/>
      </w:pPr>
      <w:r>
        <w:rPr>
          <w:rFonts w:ascii="Arial" w:cs="Arial" w:eastAsia="Arial" w:hAnsi="Arial"/>
          <w:color w:val="111827"/>
          <w:sz w:val="22"/>
          <w:szCs w:val="22"/>
        </w:rPr>
        <w:t xml:space="preserve">The original ARIMA order (1,1,1) used three parameters on a 32-point training set. With three parameters plus a constant, the model had insufficient degrees of freedom relative to the sample size, causing overfitting and negative R-squared (-0.004) on the test set. The order was reduced to (1,1,0) — autoregressive component only — which produced R-squared of 0.673 with stable residuals.</w:t>
      </w:r>
    </w:p>
    <w:p>
      <w:pPr>
        <w:spacing w:after="0" w:before="80"/>
      </w:pPr>
      <w:r>
        <w:rPr>
          <w:rFonts w:ascii="Arial" w:cs="Arial" w:eastAsia="Arial" w:hAnsi="Arial"/>
          <w:sz w:val="22"/>
          <w:szCs w:val="22"/>
        </w:rPr>
        <w:t xml:space="preserve"/>
      </w:r>
    </w:p>
    <w:p>
      <w:pPr>
        <w:pStyle w:val="Heading2"/>
        <w:pBdr>
          <w:bottom w:val="single" w:color="2563EB" w:sz="6" w:space="1"/>
        </w:pBdr>
        <w:spacing w:after="120" w:before="240"/>
      </w:pPr>
      <w:r>
        <w:rPr>
          <w:rFonts w:ascii="Arial" w:cs="Arial" w:eastAsia="Arial" w:hAnsi="Arial"/>
          <w:b/>
          <w:bCs/>
          <w:color w:val="1B3A6B"/>
          <w:sz w:val="26"/>
          <w:szCs w:val="26"/>
        </w:rPr>
        <w:t xml:space="preserve">3.4  SARIMA Seasonal Parameter Fix</w:t>
      </w:r>
    </w:p>
    <w:p>
      <w:pPr>
        <w:spacing w:after="60" w:before="60"/>
        <w:jc w:val="both"/>
      </w:pPr>
      <w:r>
        <w:rPr>
          <w:rFonts w:ascii="Arial" w:cs="Arial" w:eastAsia="Arial" w:hAnsi="Arial"/>
          <w:color w:val="111827"/>
          <w:sz w:val="22"/>
          <w:szCs w:val="22"/>
        </w:rPr>
        <w:t xml:space="preserve">The original SARIMA seasonal order (1,1,1,4) combined with non-seasonal order (1,1,1) yielded six effective parameters on 32 training observations. The seasonal order was simplified to (0,1,1,4), reducing seasonal AR terms and lowering the parameter-to-sample ratio. R-squared improved from 0.131 to 0.718.</w:t>
      </w:r>
    </w:p>
    <w:p>
      <w:pPr>
        <w:spacing w:after="0" w:before="80"/>
      </w:pPr>
      <w:r>
        <w:rPr>
          <w:rFonts w:ascii="Arial" w:cs="Arial" w:eastAsia="Arial" w:hAnsi="Arial"/>
          <w:sz w:val="22"/>
          <w:szCs w:val="22"/>
        </w:rPr>
        <w:t xml:space="preserve"/>
      </w:r>
    </w:p>
    <w:p>
      <w:pPr>
        <w:pStyle w:val="Heading2"/>
        <w:pBdr>
          <w:bottom w:val="single" w:color="2563EB" w:sz="6" w:space="1"/>
        </w:pBdr>
        <w:spacing w:after="120" w:before="240"/>
      </w:pPr>
      <w:r>
        <w:rPr>
          <w:rFonts w:ascii="Arial" w:cs="Arial" w:eastAsia="Arial" w:hAnsi="Arial"/>
          <w:b/>
          <w:bCs/>
          <w:color w:val="1B3A6B"/>
          <w:sz w:val="26"/>
          <w:szCs w:val="26"/>
        </w:rPr>
        <w:t xml:space="preserve">3.5  SARIMAX Real Exogenous Variables</w:t>
      </w:r>
    </w:p>
    <w:p>
      <w:pPr>
        <w:spacing w:after="60" w:before="60"/>
        <w:jc w:val="both"/>
      </w:pPr>
      <w:r>
        <w:rPr>
          <w:rFonts w:ascii="Arial" w:cs="Arial" w:eastAsia="Arial" w:hAnsi="Arial"/>
          <w:color w:val="111827"/>
          <w:sz w:val="22"/>
          <w:szCs w:val="22"/>
        </w:rPr>
        <w:t xml:space="preserve">In v1.0, SARIMAX used a dummy time index [0, 1, 2, ...] as its exogenous variable. This conveyed no economic information and produced R-squared of only 0.130. In v2.0, the model uses three real macroeconomic variables: RBI Repo Rate, CPI Inflation, and GDP Growth Rate, scaled independently on the training window. The result is R-squared of 0.804 — the largest single improvement of any model in this release.</w:t>
      </w:r>
    </w:p>
    <w:p>
      <w:pPr>
        <w:spacing w:after="0" w:before="80"/>
      </w:pPr>
      <w:r>
        <w:rPr>
          <w:rFonts w:ascii="Arial" w:cs="Arial" w:eastAsia="Arial" w:hAnsi="Arial"/>
          <w:sz w:val="22"/>
          <w:szCs w:val="22"/>
        </w:rPr>
        <w:t xml:space="preserve"/>
      </w:r>
    </w:p>
    <w:p>
      <w:pPr>
        <w:pStyle w:val="Heading2"/>
        <w:pBdr>
          <w:bottom w:val="single" w:color="2563EB" w:sz="6" w:space="1"/>
        </w:pBdr>
        <w:spacing w:after="120" w:before="240"/>
      </w:pPr>
      <w:r>
        <w:rPr>
          <w:rFonts w:ascii="Arial" w:cs="Arial" w:eastAsia="Arial" w:hAnsi="Arial"/>
          <w:b/>
          <w:bCs/>
          <w:color w:val="1B3A6B"/>
          <w:sz w:val="26"/>
          <w:szCs w:val="26"/>
        </w:rPr>
        <w:t xml:space="preserve">3.6  Holt-Winters Exponential Smoothing</w:t>
      </w:r>
    </w:p>
    <w:p>
      <w:pPr>
        <w:spacing w:after="60" w:before="60"/>
        <w:jc w:val="both"/>
      </w:pPr>
      <w:r>
        <w:rPr>
          <w:rFonts w:ascii="Arial" w:cs="Arial" w:eastAsia="Arial" w:hAnsi="Arial"/>
          <w:color w:val="111827"/>
          <w:sz w:val="22"/>
          <w:szCs w:val="22"/>
        </w:rPr>
        <w:t xml:space="preserve">Holt-Winters Exponential Smoothing was added as a new model. The configuration uses additive trend and additive seasonal components with a period of 4 (quarterly data). Additive seasonality was chosen over multiplicative because the seasonal amplitude of CASA deposits does not grow proportionally with the level — the absolute seasonal swings are roughly constant across years. Parameters are estimated via maximum likelihood optimisation. Holt-Winters achieved the highest R-squared (0.892), lowest CV MAPE (2.1% plus/minus 0.4%), and highest directional accuracy (84%) of all six models.</w:t>
      </w:r>
    </w:p>
    <w:p>
      <w:pPr>
        <w:spacing w:after="0" w:before="80"/>
      </w:pPr>
      <w:r>
        <w:rPr>
          <w:rFonts w:ascii="Arial" w:cs="Arial" w:eastAsia="Arial" w:hAnsi="Arial"/>
          <w:sz w:val="22"/>
          <w:szCs w:val="22"/>
        </w:rPr>
        <w:t xml:space="preserve"/>
      </w:r>
    </w:p>
    <w:p>
      <w:pPr>
        <w:pStyle w:val="Heading2"/>
        <w:pBdr>
          <w:bottom w:val="single" w:color="2563EB" w:sz="6" w:space="1"/>
        </w:pBdr>
        <w:spacing w:after="120" w:before="240"/>
      </w:pPr>
      <w:r>
        <w:rPr>
          <w:rFonts w:ascii="Arial" w:cs="Arial" w:eastAsia="Arial" w:hAnsi="Arial"/>
          <w:b/>
          <w:bCs/>
          <w:color w:val="1B3A6B"/>
          <w:sz w:val="26"/>
          <w:szCs w:val="26"/>
        </w:rPr>
        <w:t xml:space="preserve">3.7  TimeSeriesSplit Cross-Validation</w:t>
      </w:r>
    </w:p>
    <w:p>
      <w:pPr>
        <w:spacing w:after="60" w:before="60"/>
        <w:jc w:val="both"/>
      </w:pPr>
      <w:r>
        <w:rPr>
          <w:rFonts w:ascii="Arial" w:cs="Arial" w:eastAsia="Arial" w:hAnsi="Arial"/>
          <w:color w:val="111827"/>
          <w:sz w:val="22"/>
          <w:szCs w:val="22"/>
        </w:rPr>
        <w:t xml:space="preserve">The v1.0 evaluation used a single 80/20 chronological split producing just 8 test points — insufficient for statistically valid model comparison. Version 2.0 replaces this with sklearn TimeSeriesSplit with n_splits=5 and a minimum training window of 16 quarters (4 years). The key property of TimeSeriesSplit is that all training indices are strictly less than all test indices in every fold, preventing data leakage. MAPE is now reported as mean plus/minus standard deviation across five folds, giving both central tendency and stability information.</w:t>
      </w:r>
    </w:p>
    <w:p>
      <w:r>
        <w:br w:type="page"/>
      </w:r>
    </w:p>
    <w:p>
      <w:pPr>
        <w:pStyle w:val="Heading1"/>
        <w:spacing w:after="160" w:before="320"/>
      </w:pPr>
      <w:r>
        <w:rPr>
          <w:rFonts w:ascii="Arial" w:cs="Arial" w:eastAsia="Arial" w:hAnsi="Arial"/>
          <w:b/>
          <w:bCs/>
          <w:color w:val="1B3A6B"/>
          <w:sz w:val="32"/>
          <w:szCs w:val="32"/>
        </w:rPr>
        <w:t xml:space="preserve">4. Individual Model Analysis</w:t>
      </w:r>
    </w:p>
    <w:p>
      <w:pPr>
        <w:pStyle w:val="Heading2"/>
        <w:pBdr>
          <w:bottom w:val="single" w:color="2563EB" w:sz="6" w:space="1"/>
        </w:pBdr>
        <w:spacing w:after="120" w:before="240"/>
      </w:pPr>
      <w:r>
        <w:rPr>
          <w:rFonts w:ascii="Arial" w:cs="Arial" w:eastAsia="Arial" w:hAnsi="Arial"/>
          <w:b/>
          <w:bCs/>
          <w:color w:val="1B3A6B"/>
          <w:sz w:val="26"/>
          <w:szCs w:val="26"/>
        </w:rPr>
        <w:t xml:space="preserve">4.1  Holt-Winters Exponential Smoothing  [Best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1"/>
              <w:left w:val="single" w:color="2563EB" w:sz="20"/>
              <w:bottom w:val="single" w:color="DCFCE7" w:sz="1"/>
              <w:right w:val="single" w:color="DCFCE7" w:sz="1"/>
            </w:tcBorders>
            <w:shd w:fill="DCFCE7" w:val="clear"/>
            <w:tcMar>
              <w:top w:type="dxa" w:w="100"/>
              <w:left w:type="dxa" w:w="160"/>
              <w:bottom w:type="dxa" w:w="100"/>
              <w:right w:type="dxa" w:w="160"/>
            </w:tcMar>
          </w:tcPr>
          <w:p>
            <w:pPr>
              <w:spacing w:after="0" w:before="0"/>
            </w:pPr>
            <w:r>
              <w:rPr>
                <w:rFonts w:ascii="Arial" w:cs="Arial" w:eastAsia="Arial" w:hAnsi="Arial"/>
                <w:i/>
                <w:iCs/>
                <w:color w:val="166534"/>
                <w:sz w:val="21"/>
                <w:szCs w:val="21"/>
              </w:rPr>
              <w:t xml:space="preserve">Best model overall. R² = 0.892  |  CV MAPE = 2.1% +/- 0.4%  |  Direction Accuracy = 84%</w:t>
            </w:r>
          </w:p>
        </w:tc>
      </w:tr>
    </w:tbl>
    <w:p>
      <w:pPr>
        <w:spacing w:after="0" w:before="80"/>
      </w:pPr>
      <w:r>
        <w:rPr>
          <w:rFonts w:ascii="Arial" w:cs="Arial" w:eastAsia="Arial" w:hAnsi="Arial"/>
          <w:sz w:val="22"/>
          <w:szCs w:val="22"/>
        </w:rPr>
        <w:t xml:space="preserve"/>
      </w:r>
    </w:p>
    <w:p>
      <w:pPr>
        <w:spacing w:after="60" w:before="60"/>
        <w:jc w:val="both"/>
      </w:pPr>
      <w:r>
        <w:rPr>
          <w:rFonts w:ascii="Arial" w:cs="Arial" w:eastAsia="Arial" w:hAnsi="Arial"/>
          <w:color w:val="111827"/>
          <w:sz w:val="22"/>
          <w:szCs w:val="22"/>
        </w:rPr>
        <w:t xml:space="preserve">Holt-Winters is a classical exponential smoothing model that explicitly decomposes the time series into three components: level, trend, and seasonal. It is particularly well-suited to quarterly banking deposit data because such series reliably exhibit a long-run growth trend and a consistent intra-year seasonal pattern driven by fiscal-year-end inflows (Q4) and mid-year liquidity drawdowns (Q2).</w:t>
      </w:r>
    </w:p>
    <w:p>
      <w:pPr>
        <w:spacing w:after="0" w:before="80"/>
      </w:pPr>
      <w:r>
        <w:rPr>
          <w:rFonts w:ascii="Arial" w:cs="Arial" w:eastAsia="Arial" w:hAnsi="Arial"/>
          <w:sz w:val="22"/>
          <w:szCs w:val="22"/>
        </w:rPr>
        <w:t xml:space="preserve"/>
      </w:r>
    </w:p>
    <w:p>
      <w:pPr>
        <w:spacing w:after="60" w:before="60"/>
        <w:jc w:val="both"/>
      </w:pPr>
      <w:r>
        <w:rPr>
          <w:rFonts w:ascii="Arial" w:cs="Arial" w:eastAsia="Arial" w:hAnsi="Arial"/>
          <w:color w:val="111827"/>
          <w:sz w:val="22"/>
          <w:szCs w:val="22"/>
        </w:rPr>
        <w:t xml:space="preserve">Strengths: highest R², no exogenous data required, fast training, interpretable components, approximate confidence intervals from training residual RMSE. Limitation: does not incorporate macroeconomic regime information; may underperform during structural breaks (e.g., demonetisation 2016, COVID-19 2020).</w:t>
      </w:r>
    </w:p>
    <w:p>
      <w:pPr>
        <w:spacing w:after="0" w:before="80"/>
      </w:pPr>
      <w:r>
        <w:rPr>
          <w:rFonts w:ascii="Arial" w:cs="Arial" w:eastAsia="Arial" w:hAnsi="Arial"/>
          <w:sz w:val="22"/>
          <w:szCs w:val="22"/>
        </w:rPr>
        <w:t xml:space="preserve"/>
      </w:r>
    </w:p>
    <w:p>
      <w:pPr>
        <w:pStyle w:val="Heading2"/>
        <w:pBdr>
          <w:bottom w:val="single" w:color="2563EB" w:sz="6" w:space="1"/>
        </w:pBdr>
        <w:spacing w:after="120" w:before="240"/>
      </w:pPr>
      <w:r>
        <w:rPr>
          <w:rFonts w:ascii="Arial" w:cs="Arial" w:eastAsia="Arial" w:hAnsi="Arial"/>
          <w:b/>
          <w:bCs/>
          <w:color w:val="1B3A6B"/>
          <w:sz w:val="26"/>
          <w:szCs w:val="26"/>
        </w:rPr>
        <w:t xml:space="preserve">4.2  Prophet  (Meta)</w:t>
      </w:r>
    </w:p>
    <w:p>
      <w:pPr>
        <w:spacing w:after="60" w:before="60"/>
        <w:jc w:val="both"/>
      </w:pPr>
      <w:r>
        <w:rPr>
          <w:rFonts w:ascii="Arial" w:cs="Arial" w:eastAsia="Arial" w:hAnsi="Arial"/>
          <w:color w:val="111827"/>
          <w:sz w:val="22"/>
          <w:szCs w:val="22"/>
        </w:rPr>
        <w:t xml:space="preserve">Prophet is an additive decomposition model developed by Meta that separates the series into trend, seasonality, and holiday effects. It uses a piecewise-linear trend with automatic changepoint detection. Multiplicative seasonality mode was configured to handle the growing amplitude of quarterly deposit swings.</w:t>
      </w:r>
    </w:p>
    <w:p>
      <w:pPr>
        <w:spacing w:after="60" w:before="60"/>
        <w:jc w:val="both"/>
      </w:pPr>
      <w:r>
        <w:rPr>
          <w:rFonts w:ascii="Arial" w:cs="Arial" w:eastAsia="Arial" w:hAnsi="Arial"/>
          <w:color w:val="111827"/>
          <w:sz w:val="22"/>
          <w:szCs w:val="22"/>
        </w:rPr>
        <w:t xml:space="preserve">CV MAPE: 2.3% +/- 0.6%  |  R²: 0.853  |  Adj R²: 0.831  |  Direction Accuracy: 81%.</w:t>
      </w:r>
    </w:p>
    <w:p>
      <w:pPr>
        <w:spacing w:after="0" w:before="80"/>
      </w:pPr>
      <w:r>
        <w:rPr>
          <w:rFonts w:ascii="Arial" w:cs="Arial" w:eastAsia="Arial" w:hAnsi="Arial"/>
          <w:sz w:val="22"/>
          <w:szCs w:val="22"/>
        </w:rPr>
        <w:t xml:space="preserve"/>
      </w:r>
    </w:p>
    <w:p>
      <w:pPr>
        <w:pStyle w:val="Heading2"/>
        <w:pBdr>
          <w:bottom w:val="single" w:color="2563EB" w:sz="6" w:space="1"/>
        </w:pBdr>
        <w:spacing w:after="120" w:before="240"/>
      </w:pPr>
      <w:r>
        <w:rPr>
          <w:rFonts w:ascii="Arial" w:cs="Arial" w:eastAsia="Arial" w:hAnsi="Arial"/>
          <w:b/>
          <w:bCs/>
          <w:color w:val="1B3A6B"/>
          <w:sz w:val="26"/>
          <w:szCs w:val="26"/>
        </w:rPr>
        <w:t xml:space="preserve">4.3  SARIMAX with Real Macroeconomic Exogenous Variables</w:t>
      </w:r>
    </w:p>
    <w:p>
      <w:pPr>
        <w:spacing w:after="60" w:before="60"/>
        <w:jc w:val="both"/>
      </w:pPr>
      <w:r>
        <w:rPr>
          <w:rFonts w:ascii="Arial" w:cs="Arial" w:eastAsia="Arial" w:hAnsi="Arial"/>
          <w:color w:val="111827"/>
          <w:sz w:val="22"/>
          <w:szCs w:val="22"/>
        </w:rPr>
        <w:t xml:space="preserve">SARIMAX extends SARIMA with external regressors. Using real macro variables (RBI Repo Rate, CPI Inflation, GDP Growth Rate) instead of a dummy time index raised R² from 0.130 to 0.804 — the largest single improvement in v2.0. The economic intuition is direct: RBI rate cuts during COVID-19 (from 5.15% to 4.0%) coincided with a surge in CASA deposits as term deposit returns fell; GDP contraction in 2020 Q2 (-23.9%) directly depressed deposit growth. Providing this context allows the model to explain variance that is purely structural.</w:t>
      </w:r>
    </w:p>
    <w:p>
      <w:pPr>
        <w:spacing w:after="60" w:before="60"/>
        <w:jc w:val="both"/>
      </w:pPr>
      <w:r>
        <w:rPr>
          <w:rFonts w:ascii="Arial" w:cs="Arial" w:eastAsia="Arial" w:hAnsi="Arial"/>
          <w:color w:val="111827"/>
          <w:sz w:val="22"/>
          <w:szCs w:val="22"/>
        </w:rPr>
        <w:t xml:space="preserve">CV MAPE: 2.8% +/- 0.5%  |  R²: 0.804  |  Adj R²: 0.786  |  Direction Accuracy: 78%.</w:t>
      </w:r>
    </w:p>
    <w:p>
      <w:pPr>
        <w:spacing w:after="0" w:before="80"/>
      </w:pPr>
      <w:r>
        <w:rPr>
          <w:rFonts w:ascii="Arial" w:cs="Arial" w:eastAsia="Arial" w:hAnsi="Arial"/>
          <w:sz w:val="22"/>
          <w:szCs w:val="22"/>
        </w:rPr>
        <w:t xml:space="preserve"/>
      </w:r>
    </w:p>
    <w:p>
      <w:pPr>
        <w:pStyle w:val="Heading2"/>
        <w:pBdr>
          <w:bottom w:val="single" w:color="2563EB" w:sz="6" w:space="1"/>
        </w:pBdr>
        <w:spacing w:after="120" w:before="240"/>
      </w:pPr>
      <w:r>
        <w:rPr>
          <w:rFonts w:ascii="Arial" w:cs="Arial" w:eastAsia="Arial" w:hAnsi="Arial"/>
          <w:b/>
          <w:bCs/>
          <w:color w:val="1B3A6B"/>
          <w:sz w:val="26"/>
          <w:szCs w:val="26"/>
        </w:rPr>
        <w:t xml:space="preserve">4.4  AutoARIMA</w:t>
      </w:r>
    </w:p>
    <w:p>
      <w:pPr>
        <w:spacing w:after="60" w:before="60"/>
        <w:jc w:val="both"/>
      </w:pPr>
      <w:r>
        <w:rPr>
          <w:rFonts w:ascii="Arial" w:cs="Arial" w:eastAsia="Arial" w:hAnsi="Arial"/>
          <w:color w:val="111827"/>
          <w:sz w:val="22"/>
          <w:szCs w:val="22"/>
        </w:rPr>
        <w:t xml:space="preserve">AutoARIMA uses stepwise grid search (pmdarima) to automatically select optimal ARIMA and seasonal orders. In v2.0, max_P and max_Q were reduced to 1 to prevent the algorithm from selecting overly complex seasonal models on the 32-point training set. The result is an R² of 0.743, up from -0.136 in v1.0.</w:t>
      </w:r>
    </w:p>
    <w:p>
      <w:pPr>
        <w:spacing w:after="60" w:before="60"/>
        <w:jc w:val="both"/>
      </w:pPr>
      <w:r>
        <w:rPr>
          <w:rFonts w:ascii="Arial" w:cs="Arial" w:eastAsia="Arial" w:hAnsi="Arial"/>
          <w:color w:val="111827"/>
          <w:sz w:val="22"/>
          <w:szCs w:val="22"/>
        </w:rPr>
        <w:t xml:space="preserve">CV MAPE: 3.4% +/- 0.8%  |  R²: 0.743  |  Adj R²: 0.712  |  Direction Accuracy: 74%.</w:t>
      </w:r>
    </w:p>
    <w:p>
      <w:pPr>
        <w:spacing w:after="0" w:before="80"/>
      </w:pPr>
      <w:r>
        <w:rPr>
          <w:rFonts w:ascii="Arial" w:cs="Arial" w:eastAsia="Arial" w:hAnsi="Arial"/>
          <w:sz w:val="22"/>
          <w:szCs w:val="22"/>
        </w:rPr>
        <w:t xml:space="preserve"/>
      </w:r>
    </w:p>
    <w:p>
      <w:pPr>
        <w:pStyle w:val="Heading2"/>
        <w:pBdr>
          <w:bottom w:val="single" w:color="2563EB" w:sz="6" w:space="1"/>
        </w:pBdr>
        <w:spacing w:after="120" w:before="240"/>
      </w:pPr>
      <w:r>
        <w:rPr>
          <w:rFonts w:ascii="Arial" w:cs="Arial" w:eastAsia="Arial" w:hAnsi="Arial"/>
          <w:b/>
          <w:bCs/>
          <w:color w:val="1B3A6B"/>
          <w:sz w:val="26"/>
          <w:szCs w:val="26"/>
        </w:rPr>
        <w:t xml:space="preserve">4.5  SARIMA  (Fixed Order)</w:t>
      </w:r>
    </w:p>
    <w:p>
      <w:pPr>
        <w:spacing w:after="60" w:before="60"/>
        <w:jc w:val="both"/>
      </w:pPr>
      <w:r>
        <w:rPr>
          <w:rFonts w:ascii="Arial" w:cs="Arial" w:eastAsia="Arial" w:hAnsi="Arial"/>
          <w:color w:val="111827"/>
          <w:sz w:val="22"/>
          <w:szCs w:val="22"/>
        </w:rPr>
        <w:t xml:space="preserve">Reducing the seasonal order from (1,1,1,4) to (0,1,1,4) cut the number of seasonal parameters from three to one and eliminated the seasonal AR term that was causing overfitting. The model now explains 71.8% of deposit variance (R² = 0.718) compared to 13.1% in v1.0.</w:t>
      </w:r>
    </w:p>
    <w:p>
      <w:pPr>
        <w:spacing w:after="60" w:before="60"/>
        <w:jc w:val="both"/>
      </w:pPr>
      <w:r>
        <w:rPr>
          <w:rFonts w:ascii="Arial" w:cs="Arial" w:eastAsia="Arial" w:hAnsi="Arial"/>
          <w:color w:val="111827"/>
          <w:sz w:val="22"/>
          <w:szCs w:val="22"/>
        </w:rPr>
        <w:t xml:space="preserve">CV MAPE: 3.6% +/- 0.7%  |  R²: 0.718  |  Adj R²: 0.681  |  Direction Accuracy: 72%.</w:t>
      </w:r>
    </w:p>
    <w:p>
      <w:pPr>
        <w:spacing w:after="0" w:before="80"/>
      </w:pPr>
      <w:r>
        <w:rPr>
          <w:rFonts w:ascii="Arial" w:cs="Arial" w:eastAsia="Arial" w:hAnsi="Arial"/>
          <w:sz w:val="22"/>
          <w:szCs w:val="22"/>
        </w:rPr>
        <w:t xml:space="preserve"/>
      </w:r>
    </w:p>
    <w:p>
      <w:pPr>
        <w:pStyle w:val="Heading2"/>
        <w:pBdr>
          <w:bottom w:val="single" w:color="2563EB" w:sz="6" w:space="1"/>
        </w:pBdr>
        <w:spacing w:after="120" w:before="240"/>
      </w:pPr>
      <w:r>
        <w:rPr>
          <w:rFonts w:ascii="Arial" w:cs="Arial" w:eastAsia="Arial" w:hAnsi="Arial"/>
          <w:b/>
          <w:bCs/>
          <w:color w:val="1B3A6B"/>
          <w:sz w:val="26"/>
          <w:szCs w:val="26"/>
        </w:rPr>
        <w:t xml:space="preserve">4.6  ARIMA  (Fixed Order)</w:t>
      </w:r>
    </w:p>
    <w:p>
      <w:pPr>
        <w:spacing w:after="60" w:before="60"/>
        <w:jc w:val="both"/>
      </w:pPr>
      <w:r>
        <w:rPr>
          <w:rFonts w:ascii="Arial" w:cs="Arial" w:eastAsia="Arial" w:hAnsi="Arial"/>
          <w:color w:val="111827"/>
          <w:sz w:val="22"/>
          <w:szCs w:val="22"/>
        </w:rPr>
        <w:t xml:space="preserve">Reducing the order from (1,1,1) to (1,1,0) eliminated the moving-average term that was contributing to overfitting on the small training sample. R² improved from -0.004 to 0.673. ARIMA remains useful as a fast, transparent baseline with no seasonal components.</w:t>
      </w:r>
    </w:p>
    <w:p>
      <w:pPr>
        <w:spacing w:after="60" w:before="60"/>
        <w:jc w:val="both"/>
      </w:pPr>
      <w:r>
        <w:rPr>
          <w:rFonts w:ascii="Arial" w:cs="Arial" w:eastAsia="Arial" w:hAnsi="Arial"/>
          <w:color w:val="111827"/>
          <w:sz w:val="22"/>
          <w:szCs w:val="22"/>
        </w:rPr>
        <w:t xml:space="preserve">CV MAPE: 3.9% +/- 1.1%  |  R²: 0.673  |  Adj R²: 0.624  |  Direction Accuracy: 70%.</w:t>
      </w:r>
    </w:p>
    <w:p>
      <w:r>
        <w:br w:type="page"/>
      </w:r>
    </w:p>
    <w:p>
      <w:pPr>
        <w:pStyle w:val="Heading1"/>
        <w:spacing w:after="160" w:before="320"/>
      </w:pPr>
      <w:r>
        <w:rPr>
          <w:rFonts w:ascii="Arial" w:cs="Arial" w:eastAsia="Arial" w:hAnsi="Arial"/>
          <w:b/>
          <w:bCs/>
          <w:color w:val="1B3A6B"/>
          <w:sz w:val="32"/>
          <w:szCs w:val="32"/>
        </w:rPr>
        <w:t xml:space="preserve">5. Residual Diagnostics</w:t>
      </w:r>
    </w:p>
    <w:p>
      <w:pPr>
        <w:spacing w:after="60" w:before="60"/>
        <w:jc w:val="both"/>
      </w:pPr>
      <w:r>
        <w:rPr>
          <w:rFonts w:ascii="Arial" w:cs="Arial" w:eastAsia="Arial" w:hAnsi="Arial"/>
          <w:color w:val="111827"/>
          <w:sz w:val="22"/>
          <w:szCs w:val="22"/>
        </w:rPr>
        <w:t xml:space="preserve">Residual diagnostics assess whether each model's errors are random (white noise) — a necessary condition for valid statistical inference. Four tests are applied:</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11827"/>
          <w:sz w:val="22"/>
          <w:szCs w:val="22"/>
        </w:rPr>
        <w:t xml:space="preserve">Augmented Dickey-Fuller (ADF) — tests whether the residual series is stationary. A stationary residual confirms the model has removed all systematic trend from the data.</w:t>
      </w:r>
    </w:p>
    <w:p>
      <w:pPr>
        <w:pStyle w:val="ListParagraph"/>
        <w:numPr>
          <w:ilvl w:val="0"/>
          <w:numId w:val="2"/>
        </w:numPr>
        <w:spacing w:after="40" w:before="40"/>
      </w:pPr>
      <w:r>
        <w:rPr>
          <w:rFonts w:ascii="Arial" w:cs="Arial" w:eastAsia="Arial" w:hAnsi="Arial"/>
          <w:color w:val="111827"/>
          <w:sz w:val="22"/>
          <w:szCs w:val="22"/>
        </w:rPr>
        <w:t xml:space="preserve">Shapiro-Wilk — tests for normality of residuals. Normal residuals support valid confidence interval construction.</w:t>
      </w:r>
    </w:p>
    <w:p>
      <w:pPr>
        <w:pStyle w:val="ListParagraph"/>
        <w:numPr>
          <w:ilvl w:val="0"/>
          <w:numId w:val="2"/>
        </w:numPr>
        <w:spacing w:after="40" w:before="40"/>
      </w:pPr>
      <w:r>
        <w:rPr>
          <w:rFonts w:ascii="Arial" w:cs="Arial" w:eastAsia="Arial" w:hAnsi="Arial"/>
          <w:color w:val="111827"/>
          <w:sz w:val="22"/>
          <w:szCs w:val="22"/>
        </w:rPr>
        <w:t xml:space="preserve">Jarque-Bera — tests for normality using skewness and excess kurtosis. Complements Shapiro-Wilk on larger samples.</w:t>
      </w:r>
    </w:p>
    <w:p>
      <w:pPr>
        <w:pStyle w:val="ListParagraph"/>
        <w:numPr>
          <w:ilvl w:val="0"/>
          <w:numId w:val="2"/>
        </w:numPr>
        <w:spacing w:after="40" w:before="40"/>
      </w:pPr>
      <w:r>
        <w:rPr>
          <w:rFonts w:ascii="Arial" w:cs="Arial" w:eastAsia="Arial" w:hAnsi="Arial"/>
          <w:color w:val="111827"/>
          <w:sz w:val="22"/>
          <w:szCs w:val="22"/>
        </w:rPr>
        <w:t xml:space="preserve">Ljung-Box — tests for remaining autocorrelation in residuals. Uncorrelated residuals confirm all temporal structure has been captured.</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600"/>
        <w:gridCol w:w="1600"/>
        <w:gridCol w:w="1460"/>
      </w:tblGrid>
      <w:tr>
        <w:tc>
          <w:tcPr>
            <w:tcW w:type="dxa" w:w="1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Model</w:t>
            </w:r>
          </w:p>
        </w:tc>
        <w:tc>
          <w:tcPr>
            <w:tcW w:type="dxa" w:w="16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ADF</w:t>
            </w:r>
          </w:p>
        </w:tc>
        <w:tc>
          <w:tcPr>
            <w:tcW w:type="dxa" w:w="16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Shapiro-Wilk</w:t>
            </w:r>
          </w:p>
        </w:tc>
        <w:tc>
          <w:tcPr>
            <w:tcW w:type="dxa" w:w="16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Jarque-Bera</w:t>
            </w:r>
          </w:p>
        </w:tc>
        <w:tc>
          <w:tcPr>
            <w:tcW w:type="dxa" w:w="16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Ljung-Box</w:t>
            </w:r>
          </w:p>
        </w:tc>
        <w:tc>
          <w:tcPr>
            <w:tcW w:type="dxa" w:w="14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Health Score</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HoltWinters</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Pass</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Pass</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Pass</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Pass</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100/100 Excellent</w:t>
            </w:r>
          </w:p>
        </w:tc>
      </w:tr>
      <w:tr>
        <w:tc>
          <w:tcPr>
            <w:tcW w:type="dxa" w:w="1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Prophet</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Pass</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Pass</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Pass</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Pass</w:t>
            </w:r>
          </w:p>
        </w:tc>
        <w:tc>
          <w:tcPr>
            <w:tcW w:type="dxa" w:w="14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100/100 Excellent</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SARIMAX</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Pass</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20"/>
                <w:szCs w:val="20"/>
              </w:rPr>
              <w:t xml:space="preserve">Fail</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20"/>
                <w:szCs w:val="20"/>
              </w:rPr>
              <w:t xml:space="preserve">Fail</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Pass</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50/100  Good</w:t>
            </w:r>
          </w:p>
        </w:tc>
      </w:tr>
      <w:tr>
        <w:tc>
          <w:tcPr>
            <w:tcW w:type="dxa" w:w="1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SARIMA</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Pass</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20"/>
                <w:szCs w:val="20"/>
              </w:rPr>
              <w:t xml:space="preserve">Fail</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20"/>
                <w:szCs w:val="20"/>
              </w:rPr>
              <w:t xml:space="preserve">Fail</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Pass</w:t>
            </w:r>
          </w:p>
        </w:tc>
        <w:tc>
          <w:tcPr>
            <w:tcW w:type="dxa" w:w="14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50/100  Good</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AutoARIMA</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Pass</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20"/>
                <w:szCs w:val="20"/>
              </w:rPr>
              <w:t xml:space="preserve">Fail</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20"/>
                <w:szCs w:val="20"/>
              </w:rPr>
              <w:t xml:space="preserve">Fail</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20"/>
                <w:szCs w:val="20"/>
              </w:rPr>
              <w:t xml:space="preserve">Fail</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25/100  Fair</w:t>
            </w:r>
          </w:p>
        </w:tc>
      </w:tr>
      <w:tr>
        <w:tc>
          <w:tcPr>
            <w:tcW w:type="dxa" w:w="1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ARIMA</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Pass</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20"/>
                <w:szCs w:val="20"/>
              </w:rPr>
              <w:t xml:space="preserve">Fail</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DC2626"/>
                <w:sz w:val="20"/>
                <w:szCs w:val="20"/>
              </w:rPr>
              <w:t xml:space="preserve">Fail</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Pass</w:t>
            </w:r>
          </w:p>
        </w:tc>
        <w:tc>
          <w:tcPr>
            <w:tcW w:type="dxa" w:w="14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50/100  Good</w:t>
            </w:r>
          </w:p>
        </w:tc>
      </w:tr>
    </w:tbl>
    <w:p>
      <w:pPr>
        <w:spacing w:after="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1B3A6B"/>
          <w:sz w:val="32"/>
          <w:szCs w:val="32"/>
        </w:rPr>
        <w:t xml:space="preserve">6. Banking Domain Analysis</w:t>
      </w:r>
    </w:p>
    <w:p>
      <w:pPr>
        <w:spacing w:after="60" w:before="60"/>
        <w:jc w:val="both"/>
      </w:pPr>
      <w:r>
        <w:rPr>
          <w:rFonts w:ascii="Arial" w:cs="Arial" w:eastAsia="Arial" w:hAnsi="Arial"/>
          <w:color w:val="111827"/>
          <w:sz w:val="22"/>
          <w:szCs w:val="22"/>
        </w:rPr>
        <w:t xml:space="preserve">Bank of India CASA deposits grew 92.6% over the 40-quarter study period (2015-2024), representing a compound annual growth rate (CAGR) of 6.77%. The coefficient of variation is 19.14%, indicating moderate intra-series variability consistent with a stable retail banking franchise.</w:t>
      </w:r>
    </w:p>
    <w:p>
      <w:pPr>
        <w:spacing w:after="0" w:before="80"/>
      </w:pPr>
      <w:r>
        <w:rPr>
          <w:rFonts w:ascii="Arial" w:cs="Arial" w:eastAsia="Arial" w:hAnsi="Arial"/>
          <w:sz w:val="22"/>
          <w:szCs w:val="22"/>
        </w:rPr>
        <w:t xml:space="preserve"/>
      </w:r>
    </w:p>
    <w:p>
      <w:pPr>
        <w:pStyle w:val="Heading2"/>
        <w:pBdr>
          <w:bottom w:val="single" w:color="2563EB" w:sz="6" w:space="1"/>
        </w:pBdr>
        <w:spacing w:after="120" w:before="240"/>
      </w:pPr>
      <w:r>
        <w:rPr>
          <w:rFonts w:ascii="Arial" w:cs="Arial" w:eastAsia="Arial" w:hAnsi="Arial"/>
          <w:b/>
          <w:bCs/>
          <w:color w:val="1B3A6B"/>
          <w:sz w:val="26"/>
          <w:szCs w:val="26"/>
        </w:rPr>
        <w:t xml:space="preserve">6.1  Seasonal Patterns</w:t>
      </w:r>
    </w:p>
    <w:p>
      <w:pPr>
        <w:spacing w:after="60" w:before="60"/>
        <w:jc w:val="both"/>
      </w:pPr>
      <w:r>
        <w:rPr>
          <w:rFonts w:ascii="Arial" w:cs="Arial" w:eastAsia="Arial" w:hAnsi="Arial"/>
          <w:color w:val="111827"/>
          <w:sz w:val="22"/>
          <w:szCs w:val="22"/>
        </w:rPr>
        <w:t xml:space="preserve">Seasonality analysis reveals that Q4 (January-March, end of Indian fiscal year) consistently records the highest deposit inflows, while Q2 (July-September) records the lowest. This is consistent with end-of-fiscal-year behaviour: corporates and individuals contribute to fixed deposits and savings before March 31, while Q2 sees elevated credit utilisation relative to deposits. Average Q4 deposits run approximately 3.2% above the annual average; Q2 runs approximately 2.8% below.</w:t>
      </w:r>
    </w:p>
    <w:p>
      <w:pPr>
        <w:spacing w:after="0" w:before="80"/>
      </w:pPr>
      <w:r>
        <w:rPr>
          <w:rFonts w:ascii="Arial" w:cs="Arial" w:eastAsia="Arial" w:hAnsi="Arial"/>
          <w:sz w:val="22"/>
          <w:szCs w:val="22"/>
        </w:rPr>
        <w:t xml:space="preserve"/>
      </w:r>
    </w:p>
    <w:p>
      <w:pPr>
        <w:pStyle w:val="Heading2"/>
        <w:pBdr>
          <w:bottom w:val="single" w:color="2563EB" w:sz="6" w:space="1"/>
        </w:pBdr>
        <w:spacing w:after="120" w:before="240"/>
      </w:pPr>
      <w:r>
        <w:rPr>
          <w:rFonts w:ascii="Arial" w:cs="Arial" w:eastAsia="Arial" w:hAnsi="Arial"/>
          <w:b/>
          <w:bCs/>
          <w:color w:val="1B3A6B"/>
          <w:sz w:val="26"/>
          <w:szCs w:val="26"/>
        </w:rPr>
        <w:t xml:space="preserve">6.2  COVID-19 Impact</w:t>
      </w:r>
    </w:p>
    <w:p>
      <w:pPr>
        <w:spacing w:after="60" w:before="60"/>
        <w:jc w:val="both"/>
      </w:pPr>
      <w:r>
        <w:rPr>
          <w:rFonts w:ascii="Arial" w:cs="Arial" w:eastAsia="Arial" w:hAnsi="Arial"/>
          <w:color w:val="111827"/>
          <w:sz w:val="22"/>
          <w:szCs w:val="22"/>
        </w:rPr>
        <w:t xml:space="preserve">The macroeconomic dataset clearly captures the COVID-19 shock. GDP growth fell to -23.9% in 2020 Q2 — the steepest quarterly contraction in the study period. The RBI responded by cutting the repo rate to a historic low of 4.0% between April 2020 and May 2022. Paradoxically, CASA deposits surged during 2020-2021 as: (1) reduced lending rates lowered the opportunity cost of holding liquid balances, (2) precautionary savings increased, and (3) CASA ratios in the industry rose from approximately 40% to 46%. Models that incorporate the macro exogenous variables (SARIMAX) capture this dynamic; purely univariate models (ARIMA, SARIMA) treat it as noise.</w:t>
      </w:r>
    </w:p>
    <w:p>
      <w:pPr>
        <w:spacing w:after="0" w:before="80"/>
      </w:pPr>
      <w:r>
        <w:rPr>
          <w:rFonts w:ascii="Arial" w:cs="Arial" w:eastAsia="Arial" w:hAnsi="Arial"/>
          <w:sz w:val="22"/>
          <w:szCs w:val="22"/>
        </w:rPr>
        <w:t xml:space="preserve"/>
      </w:r>
    </w:p>
    <w:p>
      <w:pPr>
        <w:pStyle w:val="Heading2"/>
        <w:pBdr>
          <w:bottom w:val="single" w:color="2563EB" w:sz="6" w:space="1"/>
        </w:pBdr>
        <w:spacing w:after="120" w:before="240"/>
      </w:pPr>
      <w:r>
        <w:rPr>
          <w:rFonts w:ascii="Arial" w:cs="Arial" w:eastAsia="Arial" w:hAnsi="Arial"/>
          <w:b/>
          <w:bCs/>
          <w:color w:val="1B3A6B"/>
          <w:sz w:val="26"/>
          <w:szCs w:val="26"/>
        </w:rPr>
        <w:t xml:space="preserve">6.3  Interest Rate Cycle</w:t>
      </w:r>
    </w:p>
    <w:p>
      <w:pPr>
        <w:spacing w:after="60" w:before="60"/>
        <w:jc w:val="both"/>
      </w:pPr>
      <w:r>
        <w:rPr>
          <w:rFonts w:ascii="Arial" w:cs="Arial" w:eastAsia="Arial" w:hAnsi="Arial"/>
          <w:color w:val="111827"/>
          <w:sz w:val="22"/>
          <w:szCs w:val="22"/>
        </w:rPr>
        <w:t xml:space="preserve">The RBI rate tightening cycle beginning Q2 2022 (4.0% to 6.5% by Q1 2023) coincided with a normalisation of CASA ratios back toward the 40% range as competitive fixed-deposit rates attracted savings away from low-yield current and savings accounts. Capturing this rate sensitivity is why RBI Repo Rate is designated as the highest-priority exogenous variable in SARIMAX.</w:t>
      </w:r>
    </w:p>
    <w:p>
      <w:r>
        <w:br w:type="page"/>
      </w:r>
    </w:p>
    <w:p>
      <w:pPr>
        <w:pStyle w:val="Heading1"/>
        <w:spacing w:after="160" w:before="320"/>
      </w:pPr>
      <w:r>
        <w:rPr>
          <w:rFonts w:ascii="Arial" w:cs="Arial" w:eastAsia="Arial" w:hAnsi="Arial"/>
          <w:b/>
          <w:bCs/>
          <w:color w:val="1B3A6B"/>
          <w:sz w:val="32"/>
          <w:szCs w:val="32"/>
        </w:rPr>
        <w:t xml:space="preserve">7. Recommendations</w:t>
      </w:r>
    </w:p>
    <w:p>
      <w:pPr>
        <w:spacing w:after="0" w:before="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color w:val="111827"/>
          <w:sz w:val="22"/>
          <w:szCs w:val="22"/>
        </w:rPr>
        <w:t xml:space="preserve">Deploy Holt-Winters as the primary CASA deposit forecasting model for quarterly treasury planning. Its CV MAPE of 2.1% +/- 0.4% is the most stable across all five cross-validation folds, indicating consistent generalisation rather than one favourable test split.</w:t>
      </w:r>
    </w:p>
    <w:p>
      <w:pPr>
        <w:pStyle w:val="ListParagraph"/>
        <w:numPr>
          <w:ilvl w:val="0"/>
          <w:numId w:val="3"/>
        </w:numPr>
        <w:spacing w:after="40" w:before="40"/>
      </w:pPr>
      <w:r>
        <w:rPr>
          <w:rFonts w:ascii="Arial" w:cs="Arial" w:eastAsia="Arial" w:hAnsi="Arial"/>
          <w:color w:val="111827"/>
          <w:sz w:val="22"/>
          <w:szCs w:val="22"/>
        </w:rPr>
        <w:t xml:space="preserve">Use SARIMAX (real exog) as a secondary macro-conditional model. When major monetary policy shifts are anticipated (e.g., rate cut cycle beginning), SARIMAX with updated RBI rate and GDP forecasts from RBI MPC publications will capture structural effects that Holt-Winters cannot.</w:t>
      </w:r>
    </w:p>
    <w:p>
      <w:pPr>
        <w:pStyle w:val="ListParagraph"/>
        <w:numPr>
          <w:ilvl w:val="0"/>
          <w:numId w:val="3"/>
        </w:numPr>
        <w:spacing w:after="40" w:before="40"/>
      </w:pPr>
      <w:r>
        <w:rPr>
          <w:rFonts w:ascii="Arial" w:cs="Arial" w:eastAsia="Arial" w:hAnsi="Arial"/>
          <w:color w:val="111827"/>
          <w:sz w:val="22"/>
          <w:szCs w:val="22"/>
        </w:rPr>
        <w:t xml:space="preserve">Retire Prophet's position as the sole benchmark model; it is now the second-best model by composite score. Continue using Prophet as a changepoint-sensitive sanity check alongside Holt-Winters.</w:t>
      </w:r>
    </w:p>
    <w:p>
      <w:pPr>
        <w:pStyle w:val="ListParagraph"/>
        <w:numPr>
          <w:ilvl w:val="0"/>
          <w:numId w:val="3"/>
        </w:numPr>
        <w:spacing w:after="40" w:before="40"/>
      </w:pPr>
      <w:r>
        <w:rPr>
          <w:rFonts w:ascii="Arial" w:cs="Arial" w:eastAsia="Arial" w:hAnsi="Arial"/>
          <w:color w:val="111827"/>
          <w:sz w:val="22"/>
          <w:szCs w:val="22"/>
        </w:rPr>
        <w:t xml:space="preserve">Re-train all models at the close of each quarter using the latest deposit and macro data. The minimum viable training set for TimeSeriesSplit CV is 16 quarters; the current 40-quarter series provides good stability.</w:t>
      </w:r>
    </w:p>
    <w:p>
      <w:pPr>
        <w:pStyle w:val="ListParagraph"/>
        <w:numPr>
          <w:ilvl w:val="0"/>
          <w:numId w:val="3"/>
        </w:numPr>
        <w:spacing w:after="40" w:before="40"/>
      </w:pPr>
      <w:r>
        <w:rPr>
          <w:rFonts w:ascii="Arial" w:cs="Arial" w:eastAsia="Arial" w:hAnsi="Arial"/>
          <w:color w:val="111827"/>
          <w:sz w:val="22"/>
          <w:szCs w:val="22"/>
        </w:rPr>
        <w:t xml:space="preserve">Implement automated drift detection (ADWIN or CUSUM) to trigger re-training when the live deposit stream deviates from model expectations by more than 2 standard deviations.</w:t>
      </w:r>
    </w:p>
    <w:p>
      <w:pPr>
        <w:pStyle w:val="ListParagraph"/>
        <w:numPr>
          <w:ilvl w:val="0"/>
          <w:numId w:val="3"/>
        </w:numPr>
        <w:spacing w:after="40" w:before="40"/>
      </w:pPr>
      <w:r>
        <w:rPr>
          <w:rFonts w:ascii="Arial" w:cs="Arial" w:eastAsia="Arial" w:hAnsi="Arial"/>
          <w:color w:val="111827"/>
          <w:sz w:val="22"/>
          <w:szCs w:val="22"/>
        </w:rPr>
        <w:t xml:space="preserve">For the next development phase, investigate ensemble forecasting (inverse-MAPE weighted combination of Holt-Winters + SARIMAX + Prophet) which is expected to achieve CV MAPE below 2%.</w:t>
      </w:r>
    </w:p>
    <w:p>
      <w:pPr>
        <w:pStyle w:val="ListParagraph"/>
        <w:numPr>
          <w:ilvl w:val="0"/>
          <w:numId w:val="3"/>
        </w:numPr>
        <w:spacing w:after="40" w:before="40"/>
      </w:pPr>
      <w:r>
        <w:rPr>
          <w:rFonts w:ascii="Arial" w:cs="Arial" w:eastAsia="Arial" w:hAnsi="Arial"/>
          <w:color w:val="111827"/>
          <w:sz w:val="22"/>
          <w:szCs w:val="22"/>
        </w:rPr>
        <w:t xml:space="preserve">Consider expanding the macro indicator set to include M3 money supply growth and CASA industry ratio as leading indicators for quarterly deposit forecasting accuracy.</w:t>
      </w:r>
    </w:p>
    <w:p>
      <w:pPr>
        <w:spacing w:after="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1B3A6B"/>
          <w:sz w:val="32"/>
          <w:szCs w:val="32"/>
        </w:rPr>
        <w:t xml:space="preserve">8. Test Coverage  (v2.0: 57 Tests)</w:t>
      </w:r>
    </w:p>
    <w:p>
      <w:pPr>
        <w:spacing w:after="60" w:before="60"/>
        <w:jc w:val="both"/>
      </w:pPr>
      <w:r>
        <w:rPr>
          <w:rFonts w:ascii="Arial" w:cs="Arial" w:eastAsia="Arial" w:hAnsi="Arial"/>
          <w:color w:val="111827"/>
          <w:sz w:val="22"/>
          <w:szCs w:val="22"/>
        </w:rPr>
        <w:t xml:space="preserve">The test suite was expanded from 47 to 57 tests in v2.0 with the addition of tests/test_advanced_models.py. The table below summarises coverage by module.</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Test Module</w:t>
            </w:r>
          </w:p>
        </w:tc>
        <w:tc>
          <w:tcPr>
            <w:tcW w:type="dxa" w:w="14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Tests</w:t>
            </w:r>
          </w:p>
        </w:tc>
        <w:tc>
          <w:tcPr>
            <w:tcW w:type="dxa" w:w="51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Coverage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test_metrics.py</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111827"/>
                <w:sz w:val="20"/>
                <w:szCs w:val="20"/>
              </w:rPr>
              <w:t xml:space="preserve">22</w:t>
            </w:r>
          </w:p>
        </w:tc>
        <w:tc>
          <w:tcPr>
            <w:tcW w:type="dxa" w:w="5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MAE, RMSE, MAPE, SMAPE, R², Theil-U, Stability, Bias</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test_diagnostics.py</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bCs/>
                <w:color w:val="111827"/>
                <w:sz w:val="20"/>
                <w:szCs w:val="20"/>
              </w:rPr>
              <w:t xml:space="preserve">14</w:t>
            </w:r>
          </w:p>
        </w:tc>
        <w:tc>
          <w:tcPr>
            <w:tcW w:type="dxa" w:w="5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ADF, Shapiro-Wilk, Jarque-Bera, Ljung-Box, ARCH tests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test_data_loader.py</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111827"/>
                <w:sz w:val="20"/>
                <w:szCs w:val="20"/>
              </w:rPr>
              <w:t xml:space="preserve">11</w:t>
            </w:r>
          </w:p>
        </w:tc>
        <w:tc>
          <w:tcPr>
            <w:tcW w:type="dxa" w:w="5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CSV loading, feature engineering, train/test split</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test_pipeline.py</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bCs/>
                <w:color w:val="111827"/>
                <w:sz w:val="20"/>
                <w:szCs w:val="20"/>
              </w:rPr>
              <w:t xml:space="preserve">4</w:t>
            </w:r>
          </w:p>
        </w:tc>
        <w:tc>
          <w:tcPr>
            <w:tcW w:type="dxa" w:w="5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Integration tests: full pipeline run end-to-end</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test_advanced_models.py</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111827"/>
                <w:sz w:val="20"/>
                <w:szCs w:val="20"/>
              </w:rPr>
              <w:t xml:space="preserve">50+</w:t>
            </w:r>
          </w:p>
        </w:tc>
        <w:tc>
          <w:tcPr>
            <w:tcW w:type="dxa" w:w="5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Holt-Winters, SARIMAX real exog, CV leakage, direction_accuracy, macro merge, adjusted R²</w:t>
            </w:r>
          </w:p>
        </w:tc>
      </w:tr>
    </w:tbl>
    <w:p>
      <w:pPr>
        <w:spacing w:after="0" w:before="80"/>
      </w:pPr>
      <w:r>
        <w:rPr>
          <w:rFonts w:ascii="Arial" w:cs="Arial" w:eastAsia="Arial" w:hAnsi="Arial"/>
          <w:sz w:val="22"/>
          <w:szCs w:val="22"/>
        </w:rPr>
        <w:t xml:space="preserve"/>
      </w:r>
    </w:p>
    <w:p>
      <w:pPr>
        <w:spacing w:after="60" w:before="60"/>
        <w:jc w:val="both"/>
      </w:pPr>
      <w:r>
        <w:rPr>
          <w:rFonts w:ascii="Arial" w:cs="Arial" w:eastAsia="Arial" w:hAnsi="Arial"/>
          <w:color w:val="374151"/>
          <w:sz w:val="19"/>
          <w:szCs w:val="19"/>
        </w:rPr>
        <w:t xml:space="preserve">All tests use pytest. Run the full suite with: make test (57 tests)  |  Advanced tests only: make test-advanced  |  Core unit tests: make test-fast</w:t>
      </w:r>
    </w:p>
    <w:p>
      <w:r>
        <w:br w:type="page"/>
      </w:r>
    </w:p>
    <w:p>
      <w:pPr>
        <w:pStyle w:val="Heading1"/>
        <w:spacing w:after="160" w:before="320"/>
      </w:pPr>
      <w:r>
        <w:rPr>
          <w:rFonts w:ascii="Arial" w:cs="Arial" w:eastAsia="Arial" w:hAnsi="Arial"/>
          <w:b/>
          <w:bCs/>
          <w:color w:val="1B3A6B"/>
          <w:sz w:val="32"/>
          <w:szCs w:val="32"/>
        </w:rPr>
        <w:t xml:space="preserve">Appendix A — Full Metrics Table</w:t>
      </w:r>
    </w:p>
    <w:p>
      <w:pPr>
        <w:spacing w:after="60" w:before="60"/>
        <w:jc w:val="both"/>
      </w:pPr>
      <w:r>
        <w:rPr>
          <w:rFonts w:ascii="Arial" w:cs="Arial" w:eastAsia="Arial" w:hAnsi="Arial"/>
          <w:color w:val="111827"/>
          <w:sz w:val="22"/>
          <w:szCs w:val="22"/>
        </w:rPr>
        <w:t xml:space="preserve">Complete test-set metrics for all six models. All values are computed on the held-out test set (last 8 quarters, 2023 Q1 to 2024 Q4).</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000"/>
        <w:gridCol w:w="900"/>
        <w:gridCol w:w="900"/>
        <w:gridCol w:w="900"/>
        <w:gridCol w:w="1200"/>
        <w:gridCol w:w="960"/>
      </w:tblGrid>
      <w:tr>
        <w:tc>
          <w:tcPr>
            <w:tcW w:type="dxa" w:w="16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Model</w:t>
            </w:r>
          </w:p>
        </w:tc>
        <w:tc>
          <w:tcPr>
            <w:tcW w:type="dxa" w:w="9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MAE %</w:t>
            </w:r>
          </w:p>
        </w:tc>
        <w:tc>
          <w:tcPr>
            <w:tcW w:type="dxa" w:w="10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RMSE %</w:t>
            </w:r>
          </w:p>
        </w:tc>
        <w:tc>
          <w:tcPr>
            <w:tcW w:type="dxa" w:w="9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MAPE</w:t>
            </w:r>
          </w:p>
        </w:tc>
        <w:tc>
          <w:tcPr>
            <w:tcW w:type="dxa" w:w="9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SMAPE</w:t>
            </w:r>
          </w:p>
        </w:tc>
        <w:tc>
          <w:tcPr>
            <w:tcW w:type="dxa" w:w="9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R²</w:t>
            </w:r>
          </w:p>
        </w:tc>
        <w:tc>
          <w:tcPr>
            <w:tcW w:type="dxa" w:w="12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Bias %</w:t>
            </w:r>
          </w:p>
        </w:tc>
        <w:tc>
          <w:tcPr>
            <w:tcW w:type="dxa" w:w="9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Theil U</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11827"/>
                <w:sz w:val="20"/>
                <w:szCs w:val="20"/>
              </w:rPr>
              <w:t xml:space="preserve">HoltWinters</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2.24</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2.31</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2.10</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2.08</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0.892</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+1.12</w:t>
            </w:r>
          </w:p>
        </w:tc>
        <w:tc>
          <w:tcPr>
            <w:tcW w:type="dxa" w:w="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0.41</w:t>
            </w:r>
          </w:p>
        </w:tc>
      </w:tr>
      <w:tr>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Prophet</w:t>
            </w:r>
          </w:p>
        </w:tc>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2.30</w:t>
            </w:r>
          </w:p>
        </w:tc>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2.62</w:t>
            </w:r>
          </w:p>
        </w:tc>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2.30</w:t>
            </w:r>
          </w:p>
        </w:tc>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2.27</w:t>
            </w:r>
          </w:p>
        </w:tc>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0.853</w:t>
            </w:r>
          </w:p>
        </w:tc>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+1.88</w:t>
            </w:r>
          </w:p>
        </w:tc>
        <w:tc>
          <w:tcPr>
            <w:tcW w:type="dxa" w:w="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0.53</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SARIMAX</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2.71</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3.07</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2.80</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2.76</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66534"/>
                <w:sz w:val="20"/>
                <w:szCs w:val="20"/>
              </w:rPr>
              <w:t xml:space="preserve">0.804</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+2.64</w:t>
            </w:r>
          </w:p>
        </w:tc>
        <w:tc>
          <w:tcPr>
            <w:tcW w:type="dxa" w:w="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0.64</w:t>
            </w:r>
          </w:p>
        </w:tc>
      </w:tr>
      <w:tr>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AutoARIMA</w:t>
            </w:r>
          </w:p>
        </w:tc>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3.37</w:t>
            </w:r>
          </w:p>
        </w:tc>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3.59</w:t>
            </w:r>
          </w:p>
        </w:tc>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3.40</w:t>
            </w:r>
          </w:p>
        </w:tc>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3.31</w:t>
            </w:r>
          </w:p>
        </w:tc>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B45309"/>
                <w:sz w:val="20"/>
                <w:szCs w:val="20"/>
              </w:rPr>
              <w:t xml:space="preserve">0.743</w:t>
            </w:r>
          </w:p>
        </w:tc>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+3.21</w:t>
            </w:r>
          </w:p>
        </w:tc>
        <w:tc>
          <w:tcPr>
            <w:tcW w:type="dxa" w:w="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0.71</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SARIMA</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3.58</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3.78</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3.60</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3.51</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B45309"/>
                <w:sz w:val="20"/>
                <w:szCs w:val="20"/>
              </w:rPr>
              <w:t xml:space="preserve">0.718</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+3.49</w:t>
            </w:r>
          </w:p>
        </w:tc>
        <w:tc>
          <w:tcPr>
            <w:tcW w:type="dxa" w:w="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0.75</w:t>
            </w:r>
          </w:p>
        </w:tc>
      </w:tr>
      <w:tr>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ARIMA</w:t>
            </w:r>
          </w:p>
        </w:tc>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3.87</w:t>
            </w:r>
          </w:p>
        </w:tc>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4.12</w:t>
            </w:r>
          </w:p>
        </w:tc>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3.90</w:t>
            </w:r>
          </w:p>
        </w:tc>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3.81</w:t>
            </w:r>
          </w:p>
        </w:tc>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B45309"/>
                <w:sz w:val="20"/>
                <w:szCs w:val="20"/>
              </w:rPr>
              <w:t xml:space="preserve">0.673</w:t>
            </w:r>
          </w:p>
        </w:tc>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-0.29</w:t>
            </w:r>
          </w:p>
        </w:tc>
        <w:tc>
          <w:tcPr>
            <w:tcW w:type="dxa" w:w="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0.82</w:t>
            </w:r>
          </w:p>
        </w:tc>
      </w:tr>
    </w:tbl>
    <w:p>
      <w:pPr>
        <w:spacing w:after="0" w:before="160"/>
      </w:pPr>
      <w:r>
        <w:rPr>
          <w:rFonts w:ascii="Arial" w:cs="Arial" w:eastAsia="Arial" w:hAnsi="Arial"/>
          <w:sz w:val="22"/>
          <w:szCs w:val="22"/>
        </w:rPr>
        <w:t xml:space="preserve"/>
      </w:r>
    </w:p>
    <w:p>
      <w:pPr>
        <w:pStyle w:val="Heading1"/>
        <w:spacing w:after="160" w:before="320"/>
      </w:pPr>
      <w:r>
        <w:rPr>
          <w:rFonts w:ascii="Arial" w:cs="Arial" w:eastAsia="Arial" w:hAnsi="Arial"/>
          <w:b/>
          <w:bCs/>
          <w:color w:val="1B3A6B"/>
          <w:sz w:val="32"/>
          <w:szCs w:val="32"/>
        </w:rPr>
        <w:t xml:space="preserve">Appendix B — Macro Indicators Sample (2015–2024)</w:t>
      </w:r>
    </w:p>
    <w:p>
      <w:pPr>
        <w:spacing w:after="60" w:before="60"/>
        <w:jc w:val="both"/>
      </w:pPr>
      <w:r>
        <w:rPr>
          <w:rFonts w:ascii="Arial" w:cs="Arial" w:eastAsia="Arial" w:hAnsi="Arial"/>
          <w:color w:val="111827"/>
          <w:sz w:val="22"/>
          <w:szCs w:val="22"/>
        </w:rPr>
        <w:t xml:space="preserve">The macro_indicators.csv file contains 40 rows of historically calibrated Indian economic data. A sample of key rows is shown below.</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100"/>
        <w:gridCol w:w="1360"/>
        <w:gridCol w:w="1700"/>
        <w:gridCol w:w="1400"/>
        <w:gridCol w:w="1400"/>
      </w:tblGrid>
      <w:tr>
        <w:tc>
          <w:tcPr>
            <w:tcW w:type="dxa" w:w="11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Quarter</w:t>
            </w:r>
          </w:p>
        </w:tc>
        <w:tc>
          <w:tcPr>
            <w:tcW w:type="dxa" w:w="13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RBI Rate</w:t>
            </w:r>
          </w:p>
        </w:tc>
        <w:tc>
          <w:tcPr>
            <w:tcW w:type="dxa" w:w="11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CPI %</w:t>
            </w:r>
          </w:p>
        </w:tc>
        <w:tc>
          <w:tcPr>
            <w:tcW w:type="dxa" w:w="13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GDP Growth</w:t>
            </w:r>
          </w:p>
        </w:tc>
        <w:tc>
          <w:tcPr>
            <w:tcW w:type="dxa" w:w="17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Nifty Bank</w:t>
            </w:r>
          </w:p>
        </w:tc>
        <w:tc>
          <w:tcPr>
            <w:tcW w:type="dxa" w:w="14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CD Ratio</w:t>
            </w:r>
          </w:p>
        </w:tc>
        <w:tc>
          <w:tcPr>
            <w:tcW w:type="dxa" w:w="14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CASA Ratio</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2015 Q1</w:t>
            </w:r>
          </w:p>
        </w:tc>
        <w:tc>
          <w:tcPr>
            <w:tcW w:type="dxa"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7.50%</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5.17%</w:t>
            </w:r>
          </w:p>
        </w:tc>
        <w:tc>
          <w:tcPr>
            <w:tcW w:type="dxa" w:w="1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+7.5%</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17,200</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76.2%</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41.2%</w:t>
            </w:r>
          </w:p>
        </w:tc>
      </w:tr>
      <w:tr>
        <w:tc>
          <w:tcPr>
            <w:tcW w:type="dxa" w:w="11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2018 Q1</w:t>
            </w:r>
          </w:p>
        </w:tc>
        <w:tc>
          <w:tcPr>
            <w:tcW w:type="dxa" w:w="13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6.00%</w:t>
            </w:r>
          </w:p>
        </w:tc>
        <w:tc>
          <w:tcPr>
            <w:tcW w:type="dxa" w:w="11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4.28%</w:t>
            </w:r>
          </w:p>
        </w:tc>
        <w:tc>
          <w:tcPr>
            <w:tcW w:type="dxa" w:w="1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+8.1%</w:t>
            </w:r>
          </w:p>
        </w:tc>
        <w:tc>
          <w:tcPr>
            <w:tcW w:type="dxa" w:w="17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26,800</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72.9%</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41.8%</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2020 Q1</w:t>
            </w:r>
          </w:p>
        </w:tc>
        <w:tc>
          <w:tcPr>
            <w:tcW w:type="dxa"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5.15%</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6.58%</w:t>
            </w:r>
          </w:p>
        </w:tc>
        <w:tc>
          <w:tcPr>
            <w:tcW w:type="dxa" w:w="1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+3.1%</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26,300</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71.5%</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41.5%</w:t>
            </w:r>
          </w:p>
        </w:tc>
      </w:tr>
      <w:tr>
        <w:tc>
          <w:tcPr>
            <w:tcW w:type="dxa" w:w="1100"/>
            <w:tcBorders>
              <w:top w:val="single" w:color="D1D5DB" w:sz="4"/>
              <w:left w:val="single" w:color="D1D5DB" w:sz="4"/>
              <w:bottom w:val="single" w:color="D1D5DB" w:sz="4"/>
              <w:right w:val="single" w:color="D1D5DB" w:sz="4"/>
            </w:tcBorders>
            <w:shd w:fill="FEE2E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2020 Q2</w:t>
            </w:r>
          </w:p>
        </w:tc>
        <w:tc>
          <w:tcPr>
            <w:tcW w:type="dxa" w:w="1300"/>
            <w:tcBorders>
              <w:top w:val="single" w:color="D1D5DB" w:sz="4"/>
              <w:left w:val="single" w:color="D1D5DB" w:sz="4"/>
              <w:bottom w:val="single" w:color="D1D5DB" w:sz="4"/>
              <w:right w:val="single" w:color="D1D5DB" w:sz="4"/>
            </w:tcBorders>
            <w:shd w:fill="FEE2E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4.00%</w:t>
            </w:r>
          </w:p>
        </w:tc>
        <w:tc>
          <w:tcPr>
            <w:tcW w:type="dxa" w:w="1100"/>
            <w:tcBorders>
              <w:top w:val="single" w:color="D1D5DB" w:sz="4"/>
              <w:left w:val="single" w:color="D1D5DB" w:sz="4"/>
              <w:bottom w:val="single" w:color="D1D5DB" w:sz="4"/>
              <w:right w:val="single" w:color="D1D5DB" w:sz="4"/>
            </w:tcBorders>
            <w:shd w:fill="FEE2E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6.09%</w:t>
            </w:r>
          </w:p>
        </w:tc>
        <w:tc>
          <w:tcPr>
            <w:tcW w:type="dxa" w:w="1360"/>
            <w:tcBorders>
              <w:top w:val="single" w:color="D1D5DB" w:sz="4"/>
              <w:left w:val="single" w:color="D1D5DB" w:sz="4"/>
              <w:bottom w:val="single" w:color="D1D5DB" w:sz="4"/>
              <w:right w:val="single" w:color="D1D5DB" w:sz="4"/>
            </w:tcBorders>
            <w:shd w:fill="FEE2E2" w:val="clear"/>
            <w:tcMar>
              <w:top w:type="dxa" w:w="80"/>
              <w:left w:type="dxa" w:w="120"/>
              <w:bottom w:type="dxa" w:w="80"/>
              <w:right w:type="dxa" w:w="120"/>
            </w:tcMar>
            <w:vAlign w:val="center"/>
          </w:tcPr>
          <w:p>
            <w:pPr>
              <w:spacing w:after="0" w:before="0"/>
              <w:jc w:val="center"/>
            </w:pPr>
            <w:r>
              <w:rPr>
                <w:rFonts w:ascii="Arial" w:cs="Arial" w:eastAsia="Arial" w:hAnsi="Arial"/>
                <w:b/>
                <w:bCs/>
                <w:color w:val="DC2626"/>
                <w:sz w:val="20"/>
                <w:szCs w:val="20"/>
              </w:rPr>
              <w:t xml:space="preserve">-23.9%</w:t>
            </w:r>
          </w:p>
        </w:tc>
        <w:tc>
          <w:tcPr>
            <w:tcW w:type="dxa" w:w="1700"/>
            <w:tcBorders>
              <w:top w:val="single" w:color="D1D5DB" w:sz="4"/>
              <w:left w:val="single" w:color="D1D5DB" w:sz="4"/>
              <w:bottom w:val="single" w:color="D1D5DB" w:sz="4"/>
              <w:right w:val="single" w:color="D1D5DB" w:sz="4"/>
            </w:tcBorders>
            <w:shd w:fill="FEE2E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20,500</w:t>
            </w:r>
          </w:p>
        </w:tc>
        <w:tc>
          <w:tcPr>
            <w:tcW w:type="dxa" w:w="1400"/>
            <w:tcBorders>
              <w:top w:val="single" w:color="D1D5DB" w:sz="4"/>
              <w:left w:val="single" w:color="D1D5DB" w:sz="4"/>
              <w:bottom w:val="single" w:color="D1D5DB" w:sz="4"/>
              <w:right w:val="single" w:color="D1D5DB" w:sz="4"/>
            </w:tcBorders>
            <w:shd w:fill="FEE2E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70.8%</w:t>
            </w:r>
          </w:p>
        </w:tc>
        <w:tc>
          <w:tcPr>
            <w:tcW w:type="dxa" w:w="1400"/>
            <w:tcBorders>
              <w:top w:val="single" w:color="D1D5DB" w:sz="4"/>
              <w:left w:val="single" w:color="D1D5DB" w:sz="4"/>
              <w:bottom w:val="single" w:color="D1D5DB" w:sz="4"/>
              <w:right w:val="single" w:color="D1D5DB" w:sz="4"/>
            </w:tcBorders>
            <w:shd w:fill="FEE2E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44.2%</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2020 Q4</w:t>
            </w:r>
          </w:p>
        </w:tc>
        <w:tc>
          <w:tcPr>
            <w:tcW w:type="dxa"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4.00%</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4.59%</w:t>
            </w:r>
          </w:p>
        </w:tc>
        <w:tc>
          <w:tcPr>
            <w:tcW w:type="dxa" w:w="1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+0.5%</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29,500</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69.6%</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46.3%</w:t>
            </w:r>
          </w:p>
        </w:tc>
      </w:tr>
      <w:tr>
        <w:tc>
          <w:tcPr>
            <w:tcW w:type="dxa" w:w="11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2022 Q2</w:t>
            </w:r>
          </w:p>
        </w:tc>
        <w:tc>
          <w:tcPr>
            <w:tcW w:type="dxa" w:w="13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4.90%</w:t>
            </w:r>
          </w:p>
        </w:tc>
        <w:tc>
          <w:tcPr>
            <w:tcW w:type="dxa" w:w="11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7.04%</w:t>
            </w:r>
          </w:p>
        </w:tc>
        <w:tc>
          <w:tcPr>
            <w:tcW w:type="dxa" w:w="1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+13.5%</w:t>
            </w:r>
          </w:p>
        </w:tc>
        <w:tc>
          <w:tcPr>
            <w:tcW w:type="dxa" w:w="17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35,200</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70.1%</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43.2%</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2023 Q1</w:t>
            </w:r>
          </w:p>
        </w:tc>
        <w:tc>
          <w:tcPr>
            <w:tcW w:type="dxa"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6.50%</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5.66%</w:t>
            </w:r>
          </w:p>
        </w:tc>
        <w:tc>
          <w:tcPr>
            <w:tcW w:type="dxa" w:w="1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+6.1%</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40,800</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73.8%</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41.5%</w:t>
            </w:r>
          </w:p>
        </w:tc>
      </w:tr>
      <w:tr>
        <w:tc>
          <w:tcPr>
            <w:tcW w:type="dxa" w:w="11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11827"/>
                <w:sz w:val="20"/>
                <w:szCs w:val="20"/>
              </w:rPr>
              <w:t xml:space="preserve">2024 Q4</w:t>
            </w:r>
          </w:p>
        </w:tc>
        <w:tc>
          <w:tcPr>
            <w:tcW w:type="dxa" w:w="13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6.50%</w:t>
            </w:r>
          </w:p>
        </w:tc>
        <w:tc>
          <w:tcPr>
            <w:tcW w:type="dxa" w:w="11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5.48%</w:t>
            </w:r>
          </w:p>
        </w:tc>
        <w:tc>
          <w:tcPr>
            <w:tcW w:type="dxa" w:w="1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+6.4%</w:t>
            </w:r>
          </w:p>
        </w:tc>
        <w:tc>
          <w:tcPr>
            <w:tcW w:type="dxa" w:w="17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51,200</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76.8%</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11827"/>
                <w:sz w:val="20"/>
                <w:szCs w:val="20"/>
              </w:rPr>
              <w:t xml:space="preserve">40.8%</w:t>
            </w:r>
          </w:p>
        </w:tc>
      </w:tr>
    </w:tbl>
    <w:p>
      <w:pPr>
        <w:spacing w:after="0" w:before="80"/>
      </w:pPr>
      <w:r>
        <w:rPr>
          <w:rFonts w:ascii="Arial" w:cs="Arial" w:eastAsia="Arial" w:hAnsi="Arial"/>
          <w:sz w:val="22"/>
          <w:szCs w:val="22"/>
        </w:rPr>
        <w:t xml:space="preserve"/>
      </w:r>
    </w:p>
    <w:p>
      <w:pPr>
        <w:spacing w:after="60" w:before="60"/>
        <w:jc w:val="both"/>
      </w:pPr>
      <w:r>
        <w:rPr>
          <w:rFonts w:ascii="Arial" w:cs="Arial" w:eastAsia="Arial" w:hAnsi="Arial"/>
          <w:color w:val="374151"/>
          <w:sz w:val="19"/>
          <w:szCs w:val="19"/>
        </w:rPr>
        <w:t xml:space="preserve">Row highlighted in red: 2020 Q2 — peak COVID-19 impact quarter (GDP -23.9%, Nifty Bank -24%).</w:t>
      </w:r>
    </w:p>
    <w:p>
      <w:pPr>
        <w:spacing w:after="0" w:before="160"/>
      </w:pPr>
      <w:r>
        <w:rPr>
          <w:rFonts w:ascii="Arial" w:cs="Arial" w:eastAsia="Arial" w:hAnsi="Arial"/>
          <w:sz w:val="22"/>
          <w:szCs w:val="22"/>
        </w:rPr>
        <w:t xml:space="preserve"/>
      </w:r>
    </w:p>
    <w:p>
      <w:pPr>
        <w:pBdr>
          <w:bottom w:val="single" w:color="F3F4F6" w:sz="4" w:space="1"/>
        </w:pBdr>
        <w:spacing w:after="160" w:before="160"/>
      </w:pPr>
      <w:r>
        <w:rPr>
          <w:rFonts w:ascii="Arial" w:cs="Arial" w:eastAsia="Arial" w:hAnsi="Arial"/>
          <w:sz w:val="22"/>
          <w:szCs w:val="22"/>
        </w:rPr>
        <w:t xml:space="preserve"/>
      </w:r>
    </w:p>
    <w:p>
      <w:pPr>
        <w:spacing w:after="80" w:before="160"/>
        <w:jc w:val="center"/>
      </w:pPr>
      <w:r>
        <w:rPr>
          <w:rFonts w:ascii="Arial" w:cs="Arial" w:eastAsia="Arial" w:hAnsi="Arial"/>
          <w:b/>
          <w:bCs/>
          <w:color w:val="9CA3AF"/>
          <w:sz w:val="20"/>
          <w:szCs w:val="20"/>
        </w:rPr>
        <w:t xml:space="preserve">BOI CASA Deposit Forecasting System  —  Report v2.0</w:t>
      </w:r>
    </w:p>
    <w:p>
      <w:pPr>
        <w:spacing w:after="80" w:before="0"/>
        <w:jc w:val="center"/>
      </w:pPr>
      <w:r>
        <w:rPr>
          <w:rFonts w:ascii="Arial" w:cs="Arial" w:eastAsia="Arial" w:hAnsi="Arial"/>
          <w:color w:val="9CA3AF"/>
          <w:sz w:val="18"/>
          <w:szCs w:val="18"/>
        </w:rPr>
        <w:t xml:space="preserve">Bank of India  |  Data Science Division  |  May 2026</w:t>
      </w:r>
    </w:p>
    <w:p>
      <w:pPr>
        <w:spacing w:after="0" w:before="0"/>
        <w:jc w:val="center"/>
      </w:pPr>
      <w:r>
        <w:rPr>
          <w:rFonts w:ascii="Arial" w:cs="Arial" w:eastAsia="Arial" w:hAnsi="Arial"/>
          <w:i/>
          <w:iCs/>
          <w:color w:val="9CA3AF"/>
          <w:sz w:val="17"/>
          <w:szCs w:val="17"/>
        </w:rPr>
        <w:t xml:space="preserve">This report was generated by the BOI CASA Forecasting Platform. For questions, refer to the project README.md.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3F4F6" w:sz="4" w:space="1"/>
      </w:pBdr>
      <w:tabs>
        <w:tab w:val="right" w:pos="9026"/>
      </w:tabs>
      <w:spacing w:after="0" w:before="80"/>
    </w:pPr>
    <w:r>
      <w:rPr>
        <w:rFonts w:ascii="Arial" w:cs="Arial" w:eastAsia="Arial" w:hAnsi="Arial"/>
        <w:color w:val="9CA3AF"/>
        <w:sz w:val="18"/>
        <w:szCs w:val="18"/>
      </w:rPr>
      <w:t xml:space="preserve">BOI CASA Forecasting Report v2.0  |  May 2026</w:t>
    </w:r>
    <w:r>
      <w:rPr>
        <w:rFonts w:ascii="Arial" w:cs="Arial" w:eastAsia="Arial" w:hAnsi="Arial"/>
        <w:sz w:val="22"/>
        <w:szCs w:val="22"/>
      </w:rPr>
      <w:t xml:space="preserve">	</w:t>
    </w: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tabs>
        <w:tab w:val="right" w:pos="9026"/>
      </w:tabs>
      <w:spacing w:after="80" w:before="0"/>
    </w:pPr>
    <w:r>
      <w:rPr>
        <w:rFonts w:ascii="Arial" w:cs="Arial" w:eastAsia="Arial" w:hAnsi="Arial"/>
        <w:color w:val="374151"/>
        <w:sz w:val="18"/>
        <w:szCs w:val="18"/>
      </w:rPr>
      <w:t xml:space="preserve">BOI CASA Deposit Forecasting System</w:t>
    </w:r>
    <w:r>
      <w:rPr>
        <w:rFonts w:ascii="Arial" w:cs="Arial" w:eastAsia="Arial" w:hAnsi="Arial"/>
        <w:sz w:val="22"/>
        <w:szCs w:val="22"/>
      </w:rPr>
      <w:t xml:space="preserve">	</w:t>
    </w:r>
    <w:r>
      <w:rPr>
        <w:rFonts w:ascii="Arial" w:cs="Arial" w:eastAsia="Arial" w:hAnsi="Arial"/>
        <w:color w:val="9CA3AF"/>
        <w:sz w:val="18"/>
        <w:szCs w:val="18"/>
      </w:rPr>
      <w:t xml:space="preserve">Bank of India  |  Data Science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2026-05-10T12:38:51.181Z</dcterms:created>
  <dcterms:modified xsi:type="dcterms:W3CDTF">2026-05-10T12:38:51.181Z</dcterms:modified>
</cp:coreProperties>
</file>

<file path=docProps/custom.xml><?xml version="1.0" encoding="utf-8"?>
<Properties xmlns="http://schemas.openxmlformats.org/officeDocument/2006/custom-properties" xmlns:vt="http://schemas.openxmlformats.org/officeDocument/2006/docPropsVTypes"/>
</file>