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hd w:fill="0A0A0A" w:val="clear"/>
        <w:spacing w:before="0" w:after="0"/>
        <w:jc w:val="center"/>
      </w:pPr>
      <w:r>
        <w:rPr>
          <w:rFonts w:ascii="Arial" w:cs="Arial" w:eastAsia="Arial" w:hAnsi="Arial"/>
          <w:color w:val="FFFFFF"/>
          <w:sz w:val="28"/>
          <w:szCs w:val="28"/>
        </w:rPr>
        <w:t xml:space="preserve">Modèle économique</w:t>
      </w:r>
    </w:p>
    <w:p>
      <w:r>
        <w:t xml:space="preserve"/>
      </w:r>
    </w:p>
    <w:p>
      <w:pPr>
        <w:jc w:val="center"/>
      </w:pPr>
      <w:r>
        <w:rPr>
          <w:rFonts w:ascii="Arial" w:cs="Arial" w:eastAsia="Arial" w:hAnsi="Arial"/>
          <w:b/>
          <w:bCs/>
          <w:color w:val="922B21"/>
          <w:sz w:val="72"/>
          <w:szCs w:val="72"/>
        </w:rPr>
        <w:t xml:space="preserve">VANIA AGENTS</w:t>
      </w:r>
    </w:p>
    <w:p>
      <w:pPr>
        <w:spacing w:after="60"/>
        <w:jc w:val="center"/>
      </w:pPr>
      <w:r>
        <w:rPr>
          <w:rFonts w:ascii="Arial" w:cs="Arial" w:eastAsia="Arial" w:hAnsi="Arial"/>
          <w:color w:val="1C1C1C"/>
          <w:sz w:val="30"/>
          <w:szCs w:val="30"/>
        </w:rPr>
        <w:t xml:space="preserve">Agence Immobilière Transactionnelle</w:t>
      </w:r>
    </w:p>
    <w:p>
      <w:pPr>
        <w:pBdr>
          <w:bottom w:val="single" w:color="C9A84C" w:sz="8" w:space="1"/>
        </w:pBdr>
        <w:spacing w:after="200"/>
      </w:pPr>
      <w:r>
        <w:rPr>
          <w:sz w:val="20"/>
          <w:szCs w:val="20"/>
        </w:rPr>
        <w:t xml:space="preserve"/>
      </w:r>
    </w:p>
    <w:p>
      <w:r>
        <w:t xml:space="preserve"/>
      </w:r>
    </w:p>
    <w:p>
      <w:pPr>
        <w:spacing w:after="80"/>
        <w:jc w:val="center"/>
      </w:pPr>
      <w:r>
        <w:rPr>
          <w:rFonts w:ascii="Arial" w:cs="Arial" w:eastAsia="Arial" w:hAnsi="Arial"/>
          <w:color w:val="555555"/>
          <w:sz w:val="24"/>
          <w:szCs w:val="24"/>
        </w:rPr>
        <w:t xml:space="preserve">5e Département  ·  Vania Startup Immobilière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none" w:color="FFFFFF" w:sz="0"/>
              <w:left w:val="none" w:color="FFFFFF" w:sz="0"/>
              <w:bottom w:val="none" w:color="FFFFFF" w:sz="0"/>
              <w:right w:val="none" w:color="FFFFFF" w:sz="0"/>
            </w:tcBorders>
            <w:shd w:fill="2E86C1" w:val="clear"/>
            <w:tcMar>
              <w:top w:type="dxa" w:w="60"/>
              <w:left w:type="dxa" w:w="60"/>
              <w:bottom w:type="dxa" w:w="60"/>
              <w:right w:type="dxa" w:w="60"/>
            </w:tcMar>
          </w:tcPr>
          <w:p>
            <w:pPr>
              <w:jc w:val="center"/>
            </w:pPr>
            <w:r>
              <w:rPr>
                <w:rFonts w:ascii="Arial" w:cs="Arial" w:eastAsia="Arial" w:hAnsi="Arial"/>
                <w:b/>
                <w:bCs/>
                <w:color w:val="FFFFFF"/>
                <w:sz w:val="17"/>
                <w:szCs w:val="17"/>
              </w:rPr>
              <w:t xml:space="preserve">Comm</w:t>
            </w:r>
          </w:p>
        </w:tc>
        <w:tc>
          <w:tcPr>
            <w:tcW w:type="dxa" w:w="1400"/>
            <w:tcBorders>
              <w:top w:val="none" w:color="FFFFFF" w:sz="0"/>
              <w:left w:val="none" w:color="FFFFFF" w:sz="0"/>
              <w:bottom w:val="none" w:color="FFFFFF" w:sz="0"/>
              <w:right w:val="none" w:color="FFFFFF" w:sz="0"/>
            </w:tcBorders>
            <w:shd w:fill="E87D3E" w:val="clear"/>
            <w:tcMar>
              <w:top w:type="dxa" w:w="60"/>
              <w:left w:type="dxa" w:w="60"/>
              <w:bottom w:type="dxa" w:w="60"/>
              <w:right w:type="dxa" w:w="60"/>
            </w:tcMar>
          </w:tcPr>
          <w:p>
            <w:pPr>
              <w:jc w:val="center"/>
            </w:pPr>
            <w:r>
              <w:rPr>
                <w:rFonts w:ascii="Arial" w:cs="Arial" w:eastAsia="Arial" w:hAnsi="Arial"/>
                <w:b/>
                <w:bCs/>
                <w:color w:val="FFFFFF"/>
                <w:sz w:val="17"/>
                <w:szCs w:val="17"/>
              </w:rPr>
              <w:t xml:space="preserve">Studio</w:t>
            </w:r>
          </w:p>
        </w:tc>
        <w:tc>
          <w:tcPr>
            <w:tcW w:type="dxa" w:w="1400"/>
            <w:tcBorders>
              <w:top w:val="none" w:color="FFFFFF" w:sz="0"/>
              <w:left w:val="none" w:color="FFFFFF" w:sz="0"/>
              <w:bottom w:val="none" w:color="FFFFFF" w:sz="0"/>
              <w:right w:val="none" w:color="FFFFFF" w:sz="0"/>
            </w:tcBorders>
            <w:shd w:fill="5DB87A" w:val="clear"/>
            <w:tcMar>
              <w:top w:type="dxa" w:w="60"/>
              <w:left w:type="dxa" w:w="60"/>
              <w:bottom w:type="dxa" w:w="60"/>
              <w:right w:type="dxa" w:w="60"/>
            </w:tcMar>
          </w:tcPr>
          <w:p>
            <w:pPr>
              <w:jc w:val="center"/>
            </w:pPr>
            <w:r>
              <w:rPr>
                <w:rFonts w:ascii="Arial" w:cs="Arial" w:eastAsia="Arial" w:hAnsi="Arial"/>
                <w:b/>
                <w:bCs/>
                <w:color w:val="FFFFFF"/>
                <w:sz w:val="17"/>
                <w:szCs w:val="17"/>
              </w:rPr>
              <w:t xml:space="preserve">Consulting</w:t>
            </w:r>
          </w:p>
        </w:tc>
        <w:tc>
          <w:tcPr>
            <w:tcW w:type="dxa" w:w="1400"/>
            <w:tcBorders>
              <w:top w:val="none" w:color="FFFFFF" w:sz="0"/>
              <w:left w:val="none" w:color="FFFFFF" w:sz="0"/>
              <w:bottom w:val="none" w:color="FFFFFF" w:sz="0"/>
              <w:right w:val="none" w:color="FFFFFF" w:sz="0"/>
            </w:tcBorders>
            <w:shd w:fill="7D3C98"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Finance</w:t>
            </w:r>
          </w:p>
        </w:tc>
        <w:tc>
          <w:tcPr>
            <w:tcW w:type="dxa" w:w="1400"/>
            <w:tcBorders>
              <w:top w:val="single" w:color="C9A84C" w:sz="4"/>
              <w:left w:val="single" w:color="C9A84C" w:sz="4"/>
              <w:bottom w:val="single" w:color="C9A84C" w:sz="4"/>
              <w:right w:val="single" w:color="C9A84C" w:sz="4"/>
            </w:tcBorders>
            <w:shd w:fill="922B21" w:val="clear"/>
            <w:tcMar>
              <w:top w:type="dxa" w:w="60"/>
              <w:left w:type="dxa" w:w="60"/>
              <w:bottom w:type="dxa" w:w="60"/>
              <w:right w:type="dxa" w:w="60"/>
            </w:tcMar>
          </w:tcPr>
          <w:p>
            <w:pPr>
              <w:jc w:val="center"/>
            </w:pPr>
            <w:r>
              <w:rPr>
                <w:rFonts w:ascii="Arial" w:cs="Arial" w:eastAsia="Arial" w:hAnsi="Arial"/>
                <w:b/>
                <w:bCs/>
                <w:color w:val="FFFFFF"/>
                <w:sz w:val="17"/>
                <w:szCs w:val="17"/>
              </w:rPr>
              <w:t xml:space="preserve">★ Agents</w:t>
            </w:r>
          </w:p>
        </w:tc>
      </w:tr>
    </w:tbl>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Sommaire Exécutif</w:t>
      </w:r>
    </w:p>
    <w:p>
      <w:r>
        <w:t xml:space="preserve"/>
      </w:r>
    </w:p>
    <w:p>
      <w:pPr>
        <w:spacing w:before="40" w:after="40"/>
      </w:pPr>
      <w:r>
        <w:rPr>
          <w:rFonts w:ascii="Arial" w:cs="Arial" w:eastAsia="Arial" w:hAnsi="Arial"/>
          <w:b w:val="false"/>
          <w:bCs w:val="false"/>
          <w:color w:val="1C1C1C"/>
          <w:sz w:val="22"/>
          <w:szCs w:val="22"/>
        </w:rPr>
        <w:t xml:space="preserve">VANIA AGENTS est le 5e et dernier département de la startup Vania. C'est l'unique département transactionnel de l'écosystème : il ne vend pas un service mensuel, il conclut des transactions immobilières en mettant en relation les bailleurs partenaires Vania avec des locataires qualifiés.</w:t>
      </w:r>
    </w:p>
    <w:p>
      <w:r>
        <w:t xml:space="preserve"/>
      </w:r>
    </w:p>
    <w:p>
      <w:pPr>
        <w:spacing w:before="40" w:after="40"/>
      </w:pPr>
      <w:r>
        <w:rPr>
          <w:rFonts w:ascii="Arial" w:cs="Arial" w:eastAsia="Arial" w:hAnsi="Arial"/>
          <w:b w:val="false"/>
          <w:bCs w:val="false"/>
          <w:color w:val="1C1C1C"/>
          <w:sz w:val="22"/>
          <w:szCs w:val="22"/>
        </w:rPr>
        <w:t xml:space="preserve">Le modèle repose sur deux sources de revenus complémentaires et imbriquées :</w:t>
      </w:r>
    </w:p>
    <w:p>
      <w:pPr>
        <w:pStyle w:val="ListParagraph"/>
        <w:numPr>
          <w:ilvl w:val="0"/>
          <w:numId w:val="2"/>
        </w:numPr>
        <w:spacing w:before="30" w:after="30"/>
      </w:pPr>
      <w:r>
        <w:rPr>
          <w:rFonts w:ascii="Arial" w:cs="Arial" w:eastAsia="Arial" w:hAnsi="Arial"/>
          <w:color w:val="1C1C1C"/>
          <w:sz w:val="22"/>
          <w:szCs w:val="22"/>
        </w:rPr>
        <w:t xml:space="preserve">Frais de visite : 5 000 FCFA encaissés à chaque visite organisée — revenus immédiats, récurrents, indépendants de l'issue de la transaction.</w:t>
      </w:r>
    </w:p>
    <w:p>
      <w:pPr>
        <w:pStyle w:val="ListParagraph"/>
        <w:numPr>
          <w:ilvl w:val="0"/>
          <w:numId w:val="2"/>
        </w:numPr>
        <w:spacing w:before="30" w:after="30"/>
      </w:pPr>
      <w:r>
        <w:rPr>
          <w:rFonts w:ascii="Arial" w:cs="Arial" w:eastAsia="Arial" w:hAnsi="Arial"/>
          <w:color w:val="1C1C1C"/>
          <w:sz w:val="22"/>
          <w:szCs w:val="22"/>
        </w:rPr>
        <w:t xml:space="preserve">Commission de location : 1 mois de loyer (moyenne 112 500 FCFA) encaissé à la signature du bail — revenu variable, à fort potentiel, déclenché par chaque location conclue.</w:t>
      </w:r>
    </w:p>
    <w:p>
      <w:r>
        <w:t xml:space="preserve"/>
      </w:r>
    </w:p>
    <w:p>
      <w:pPr>
        <w:spacing w:before="40" w:after="40"/>
      </w:pPr>
      <w:r>
        <w:rPr>
          <w:rFonts w:ascii="Arial" w:cs="Arial" w:eastAsia="Arial" w:hAnsi="Arial"/>
          <w:b w:val="false"/>
          <w:bCs w:val="false"/>
          <w:color w:val="1C1C1C"/>
          <w:sz w:val="22"/>
          <w:szCs w:val="22"/>
        </w:rPr>
        <w:t xml:space="preserve">Avec un investissement de démarrage minimal de 200 000 FCFA (fonds de roulement uniquement), une structure de charges ultra-légère et une rentabilité immédiate dès le Mois 1, VANIA AGENTS est le moteur financier de Vania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Point mort opérationnel</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922B21"/>
                <w:sz w:val="22"/>
                <w:szCs w:val="22"/>
              </w:rPr>
              <w:t xml:space="preserve">Mois 1 — dès la 1ère location conclue</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CA Mois 1 (démarrage)</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922B21"/>
                <w:sz w:val="22"/>
                <w:szCs w:val="22"/>
              </w:rPr>
              <w:t xml:space="preserve">250 000 FCFA (5 visites + 2 locations)</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CA Mois 12</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922B21"/>
                <w:sz w:val="22"/>
                <w:szCs w:val="22"/>
              </w:rPr>
              <w:t xml:space="preserve">2 377 500 FCFA (48 visites + 19 locations)</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CA annuel projeté Année 1</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1E8449"/>
                <w:sz w:val="22"/>
                <w:szCs w:val="22"/>
              </w:rPr>
              <w:t xml:space="preserve">15 627 500 FCFA</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Bénéfice net après impôts</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1E8449"/>
                <w:sz w:val="22"/>
                <w:szCs w:val="22"/>
              </w:rPr>
              <w:t xml:space="preserve">9 820 700 FCFA</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Marge nette</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1E8449"/>
                <w:sz w:val="22"/>
                <w:szCs w:val="22"/>
              </w:rPr>
              <w:t xml:space="preserve">65 % — modèle intermédiation pure</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Trésorerie fin Année 1</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1E8449"/>
                <w:sz w:val="22"/>
                <w:szCs w:val="22"/>
              </w:rPr>
              <w:t xml:space="preserve">10 333 250 FCFA</w:t>
            </w:r>
          </w:p>
        </w:tc>
      </w:tr>
      <w:tr>
        <w:tc>
          <w:tcPr>
            <w:tcW w:type="dxa" w:w="4513"/>
            <w:tcBorders>
              <w:top w:val="single" w:color="C9A84C" w:sz="4"/>
              <w:left w:val="single" w:color="C9A84C" w:sz="4"/>
              <w:bottom w:val="single" w:color="C9A84C" w:sz="4"/>
              <w:right w:val="single" w:color="C9A84C" w:sz="4"/>
            </w:tcBorders>
            <w:shd w:fill="FDF6E3" w:val="clear"/>
            <w:tcMar>
              <w:top w:type="dxa" w:w="80"/>
              <w:left w:type="dxa" w:w="140"/>
              <w:bottom w:type="dxa" w:w="80"/>
              <w:right w:type="dxa" w:w="80"/>
            </w:tcMar>
          </w:tcPr>
          <w:p>
            <w:r>
              <w:rPr>
                <w:rFonts w:ascii="Arial" w:cs="Arial" w:eastAsia="Arial" w:hAnsi="Arial"/>
                <w:b/>
                <w:bCs/>
                <w:color w:val="0A0A0A"/>
                <w:sz w:val="22"/>
                <w:szCs w:val="22"/>
              </w:rPr>
              <w:t xml:space="preserve">Part du CA global Vania</w:t>
            </w:r>
          </w:p>
        </w:tc>
        <w:tc>
          <w:tcPr>
            <w:tcW w:type="dxa" w:w="4513"/>
            <w:tcBorders>
              <w:top w:val="single" w:color="C9A84C" w:sz="4"/>
              <w:left w:val="single" w:color="C9A84C" w:sz="4"/>
              <w:bottom w:val="single" w:color="C9A84C" w:sz="4"/>
              <w:right w:val="single" w:color="C9A84C" w:sz="4"/>
            </w:tcBorders>
            <w:shd w:fill="FFFFFF" w:val="clear"/>
            <w:tcMar>
              <w:top w:type="dxa" w:w="80"/>
              <w:left w:type="dxa" w:w="140"/>
              <w:bottom w:type="dxa" w:w="80"/>
              <w:right w:type="dxa" w:w="80"/>
            </w:tcMar>
          </w:tcPr>
          <w:p>
            <w:r>
              <w:rPr>
                <w:rFonts w:ascii="Arial" w:cs="Arial" w:eastAsia="Arial" w:hAnsi="Arial"/>
                <w:b/>
                <w:bCs/>
                <w:color w:val="922B21"/>
                <w:sz w:val="22"/>
                <w:szCs w:val="22"/>
              </w:rPr>
              <w:t xml:space="preserve">67 % du CA total des 5 départements</w:t>
            </w:r>
          </w:p>
        </w:tc>
      </w:tr>
    </w:tbl>
    <w:p>
      <w:r>
        <w:t xml:space="preserve"/>
      </w:r>
    </w:p>
    <w:p>
      <w:pPr>
        <w:spacing w:before="40" w:after="40"/>
      </w:pPr>
      <w:r>
        <w:rPr>
          <w:rFonts w:ascii="Arial" w:cs="Arial" w:eastAsia="Arial" w:hAnsi="Arial"/>
          <w:b w:val="false"/>
          <w:bCs w:val="false"/>
          <w:color w:val="1C1C1C"/>
          <w:sz w:val="22"/>
          <w:szCs w:val="22"/>
        </w:rPr>
        <w:t xml:space="preserve">VANIA AGENTS est le département le plus rentable de Vania. Il génère à lui seul plus de revenus que les 4 autres départements combinés, avec les charges les plus basses proportionnellement.</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Segments de Clients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922B21" w:val="clear"/>
            <w:tcMar>
              <w:top w:type="dxa" w:w="80"/>
              <w:left w:type="dxa" w:w="200"/>
              <w:bottom w:type="dxa" w:w="80"/>
              <w:right w:type="dxa" w:w="120"/>
            </w:tcMar>
          </w:tcPr>
          <w:p>
            <w:r>
              <w:rPr>
                <w:rFonts w:ascii="Arial" w:cs="Arial" w:eastAsia="Arial" w:hAnsi="Arial"/>
                <w:b/>
                <w:bCs/>
                <w:color w:val="FFFFFF"/>
                <w:sz w:val="22"/>
                <w:szCs w:val="22"/>
              </w:rPr>
              <w:t xml:space="preserve">  VANIA AGENTS — CÔTÉ OFFRE</w:t>
            </w:r>
          </w:p>
        </w:tc>
        <w:tc>
          <w:tcPr>
            <w:tcW w:type="dxa" w:w="4513"/>
            <w:tcBorders>
              <w:top w:val="none" w:color="FFFFFF" w:sz="0"/>
              <w:left w:val="none" w:color="FFFFFF" w:sz="0"/>
              <w:bottom w:val="none" w:color="FFFFFF" w:sz="0"/>
              <w:right w:val="none" w:color="FFFFFF" w:sz="0"/>
            </w:tcBorders>
            <w:shd w:fill="FDF6E3" w:val="clear"/>
            <w:tcMar>
              <w:top w:type="dxa" w:w="80"/>
              <w:left w:type="dxa" w:w="120"/>
              <w:bottom w:type="dxa" w:w="80"/>
              <w:right w:type="dxa" w:w="200"/>
            </w:tcMar>
          </w:tcPr>
          <w:p>
            <w:pPr>
              <w:jc w:val="right"/>
            </w:pPr>
            <w:r>
              <w:rPr>
                <w:rFonts w:ascii="Arial" w:cs="Arial" w:eastAsia="Arial" w:hAnsi="Arial"/>
                <w:color w:val="0A0A0A"/>
                <w:sz w:val="22"/>
                <w:szCs w:val="22"/>
              </w:rPr>
              <w:t xml:space="preserve">Cible : Bailleurs Vania  </w:t>
            </w:r>
          </w:p>
        </w:tc>
      </w:tr>
    </w:tbl>
    <w:p>
      <w:r>
        <w:t xml:space="preserve"/>
      </w:r>
    </w:p>
    <w:p>
      <w:pPr>
        <w:spacing w:before="40" w:after="40"/>
      </w:pPr>
      <w:r>
        <w:rPr>
          <w:rFonts w:ascii="Arial" w:cs="Arial" w:eastAsia="Arial" w:hAnsi="Arial"/>
          <w:b/>
          <w:bCs/>
          <w:color w:val="1C1C1C"/>
          <w:sz w:val="22"/>
          <w:szCs w:val="22"/>
        </w:rPr>
        <w:t xml:space="preserve">Clients offreurs (bailleurs) :</w:t>
      </w:r>
    </w:p>
    <w:p>
      <w:pPr>
        <w:pStyle w:val="ListParagraph"/>
        <w:numPr>
          <w:ilvl w:val="0"/>
          <w:numId w:val="2"/>
        </w:numPr>
        <w:spacing w:before="30" w:after="30"/>
      </w:pPr>
      <w:r>
        <w:rPr>
          <w:rFonts w:ascii="Arial" w:cs="Arial" w:eastAsia="Arial" w:hAnsi="Arial"/>
          <w:color w:val="1C1C1C"/>
          <w:sz w:val="22"/>
          <w:szCs w:val="22"/>
        </w:rPr>
        <w:t xml:space="preserve">Propriétaires de logements locatifs avec des biens vacants depuis plus de 30 jours — frustrés par l'absence de locataires sérieux.</w:t>
      </w:r>
    </w:p>
    <w:p>
      <w:pPr>
        <w:pStyle w:val="ListParagraph"/>
        <w:numPr>
          <w:ilvl w:val="0"/>
          <w:numId w:val="2"/>
        </w:numPr>
        <w:spacing w:before="30" w:after="30"/>
      </w:pPr>
      <w:r>
        <w:rPr>
          <w:rFonts w:ascii="Arial" w:cs="Arial" w:eastAsia="Arial" w:hAnsi="Arial"/>
          <w:color w:val="1C1C1C"/>
          <w:sz w:val="22"/>
          <w:szCs w:val="22"/>
        </w:rPr>
        <w:t xml:space="preserve">En priorité : les bailleurs déjà clients du Consulting Vania — leurs biens sont conformes au Standard Vania et leurs agents sont filtrés. Ils font confiance à Vania.</w:t>
      </w:r>
    </w:p>
    <w:p>
      <w:pPr>
        <w:pStyle w:val="ListParagraph"/>
        <w:numPr>
          <w:ilvl w:val="0"/>
          <w:numId w:val="2"/>
        </w:numPr>
        <w:spacing w:before="30" w:after="30"/>
      </w:pPr>
      <w:r>
        <w:rPr>
          <w:rFonts w:ascii="Arial" w:cs="Arial" w:eastAsia="Arial" w:hAnsi="Arial"/>
          <w:color w:val="1C1C1C"/>
          <w:sz w:val="22"/>
          <w:szCs w:val="22"/>
        </w:rPr>
        <w:t xml:space="preserve">Profil type : propriétaire de 1 à 5 biens, loyers entre 75 000 et 150 000 FCFA/mois, situés dans les quartiers actifs (Akwa, Makepe, Bonamoussadi, Bafoussam centre).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922B21" w:val="clear"/>
            <w:tcMar>
              <w:top w:type="dxa" w:w="80"/>
              <w:left w:type="dxa" w:w="200"/>
              <w:bottom w:type="dxa" w:w="80"/>
              <w:right w:type="dxa" w:w="120"/>
            </w:tcMar>
          </w:tcPr>
          <w:p>
            <w:r>
              <w:rPr>
                <w:rFonts w:ascii="Arial" w:cs="Arial" w:eastAsia="Arial" w:hAnsi="Arial"/>
                <w:b/>
                <w:bCs/>
                <w:color w:val="FFFFFF"/>
                <w:sz w:val="22"/>
                <w:szCs w:val="22"/>
              </w:rPr>
              <w:t xml:space="preserve">  VANIA AGENTS — CÔTÉ DEMANDE</w:t>
            </w:r>
          </w:p>
        </w:tc>
        <w:tc>
          <w:tcPr>
            <w:tcW w:type="dxa" w:w="4513"/>
            <w:tcBorders>
              <w:top w:val="none" w:color="FFFFFF" w:sz="0"/>
              <w:left w:val="none" w:color="FFFFFF" w:sz="0"/>
              <w:bottom w:val="none" w:color="FFFFFF" w:sz="0"/>
              <w:right w:val="none" w:color="FFFFFF" w:sz="0"/>
            </w:tcBorders>
            <w:shd w:fill="FDF6E3" w:val="clear"/>
            <w:tcMar>
              <w:top w:type="dxa" w:w="80"/>
              <w:left w:type="dxa" w:w="120"/>
              <w:bottom w:type="dxa" w:w="80"/>
              <w:right w:type="dxa" w:w="200"/>
            </w:tcMar>
          </w:tcPr>
          <w:p>
            <w:pPr>
              <w:jc w:val="right"/>
            </w:pPr>
            <w:r>
              <w:rPr>
                <w:rFonts w:ascii="Arial" w:cs="Arial" w:eastAsia="Arial" w:hAnsi="Arial"/>
                <w:color w:val="0A0A0A"/>
                <w:sz w:val="22"/>
                <w:szCs w:val="22"/>
              </w:rPr>
              <w:t xml:space="preserve">Cible : Locataires Qualifiés  </w:t>
            </w:r>
          </w:p>
        </w:tc>
      </w:tr>
    </w:tbl>
    <w:p>
      <w:r>
        <w:t xml:space="preserve"/>
      </w:r>
    </w:p>
    <w:p>
      <w:pPr>
        <w:spacing w:before="40" w:after="40"/>
      </w:pPr>
      <w:r>
        <w:rPr>
          <w:rFonts w:ascii="Arial" w:cs="Arial" w:eastAsia="Arial" w:hAnsi="Arial"/>
          <w:b/>
          <w:bCs/>
          <w:color w:val="1C1C1C"/>
          <w:sz w:val="22"/>
          <w:szCs w:val="22"/>
        </w:rPr>
        <w:t xml:space="preserve">Clients demandeurs (locataires) :</w:t>
      </w:r>
    </w:p>
    <w:p>
      <w:pPr>
        <w:pStyle w:val="ListParagraph"/>
        <w:numPr>
          <w:ilvl w:val="0"/>
          <w:numId w:val="2"/>
        </w:numPr>
        <w:spacing w:before="30" w:after="30"/>
      </w:pPr>
      <w:r>
        <w:rPr>
          <w:rFonts w:ascii="Arial" w:cs="Arial" w:eastAsia="Arial" w:hAnsi="Arial"/>
          <w:color w:val="1C1C1C"/>
          <w:sz w:val="22"/>
          <w:szCs w:val="22"/>
        </w:rPr>
        <w:t xml:space="preserve">Salariés, commerçants ou travailleurs indépendants cherchant un logement de qualité dans un délai de 15 à 60 jours.</w:t>
      </w:r>
    </w:p>
    <w:p>
      <w:pPr>
        <w:pStyle w:val="ListParagraph"/>
        <w:numPr>
          <w:ilvl w:val="0"/>
          <w:numId w:val="2"/>
        </w:numPr>
        <w:spacing w:before="30" w:after="30"/>
      </w:pPr>
      <w:r>
        <w:rPr>
          <w:rFonts w:ascii="Arial" w:cs="Arial" w:eastAsia="Arial" w:hAnsi="Arial"/>
          <w:color w:val="1C1C1C"/>
          <w:sz w:val="22"/>
          <w:szCs w:val="22"/>
        </w:rPr>
        <w:t xml:space="preserve">Profil solvable : revenus mensuels &gt;= 2,5× le loyer demandé, justificatifs disponibles.</w:t>
      </w:r>
    </w:p>
    <w:p>
      <w:pPr>
        <w:pStyle w:val="ListParagraph"/>
        <w:numPr>
          <w:ilvl w:val="0"/>
          <w:numId w:val="2"/>
        </w:numPr>
        <w:spacing w:before="30" w:after="30"/>
      </w:pPr>
      <w:r>
        <w:rPr>
          <w:rFonts w:ascii="Arial" w:cs="Arial" w:eastAsia="Arial" w:hAnsi="Arial"/>
          <w:color w:val="1C1C1C"/>
          <w:sz w:val="22"/>
          <w:szCs w:val="22"/>
        </w:rPr>
        <w:t xml:space="preserve">En priorité : locataires orientés par le département Finance (membres de la caisse de cotisation) — garantie de solvabilité et de sérieux.</w:t>
      </w:r>
    </w:p>
    <w:p>
      <w:pPr>
        <w:pStyle w:val="ListParagraph"/>
        <w:numPr>
          <w:ilvl w:val="0"/>
          <w:numId w:val="2"/>
        </w:numPr>
        <w:spacing w:before="30" w:after="30"/>
      </w:pPr>
      <w:r>
        <w:rPr>
          <w:rFonts w:ascii="Arial" w:cs="Arial" w:eastAsia="Arial" w:hAnsi="Arial"/>
          <w:color w:val="1C1C1C"/>
          <w:sz w:val="22"/>
          <w:szCs w:val="22"/>
        </w:rPr>
        <w:t xml:space="preserve">Locataires secondaires : passants des plateformes (Facebook, Afrikimmo, Jumia House) attirés par la qualité des annonces Studio.</w:t>
      </w:r>
    </w:p>
    <w:p>
      <w:r>
        <w:t xml:space="preserve"/>
      </w:r>
    </w:p>
    <w:p>
      <w:pPr>
        <w:shd w:fill="922B21" w:val="clear"/>
        <w:spacing w:before="80" w:after="80"/>
        <w:ind w:left="160" w:right="160"/>
      </w:pPr>
      <w:r>
        <w:rPr>
          <w:rFonts w:ascii="Arial" w:cs="Arial" w:eastAsia="Arial" w:hAnsi="Arial"/>
          <w:b/>
          <w:bCs/>
          <w:color w:val="FFFFFF"/>
          <w:sz w:val="22"/>
          <w:szCs w:val="22"/>
        </w:rPr>
        <w:t xml:space="preserve">Synergie clé : les bailleurs viennent du Consulting, les biens sont produits par le Studio, les locataires sont sécurisés par la Finance. VANIA AGENTS est le point de convergence de tout l'écosystème.</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Proposition de Valeur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POUR QUI</w:t>
            </w:r>
          </w:p>
        </w:tc>
        <w:tc>
          <w:tcPr>
            <w:tcW w:type="dxa" w:w="677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 DÉLIVRÉE</w:t>
            </w:r>
          </w:p>
        </w:tc>
      </w:tr>
      <w:tr>
        <w:tc>
          <w:tcPr>
            <w:tcW w:type="dxa" w:w="2256"/>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Bailleurs</w:t>
            </w:r>
          </w:p>
        </w:tc>
        <w:tc>
          <w:tcPr>
            <w:tcW w:type="dxa" w:w="677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1C1C1C"/>
                <w:sz w:val="20"/>
                <w:szCs w:val="20"/>
              </w:rPr>
              <w:t xml:space="preserve">Zéro frais à l'avance. Commission uniquement à la location conclue. Biens valorisés par des annonces Standard Vania. Locataires sélectionnés et vérifiés. Rapport de visite transmis sous 24h. Moins de vacance locative, plus de revenus.</w:t>
            </w:r>
          </w:p>
        </w:tc>
      </w:tr>
      <w:tr>
        <w:tc>
          <w:tcPr>
            <w:tcW w:type="dxa" w:w="2256"/>
            <w:tcBorders>
              <w:top w:val="single" w:color="922B21" w:sz="4"/>
              <w:left w:val="single" w:color="922B21" w:sz="4"/>
              <w:bottom w:val="single" w:color="922B21" w:sz="4"/>
              <w:right w:val="single" w:color="922B21" w:sz="4"/>
            </w:tcBorders>
            <w:shd w:fill="E598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Locataires</w:t>
            </w:r>
          </w:p>
        </w:tc>
        <w:tc>
          <w:tcPr>
            <w:tcW w:type="dxa" w:w="677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1C1C1C"/>
                <w:sz w:val="20"/>
                <w:szCs w:val="20"/>
              </w:rPr>
              <w:t xml:space="preserve">Biens vérifiés et photographiés au Standard Vania. Aucune mauvaise surprise à la visite. Visites organisées et accompagnées par un professionnel. Frais de visite de 5 000 FCFA = garantie de sérieux. Accès au département Finance pour les locataires qui en ont besoin.</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Différenciateurs uniques</w:t>
      </w:r>
    </w:p>
    <w:p>
      <w:pPr>
        <w:pStyle w:val="ListParagraph"/>
        <w:numPr>
          <w:ilvl w:val="0"/>
          <w:numId w:val="2"/>
        </w:numPr>
        <w:spacing w:before="30" w:after="30"/>
      </w:pPr>
      <w:r>
        <w:rPr>
          <w:rFonts w:ascii="Arial" w:cs="Arial" w:eastAsia="Arial" w:hAnsi="Arial"/>
          <w:color w:val="1C1C1C"/>
          <w:sz w:val="22"/>
          <w:szCs w:val="22"/>
        </w:rPr>
        <w:t xml:space="preserve">Seule agence locale intégrée dans un écosystème complet : Comm + Studio + Consulting + Finance + Agents — aucun concurrent local ne peut répliquer cela.</w:t>
      </w:r>
    </w:p>
    <w:p>
      <w:pPr>
        <w:pStyle w:val="ListParagraph"/>
        <w:numPr>
          <w:ilvl w:val="0"/>
          <w:numId w:val="2"/>
        </w:numPr>
        <w:spacing w:before="30" w:after="30"/>
      </w:pPr>
      <w:r>
        <w:rPr>
          <w:rFonts w:ascii="Arial" w:cs="Arial" w:eastAsia="Arial" w:hAnsi="Arial"/>
          <w:color w:val="1C1C1C"/>
          <w:sz w:val="22"/>
          <w:szCs w:val="22"/>
        </w:rPr>
        <w:t xml:space="preserve">Le Standard Vania : une norme qualité propriétaire appliquée à chaque annonce. Les locataires visitent ce qu'ils ont vu en photo. Zéro déception.</w:t>
      </w:r>
    </w:p>
    <w:p>
      <w:pPr>
        <w:pStyle w:val="ListParagraph"/>
        <w:numPr>
          <w:ilvl w:val="0"/>
          <w:numId w:val="2"/>
        </w:numPr>
        <w:spacing w:before="30" w:after="30"/>
      </w:pPr>
      <w:r>
        <w:rPr>
          <w:rFonts w:ascii="Arial" w:cs="Arial" w:eastAsia="Arial" w:hAnsi="Arial"/>
          <w:color w:val="1C1C1C"/>
          <w:sz w:val="22"/>
          <w:szCs w:val="22"/>
        </w:rPr>
        <w:t xml:space="preserve">Commission transparente et contractualisée dès le référencement : le bailleur sait exactement ce qu'il paiera et quand.</w:t>
      </w:r>
    </w:p>
    <w:p>
      <w:pPr>
        <w:pStyle w:val="ListParagraph"/>
        <w:numPr>
          <w:ilvl w:val="0"/>
          <w:numId w:val="2"/>
        </w:numPr>
        <w:spacing w:before="30" w:after="30"/>
      </w:pPr>
      <w:r>
        <w:rPr>
          <w:rFonts w:ascii="Arial" w:cs="Arial" w:eastAsia="Arial" w:hAnsi="Arial"/>
          <w:color w:val="1C1C1C"/>
          <w:sz w:val="22"/>
          <w:szCs w:val="22"/>
        </w:rPr>
        <w:t xml:space="preserve">Visite professionnelle accompagnée : l'agent Vania présente le bien, gère les questions, et assure le suivi post-visite. C'est une expérience, pas une visite informelle.</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Canaux</w:t>
      </w:r>
    </w:p>
    <w:p>
      <w:r>
        <w:t xml:space="preserve"/>
      </w:r>
    </w:p>
    <w:p>
      <w:pPr>
        <w:pBdr>
          <w:bottom w:val="single" w:color="E59898" w:sz="2" w:space="1"/>
        </w:pBdr>
        <w:spacing w:before="180" w:after="60"/>
      </w:pPr>
      <w:r>
        <w:rPr>
          <w:rFonts w:ascii="Arial" w:cs="Arial" w:eastAsia="Arial" w:hAnsi="Arial"/>
          <w:b/>
          <w:bCs/>
          <w:color w:val="922B21"/>
          <w:sz w:val="24"/>
          <w:szCs w:val="24"/>
        </w:rPr>
        <w:t xml:space="preserve">Canaux de référencement des biens (côté bailleurs)</w:t>
      </w:r>
    </w:p>
    <w:p>
      <w:pPr>
        <w:pStyle w:val="ListParagraph"/>
        <w:numPr>
          <w:ilvl w:val="0"/>
          <w:numId w:val="2"/>
        </w:numPr>
        <w:spacing w:before="30" w:after="30"/>
      </w:pPr>
      <w:r>
        <w:rPr>
          <w:rFonts w:ascii="Arial" w:cs="Arial" w:eastAsia="Arial" w:hAnsi="Arial"/>
          <w:color w:val="1C1C1C"/>
          <w:sz w:val="22"/>
          <w:szCs w:val="22"/>
        </w:rPr>
        <w:t xml:space="preserve">Pipeline Consulting Vania : les bailleurs accompagnés par le Consulting deviennent clients naturels de Vania Agents — pas de prospection nécessaire.</w:t>
      </w:r>
    </w:p>
    <w:p>
      <w:pPr>
        <w:pStyle w:val="ListParagraph"/>
        <w:numPr>
          <w:ilvl w:val="0"/>
          <w:numId w:val="2"/>
        </w:numPr>
        <w:spacing w:before="30" w:after="30"/>
      </w:pPr>
      <w:r>
        <w:rPr>
          <w:rFonts w:ascii="Arial" w:cs="Arial" w:eastAsia="Arial" w:hAnsi="Arial"/>
          <w:color w:val="1C1C1C"/>
          <w:sz w:val="22"/>
          <w:szCs w:val="22"/>
        </w:rPr>
        <w:t xml:space="preserve">Prospection directe terrain : visites de quartiers, contacts dans les associations de propriétaires, réseaux personnels.</w:t>
      </w:r>
    </w:p>
    <w:p>
      <w:pPr>
        <w:pStyle w:val="ListParagraph"/>
        <w:numPr>
          <w:ilvl w:val="0"/>
          <w:numId w:val="2"/>
        </w:numPr>
        <w:spacing w:before="30" w:after="30"/>
      </w:pPr>
      <w:r>
        <w:rPr>
          <w:rFonts w:ascii="Arial" w:cs="Arial" w:eastAsia="Arial" w:hAnsi="Arial"/>
          <w:color w:val="1C1C1C"/>
          <w:sz w:val="22"/>
          <w:szCs w:val="22"/>
        </w:rPr>
        <w:t xml:space="preserve">WhatsApp Business : formulaire de référencement envoyé aux bailleurs, suivi de la commercialisation, rapports de visite.</w:t>
      </w:r>
    </w:p>
    <w:p>
      <w:r>
        <w:t xml:space="preserve"/>
      </w:r>
    </w:p>
    <w:p>
      <w:pPr>
        <w:pBdr>
          <w:bottom w:val="single" w:color="E59898" w:sz="2" w:space="1"/>
        </w:pBdr>
        <w:spacing w:before="180" w:after="60"/>
      </w:pPr>
      <w:r>
        <w:rPr>
          <w:rFonts w:ascii="Arial" w:cs="Arial" w:eastAsia="Arial" w:hAnsi="Arial"/>
          <w:b/>
          <w:bCs/>
          <w:color w:val="922B21"/>
          <w:sz w:val="24"/>
          <w:szCs w:val="24"/>
        </w:rPr>
        <w:t xml:space="preserve">Canaux de diffusion des biens (côté locataires)</w:t>
      </w:r>
    </w:p>
    <w:p>
      <w:pPr>
        <w:pStyle w:val="ListParagraph"/>
        <w:numPr>
          <w:ilvl w:val="0"/>
          <w:numId w:val="2"/>
        </w:numPr>
        <w:spacing w:before="30" w:after="30"/>
      </w:pPr>
      <w:r>
        <w:rPr>
          <w:rFonts w:ascii="Arial" w:cs="Arial" w:eastAsia="Arial" w:hAnsi="Arial"/>
          <w:color w:val="1C1C1C"/>
          <w:sz w:val="22"/>
          <w:szCs w:val="22"/>
        </w:rPr>
        <w:t xml:space="preserve">Facebook Marketplace : publication quotidienne avec photos Standard Vania + boost ciblé géographiquement pour les biens difficiles.</w:t>
      </w:r>
    </w:p>
    <w:p>
      <w:pPr>
        <w:pStyle w:val="ListParagraph"/>
        <w:numPr>
          <w:ilvl w:val="0"/>
          <w:numId w:val="2"/>
        </w:numPr>
        <w:spacing w:before="30" w:after="30"/>
      </w:pPr>
      <w:r>
        <w:rPr>
          <w:rFonts w:ascii="Arial" w:cs="Arial" w:eastAsia="Arial" w:hAnsi="Arial"/>
          <w:color w:val="1C1C1C"/>
          <w:sz w:val="22"/>
          <w:szCs w:val="22"/>
        </w:rPr>
        <w:t xml:space="preserve">WhatsApp Business Vania Agents : catalogue de biens disponibles mis à jour en temps réel, prise de RDV directe.</w:t>
      </w:r>
    </w:p>
    <w:p>
      <w:pPr>
        <w:pStyle w:val="ListParagraph"/>
        <w:numPr>
          <w:ilvl w:val="0"/>
          <w:numId w:val="2"/>
        </w:numPr>
        <w:spacing w:before="30" w:after="30"/>
      </w:pPr>
      <w:r>
        <w:rPr>
          <w:rFonts w:ascii="Arial" w:cs="Arial" w:eastAsia="Arial" w:hAnsi="Arial"/>
          <w:color w:val="1C1C1C"/>
          <w:sz w:val="22"/>
          <w:szCs w:val="22"/>
        </w:rPr>
        <w:t xml:space="preserve">Afrikimmo, Jumia House, groupes WhatsApp locaux de recherche de logement.</w:t>
      </w:r>
    </w:p>
    <w:p>
      <w:pPr>
        <w:pStyle w:val="ListParagraph"/>
        <w:numPr>
          <w:ilvl w:val="0"/>
          <w:numId w:val="2"/>
        </w:numPr>
        <w:spacing w:before="30" w:after="30"/>
      </w:pPr>
      <w:r>
        <w:rPr>
          <w:rFonts w:ascii="Arial" w:cs="Arial" w:eastAsia="Arial" w:hAnsi="Arial"/>
          <w:color w:val="1C1C1C"/>
          <w:sz w:val="22"/>
          <w:szCs w:val="22"/>
        </w:rPr>
        <w:t xml:space="preserve">Bouche-à-oreille : chaque locataire satisfait est une recommandation gratuite pour le prochain.</w:t>
      </w:r>
    </w:p>
    <w:p>
      <w:pPr>
        <w:pStyle w:val="ListParagraph"/>
        <w:numPr>
          <w:ilvl w:val="0"/>
          <w:numId w:val="2"/>
        </w:numPr>
        <w:spacing w:before="30" w:after="30"/>
      </w:pPr>
      <w:r>
        <w:rPr>
          <w:rFonts w:ascii="Arial" w:cs="Arial" w:eastAsia="Arial" w:hAnsi="Arial"/>
          <w:color w:val="1C1C1C"/>
          <w:sz w:val="22"/>
          <w:szCs w:val="22"/>
        </w:rPr>
        <w:t xml:space="preserve">Réseau Finance : les locataires affiliés à la caisse de cotisation sont orientés en priorité vers les biens Vania Agents.</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Relation Client</w:t>
      </w:r>
    </w:p>
    <w:p>
      <w:r>
        <w:t xml:space="preserve"/>
      </w:r>
    </w:p>
    <w:p>
      <w:pPr>
        <w:pStyle w:val="ListParagraph"/>
        <w:numPr>
          <w:ilvl w:val="0"/>
          <w:numId w:val="2"/>
        </w:numPr>
        <w:spacing w:before="30" w:after="30"/>
      </w:pPr>
      <w:r>
        <w:rPr>
          <w:rFonts w:ascii="Arial" w:cs="Arial" w:eastAsia="Arial" w:hAnsi="Arial"/>
          <w:color w:val="1C1C1C"/>
          <w:sz w:val="22"/>
          <w:szCs w:val="22"/>
        </w:rPr>
        <w:t xml:space="preserve">Relation bailleur personnalisée : chaque bailleur a un agent Vania référent, joignable sur WhatsApp, qui le tient informé après chaque visite dans les 24h.</w:t>
      </w:r>
    </w:p>
    <w:p>
      <w:pPr>
        <w:pStyle w:val="ListParagraph"/>
        <w:numPr>
          <w:ilvl w:val="0"/>
          <w:numId w:val="2"/>
        </w:numPr>
        <w:spacing w:before="30" w:after="30"/>
      </w:pPr>
      <w:r>
        <w:rPr>
          <w:rFonts w:ascii="Arial" w:cs="Arial" w:eastAsia="Arial" w:hAnsi="Arial"/>
          <w:color w:val="1C1C1C"/>
          <w:sz w:val="22"/>
          <w:szCs w:val="22"/>
        </w:rPr>
        <w:t xml:space="preserve">Rapport de visite systématique : nombre de visiteurs, profils, retours, recommandations d'ajustement (prix, photos, description). Le bailleur ne subit pas — il pilote.</w:t>
      </w:r>
    </w:p>
    <w:p>
      <w:pPr>
        <w:pStyle w:val="ListParagraph"/>
        <w:numPr>
          <w:ilvl w:val="0"/>
          <w:numId w:val="2"/>
        </w:numPr>
        <w:spacing w:before="30" w:after="30"/>
      </w:pPr>
      <w:r>
        <w:rPr>
          <w:rFonts w:ascii="Arial" w:cs="Arial" w:eastAsia="Arial" w:hAnsi="Arial"/>
          <w:color w:val="1C1C1C"/>
          <w:sz w:val="22"/>
          <w:szCs w:val="22"/>
        </w:rPr>
        <w:t xml:space="preserve">Accompagnement de bout en bout : de la prise de photos (Studio) à la signature du bail (Agents), Vania est présent à chaque étape.</w:t>
      </w:r>
    </w:p>
    <w:p>
      <w:pPr>
        <w:pStyle w:val="ListParagraph"/>
        <w:numPr>
          <w:ilvl w:val="0"/>
          <w:numId w:val="2"/>
        </w:numPr>
        <w:spacing w:before="30" w:after="30"/>
      </w:pPr>
      <w:r>
        <w:rPr>
          <w:rFonts w:ascii="Arial" w:cs="Arial" w:eastAsia="Arial" w:hAnsi="Arial"/>
          <w:color w:val="1C1C1C"/>
          <w:sz w:val="22"/>
          <w:szCs w:val="22"/>
        </w:rPr>
        <w:t xml:space="preserve">Relation locataire transparente : les frais de visite sont expliqués clairement avant la prise de RDV. Aucune surprise. En cas de non-conformité du bien avec l'annonce, remboursement immédiat.</w:t>
      </w:r>
    </w:p>
    <w:p>
      <w:pPr>
        <w:pStyle w:val="ListParagraph"/>
        <w:numPr>
          <w:ilvl w:val="0"/>
          <w:numId w:val="2"/>
        </w:numPr>
        <w:spacing w:before="30" w:after="30"/>
      </w:pPr>
      <w:r>
        <w:rPr>
          <w:rFonts w:ascii="Arial" w:cs="Arial" w:eastAsia="Arial" w:hAnsi="Arial"/>
          <w:color w:val="1C1C1C"/>
          <w:sz w:val="22"/>
          <w:szCs w:val="22"/>
        </w:rPr>
        <w:t xml:space="preserve">Suivi post-location : 30 jours après la signature, l'agent Vania contacte bailleur et locataire pour s'assurer que tout se passe bien. Fidélisation par le service.</w:t>
      </w:r>
    </w:p>
    <w:p>
      <w:pPr>
        <w:pStyle w:val="ListParagraph"/>
        <w:numPr>
          <w:ilvl w:val="0"/>
          <w:numId w:val="2"/>
        </w:numPr>
        <w:spacing w:before="30" w:after="30"/>
      </w:pPr>
      <w:r>
        <w:rPr>
          <w:rFonts w:ascii="Arial" w:cs="Arial" w:eastAsia="Arial" w:hAnsi="Arial"/>
          <w:color w:val="1C1C1C"/>
          <w:sz w:val="22"/>
          <w:szCs w:val="22"/>
        </w:rPr>
        <w:t xml:space="preserve">Pipeline Finance : tout locataire fragilisé financièrement est automatiquement orienté vers la caisse de cotisation du département Finance.</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Sources de Revenus</w:t>
      </w:r>
    </w:p>
    <w:p>
      <w:r>
        <w:t xml:space="preserve"/>
      </w:r>
    </w:p>
    <w:p>
      <w:pPr>
        <w:pBdr>
          <w:bottom w:val="single" w:color="E59898" w:sz="2" w:space="1"/>
        </w:pBdr>
        <w:spacing w:before="180" w:after="60"/>
      </w:pPr>
      <w:r>
        <w:rPr>
          <w:rFonts w:ascii="Arial" w:cs="Arial" w:eastAsia="Arial" w:hAnsi="Arial"/>
          <w:b/>
          <w:bCs/>
          <w:color w:val="922B21"/>
          <w:sz w:val="24"/>
          <w:szCs w:val="24"/>
        </w:rPr>
        <w:t xml:space="preserve">Sources principales : Frais de visite + Commissions (100 % du 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13"/>
        <w:gridCol w:w="3513"/>
      </w:tblGrid>
      <w:tr>
        <w:tc>
          <w:tcPr>
            <w:tcW w:type="dxa" w:w="18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c>
          <w:tcPr>
            <w:tcW w:type="dxa" w:w="17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c>
          <w:tcPr>
            <w:tcW w:type="dxa" w:w="3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MÉCANISME</w:t>
            </w:r>
          </w:p>
        </w:tc>
      </w:tr>
      <w:tr>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Frais de visite</w:t>
            </w:r>
          </w:p>
        </w:tc>
        <w:tc>
          <w:tcPr>
            <w:tcW w:type="dxa" w:w="20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5 000 FCFA</w:t>
            </w:r>
          </w:p>
        </w:tc>
        <w:tc>
          <w:tcPr>
            <w:tcW w:type="dxa" w:w="17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À chaque visite organisée</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Encaissé à l'entrée du bien, avant la visite. Non remboursable sauf non-conformité de l'annonce. Revenu immédiat, indépendant du résultat.</w:t>
            </w:r>
          </w:p>
        </w:tc>
      </w:tr>
      <w:tr>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Commission location</w:t>
            </w:r>
          </w:p>
        </w:tc>
        <w:tc>
          <w:tcPr>
            <w:tcW w:type="dxa" w:w="20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 mois de loyer (moy. 112 500 FCFA)</w:t>
            </w:r>
          </w:p>
        </w:tc>
        <w:tc>
          <w:tcPr>
            <w:tcW w:type="dxa" w:w="17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À chaque bail signé</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Prélevée à la signature du contrat de bail. Versée par le locataire ou déduite du premier loyer selon accord avec le bailleur. Partagée : 70 % Vania, 30 % agent terrain.</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Formule de calcul du CA mensuel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4"/>
              <w:left w:val="single" w:color="922B21" w:sz="4"/>
              <w:bottom w:val="single" w:color="922B21" w:sz="4"/>
              <w:right w:val="single" w:color="922B21" w:sz="4"/>
            </w:tcBorders>
            <w:shd w:fill="FDEDEC" w:val="clear"/>
            <w:tcMar>
              <w:top w:type="dxa" w:w="120"/>
              <w:left w:type="dxa" w:w="200"/>
              <w:bottom w:type="dxa" w:w="120"/>
              <w:right w:type="dxa" w:w="200"/>
            </w:tcMar>
          </w:tcPr>
          <w:p>
            <w:pPr>
              <w:jc w:val="center"/>
            </w:pPr>
            <w:r>
              <w:rPr>
                <w:rFonts w:ascii="Arial" w:cs="Arial" w:eastAsia="Arial" w:hAnsi="Arial"/>
                <w:b/>
                <w:bCs/>
                <w:color w:val="0A0A0A"/>
                <w:sz w:val="24"/>
                <w:szCs w:val="24"/>
              </w:rPr>
              <w:t xml:space="preserve">CA mensuel = (Nb visites × 5 000) + (Nb locations × loyer moyen)</w:t>
            </w:r>
          </w:p>
          <w:p>
            <w:pPr>
              <w:jc w:val="center"/>
            </w:pPr>
            <w:r>
              <w:rPr>
                <w:rFonts w:ascii="Arial" w:cs="Arial" w:eastAsia="Arial" w:hAnsi="Arial"/>
                <w:color w:val="922B21"/>
                <w:sz w:val="20"/>
                <w:szCs w:val="20"/>
              </w:rPr>
              <w:t xml:space="preserve">Exemple M1 : (5 × 5 000) + (2 × 112 500) = 25 000 + 225 000 = 250 000 FCFA</w:t>
            </w:r>
          </w:p>
          <w:p>
            <w:pPr>
              <w:jc w:val="center"/>
            </w:pPr>
            <w:r>
              <w:rPr>
                <w:rFonts w:ascii="Arial" w:cs="Arial" w:eastAsia="Arial" w:hAnsi="Arial"/>
                <w:i/>
                <w:iCs/>
                <w:color w:val="555555"/>
                <w:sz w:val="20"/>
                <w:szCs w:val="20"/>
              </w:rPr>
              <w:t xml:space="preserve">Taux de conversion visites → locations : 40 %  |  Loyer moyen : 112 500 FCFA</w:t>
            </w:r>
          </w:p>
        </w:tc>
      </w:tr>
    </w:tbl>
    <w:p>
      <w:r>
        <w:t xml:space="preserve"/>
      </w:r>
    </w:p>
    <w:p>
      <w:pPr>
        <w:shd w:fill="922B21" w:val="clear"/>
        <w:spacing w:before="80" w:after="80"/>
        <w:ind w:left="160" w:right="160"/>
      </w:pPr>
      <w:r>
        <w:rPr>
          <w:rFonts w:ascii="Arial" w:cs="Arial" w:eastAsia="Arial" w:hAnsi="Arial"/>
          <w:b/>
          <w:bCs/>
          <w:color w:val="FFFFFF"/>
          <w:sz w:val="22"/>
          <w:szCs w:val="22"/>
        </w:rPr>
        <w:t xml:space="preserve">Objectif démarrage M1 : 5 visites + 2 locations = 250 000 FCFA de CA — bénéfice net immédiat de 150 000 FCFA. Point mort atteint dès la 1ère location.</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Ressources Clés</w:t>
      </w:r>
    </w:p>
    <w:p>
      <w:r>
        <w:t xml:space="preserve"/>
      </w:r>
    </w:p>
    <w:p>
      <w:pPr>
        <w:pBdr>
          <w:bottom w:val="single" w:color="E59898" w:sz="2" w:space="1"/>
        </w:pBdr>
        <w:spacing w:before="180" w:after="60"/>
      </w:pPr>
      <w:r>
        <w:rPr>
          <w:rFonts w:ascii="Arial" w:cs="Arial" w:eastAsia="Arial" w:hAnsi="Arial"/>
          <w:b/>
          <w:bCs/>
          <w:color w:val="922B21"/>
          <w:sz w:val="24"/>
          <w:szCs w:val="24"/>
        </w:rPr>
        <w:t xml:space="preserve">Investissement de démarrage : 200 000 FCFA (fonds de roulement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13"/>
        <w:gridCol w:w="3513"/>
      </w:tblGrid>
      <w:tr>
        <w:tc>
          <w:tcPr>
            <w:tcW w:type="dxa" w:w="3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 FCFA</w:t>
            </w:r>
          </w:p>
        </w:tc>
        <w:tc>
          <w:tcPr>
            <w:tcW w:type="dxa" w:w="3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Fonds de roulement (1 mois de charges fixes)</w:t>
            </w:r>
          </w:p>
        </w:tc>
        <w:tc>
          <w:tcPr>
            <w:tcW w:type="dxa" w:w="20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200 000</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Couvre le marketing du 1er mois + déplacements avant les 1ers encaissements. Remboursé dès M1.</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Kit de visite agent (carnet, reçus, tampons, badges)</w:t>
            </w:r>
          </w:p>
        </w:tc>
        <w:tc>
          <w:tcPr>
            <w:tcW w:type="dxa" w:w="20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Inclus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Pris en charge par les ressources existantes de Vania. Coût marginal nul.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Bail type Vania (rédigé par le Consulting)</w:t>
            </w:r>
          </w:p>
        </w:tc>
        <w:tc>
          <w:tcPr>
            <w:tcW w:type="dxa" w:w="20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Inclus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Document mutualisé avec le département Consulting. Aucun coût supplémentaire.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Annonces et photos (Studio Vania)</w:t>
            </w:r>
          </w:p>
        </w:tc>
        <w:tc>
          <w:tcPr>
            <w:tcW w:type="dxa" w:w="20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Inclus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Produites par le Studio dans le cadre de la synergie inter-départements. Coût mutualisé.</w:t>
            </w:r>
          </w:p>
        </w:tc>
      </w:tr>
      <w:tr>
        <w:tc>
          <w:tcPr>
            <w:tcW w:type="dxa" w:w="3500"/>
            <w:tcBorders>
              <w:top w:val="single" w:color="C9A84C" w:sz="4"/>
              <w:left w:val="single" w:color="C9A84C" w:sz="4"/>
              <w:bottom w:val="single" w:color="C9A84C" w:sz="4"/>
              <w:right w:val="single" w:color="C9A84C" w:sz="4"/>
            </w:tcBorders>
            <w:shd w:fill="0A0A0A" w:val="clear"/>
            <w:tcMar>
              <w:top w:type="dxa" w:w="90"/>
              <w:left w:type="dxa" w:w="120"/>
              <w:bottom w:type="dxa" w:w="90"/>
              <w:right w:type="dxa" w:w="120"/>
            </w:tcMar>
          </w:tcPr>
          <w:p>
            <w:r>
              <w:rPr>
                <w:rFonts w:ascii="Arial" w:cs="Arial" w:eastAsia="Arial" w:hAnsi="Arial"/>
                <w:b/>
                <w:bCs/>
                <w:color w:val="FFFFFF"/>
                <w:sz w:val="22"/>
                <w:szCs w:val="22"/>
              </w:rPr>
              <w:t xml:space="preserve">TOTAL INVESTISSEMENT INITIAL</w:t>
            </w:r>
          </w:p>
        </w:tc>
        <w:tc>
          <w:tcPr>
            <w:tcW w:type="dxa" w:w="2013"/>
            <w:tcBorders>
              <w:top w:val="single" w:color="C9A84C" w:sz="4"/>
              <w:left w:val="single" w:color="C9A84C" w:sz="4"/>
              <w:bottom w:val="single" w:color="C9A84C" w:sz="4"/>
              <w:right w:val="single" w:color="C9A84C" w:sz="4"/>
            </w:tcBorders>
            <w:shd w:fill="C9A84C" w:val="clear"/>
            <w:tcMar>
              <w:top w:type="dxa" w:w="90"/>
              <w:left w:type="dxa" w:w="120"/>
              <w:bottom w:type="dxa" w:w="90"/>
              <w:right w:type="dxa" w:w="120"/>
            </w:tcMar>
          </w:tcPr>
          <w:p>
            <w:pPr>
              <w:jc w:val="center"/>
            </w:pPr>
            <w:r>
              <w:rPr>
                <w:rFonts w:ascii="Arial" w:cs="Arial" w:eastAsia="Arial" w:hAnsi="Arial"/>
                <w:b/>
                <w:bCs/>
                <w:color w:val="FFFFFF"/>
                <w:sz w:val="22"/>
                <w:szCs w:val="22"/>
              </w:rPr>
              <w:t xml:space="preserve">200 000 FCFA</w:t>
            </w:r>
          </w:p>
        </w:tc>
        <w:tc>
          <w:tcPr>
            <w:tcW w:type="dxa" w:w="3513"/>
            <w:tcBorders>
              <w:top w:val="single" w:color="C9A84C" w:sz="4"/>
              <w:left w:val="single" w:color="C9A84C" w:sz="4"/>
              <w:bottom w:val="single" w:color="C9A84C" w:sz="4"/>
              <w:right w:val="single" w:color="C9A84C" w:sz="4"/>
            </w:tcBorders>
            <w:shd w:fill="FDF6E3" w:val="clear"/>
            <w:tcMar>
              <w:top w:type="dxa" w:w="90"/>
              <w:left w:type="dxa" w:w="120"/>
              <w:bottom w:type="dxa" w:w="90"/>
              <w:right w:type="dxa" w:w="120"/>
            </w:tcMar>
          </w:tcPr>
          <w:p>
            <w:r>
              <w:rPr>
                <w:rFonts w:ascii="Arial" w:cs="Arial" w:eastAsia="Arial" w:hAnsi="Arial"/>
                <w:color w:val="1C1C1C"/>
                <w:sz w:val="20"/>
                <w:szCs w:val="20"/>
              </w:rPr>
              <w:t xml:space="preserve">Investissement le plus faible des 5 départements. ROI atteint dès M1.</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Ressources humaines</w:t>
      </w:r>
    </w:p>
    <w:p>
      <w:pPr>
        <w:pStyle w:val="ListParagraph"/>
        <w:numPr>
          <w:ilvl w:val="0"/>
          <w:numId w:val="2"/>
        </w:numPr>
        <w:spacing w:before="30" w:after="30"/>
      </w:pPr>
      <w:r>
        <w:rPr>
          <w:rFonts w:ascii="Arial" w:cs="Arial" w:eastAsia="Arial" w:hAnsi="Arial"/>
          <w:color w:val="1C1C1C"/>
          <w:sz w:val="22"/>
          <w:szCs w:val="22"/>
        </w:rPr>
        <w:t xml:space="preserve">Directeur Vania Agents : coordination du portefeuille, relation bailleurs, validation des dossiers locataires, suivi post-location.</w:t>
      </w:r>
    </w:p>
    <w:p>
      <w:pPr>
        <w:pStyle w:val="ListParagraph"/>
        <w:numPr>
          <w:ilvl w:val="0"/>
          <w:numId w:val="2"/>
        </w:numPr>
        <w:spacing w:before="30" w:after="30"/>
      </w:pPr>
      <w:r>
        <w:rPr>
          <w:rFonts w:ascii="Arial" w:cs="Arial" w:eastAsia="Arial" w:hAnsi="Arial"/>
          <w:color w:val="1C1C1C"/>
          <w:sz w:val="22"/>
          <w:szCs w:val="22"/>
        </w:rPr>
        <w:t xml:space="preserve">Agent terrain (1 personne en M1, +1 en M4) : visites accompagnées, encaissement des frais, constitution des dossiers, signature des baux. Rémunéré à la commission (30 % du CA généré).</w:t>
      </w:r>
    </w:p>
    <w:p>
      <w:pPr>
        <w:pStyle w:val="ListParagraph"/>
        <w:numPr>
          <w:ilvl w:val="0"/>
          <w:numId w:val="2"/>
        </w:numPr>
        <w:spacing w:before="30" w:after="30"/>
      </w:pPr>
      <w:r>
        <w:rPr>
          <w:rFonts w:ascii="Arial" w:cs="Arial" w:eastAsia="Arial" w:hAnsi="Arial"/>
          <w:color w:val="1C1C1C"/>
          <w:sz w:val="22"/>
          <w:szCs w:val="22"/>
        </w:rPr>
        <w:t xml:space="preserve">Support Studio : production des photos et annonces des biens référencés — mutualisé avec le département Studio.</w:t>
      </w:r>
    </w:p>
    <w:p>
      <w:pPr>
        <w:pStyle w:val="ListParagraph"/>
        <w:numPr>
          <w:ilvl w:val="0"/>
          <w:numId w:val="2"/>
        </w:numPr>
        <w:spacing w:before="30" w:after="30"/>
      </w:pPr>
      <w:r>
        <w:rPr>
          <w:rFonts w:ascii="Arial" w:cs="Arial" w:eastAsia="Arial" w:hAnsi="Arial"/>
          <w:color w:val="1C1C1C"/>
          <w:sz w:val="22"/>
          <w:szCs w:val="22"/>
        </w:rPr>
        <w:t xml:space="preserve">Support Consulting : rédaction et mise à jour du bail type Vania — mutualisé avec le département Consulting.</w:t>
      </w:r>
    </w:p>
    <w:p>
      <w:r>
        <w:t xml:space="preserve"/>
      </w:r>
    </w:p>
    <w:p>
      <w:pPr>
        <w:pBdr>
          <w:bottom w:val="single" w:color="E59898" w:sz="2" w:space="1"/>
        </w:pBdr>
        <w:spacing w:before="180" w:after="60"/>
      </w:pPr>
      <w:r>
        <w:rPr>
          <w:rFonts w:ascii="Arial" w:cs="Arial" w:eastAsia="Arial" w:hAnsi="Arial"/>
          <w:b/>
          <w:bCs/>
          <w:color w:val="922B21"/>
          <w:sz w:val="24"/>
          <w:szCs w:val="24"/>
        </w:rPr>
        <w:t xml:space="preserve">Ressources immatérielles</w:t>
      </w:r>
    </w:p>
    <w:p>
      <w:pPr>
        <w:pStyle w:val="ListParagraph"/>
        <w:numPr>
          <w:ilvl w:val="0"/>
          <w:numId w:val="2"/>
        </w:numPr>
        <w:spacing w:before="30" w:after="30"/>
      </w:pPr>
      <w:r>
        <w:rPr>
          <w:rFonts w:ascii="Arial" w:cs="Arial" w:eastAsia="Arial" w:hAnsi="Arial"/>
          <w:color w:val="1C1C1C"/>
          <w:sz w:val="22"/>
          <w:szCs w:val="22"/>
        </w:rPr>
        <w:t xml:space="preserve">Le portefeuille de biens Vania Agents : actif croissant — chaque bien référencé augmente le stock disponible et la capacité de revenus.</w:t>
      </w:r>
    </w:p>
    <w:p>
      <w:pPr>
        <w:pStyle w:val="ListParagraph"/>
        <w:numPr>
          <w:ilvl w:val="0"/>
          <w:numId w:val="2"/>
        </w:numPr>
        <w:spacing w:before="30" w:after="30"/>
      </w:pPr>
      <w:r>
        <w:rPr>
          <w:rFonts w:ascii="Arial" w:cs="Arial" w:eastAsia="Arial" w:hAnsi="Arial"/>
          <w:color w:val="1C1C1C"/>
          <w:sz w:val="22"/>
          <w:szCs w:val="22"/>
        </w:rPr>
        <w:t xml:space="preserve">La base de données locataires qualifiés : constituée progressivement, elle permet de réduire le délai de location pour les biens entrants.</w:t>
      </w:r>
    </w:p>
    <w:p>
      <w:pPr>
        <w:pStyle w:val="ListParagraph"/>
        <w:numPr>
          <w:ilvl w:val="0"/>
          <w:numId w:val="2"/>
        </w:numPr>
        <w:spacing w:before="30" w:after="30"/>
      </w:pPr>
      <w:r>
        <w:rPr>
          <w:rFonts w:ascii="Arial" w:cs="Arial" w:eastAsia="Arial" w:hAnsi="Arial"/>
          <w:color w:val="1C1C1C"/>
          <w:sz w:val="22"/>
          <w:szCs w:val="22"/>
        </w:rPr>
        <w:t xml:space="preserve">La réputation Vania sur le marché locatif local : construite visite après visite, location après location.</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Activités Clés</w:t>
      </w:r>
    </w:p>
    <w:p>
      <w:r>
        <w:t xml:space="preserve"/>
      </w:r>
    </w:p>
    <w:p>
      <w:pPr>
        <w:pStyle w:val="ListParagraph"/>
        <w:numPr>
          <w:ilvl w:val="0"/>
          <w:numId w:val="2"/>
        </w:numPr>
        <w:spacing w:before="30" w:after="30"/>
      </w:pPr>
      <w:r>
        <w:rPr>
          <w:rFonts w:ascii="Arial" w:cs="Arial" w:eastAsia="Arial" w:hAnsi="Arial"/>
          <w:color w:val="1C1C1C"/>
          <w:sz w:val="22"/>
          <w:szCs w:val="22"/>
        </w:rPr>
        <w:t xml:space="preserve">Référencement quotidien de nouveaux biens bailleurs : formulaire, vérification conformité Standard Vania, coordination shooting Studio.</w:t>
      </w:r>
    </w:p>
    <w:p>
      <w:pPr>
        <w:pStyle w:val="ListParagraph"/>
        <w:numPr>
          <w:ilvl w:val="0"/>
          <w:numId w:val="2"/>
        </w:numPr>
        <w:spacing w:before="30" w:after="30"/>
      </w:pPr>
      <w:r>
        <w:rPr>
          <w:rFonts w:ascii="Arial" w:cs="Arial" w:eastAsia="Arial" w:hAnsi="Arial"/>
          <w:color w:val="1C1C1C"/>
          <w:sz w:val="22"/>
          <w:szCs w:val="22"/>
        </w:rPr>
        <w:t xml:space="preserve">Publication et mise à jour des annonces sur toutes les plateformes : Facebook, WhatsApp, Afrikimmo, Jumia House.</w:t>
      </w:r>
    </w:p>
    <w:p>
      <w:pPr>
        <w:pStyle w:val="ListParagraph"/>
        <w:numPr>
          <w:ilvl w:val="0"/>
          <w:numId w:val="2"/>
        </w:numPr>
        <w:spacing w:before="30" w:after="30"/>
      </w:pPr>
      <w:r>
        <w:rPr>
          <w:rFonts w:ascii="Arial" w:cs="Arial" w:eastAsia="Arial" w:hAnsi="Arial"/>
          <w:color w:val="1C1C1C"/>
          <w:sz w:val="22"/>
          <w:szCs w:val="22"/>
        </w:rPr>
        <w:t xml:space="preserve">Organisation et réalisation des visites accompagnées : confirmation RDV, encaissement frais, présentation professionnelle du bien, compte-rendu 24h.</w:t>
      </w:r>
    </w:p>
    <w:p>
      <w:pPr>
        <w:pStyle w:val="ListParagraph"/>
        <w:numPr>
          <w:ilvl w:val="0"/>
          <w:numId w:val="2"/>
        </w:numPr>
        <w:spacing w:before="30" w:after="30"/>
      </w:pPr>
      <w:r>
        <w:rPr>
          <w:rFonts w:ascii="Arial" w:cs="Arial" w:eastAsia="Arial" w:hAnsi="Arial"/>
          <w:color w:val="1C1C1C"/>
          <w:sz w:val="22"/>
          <w:szCs w:val="22"/>
        </w:rPr>
        <w:t xml:space="preserve">Qualification des dossiers locataires : vérification des pièces, évaluation de la solvabilité, orientation vers Finance si nécessaire.</w:t>
      </w:r>
    </w:p>
    <w:p>
      <w:pPr>
        <w:pStyle w:val="ListParagraph"/>
        <w:numPr>
          <w:ilvl w:val="0"/>
          <w:numId w:val="2"/>
        </w:numPr>
        <w:spacing w:before="30" w:after="30"/>
      </w:pPr>
      <w:r>
        <w:rPr>
          <w:rFonts w:ascii="Arial" w:cs="Arial" w:eastAsia="Arial" w:hAnsi="Arial"/>
          <w:color w:val="1C1C1C"/>
          <w:sz w:val="22"/>
          <w:szCs w:val="22"/>
        </w:rPr>
        <w:t xml:space="preserve">Accompagnement de la signature du bail : négociation si nécessaire, proposition du bail type Vania, perception de la commission.</w:t>
      </w:r>
    </w:p>
    <w:p>
      <w:pPr>
        <w:pStyle w:val="ListParagraph"/>
        <w:numPr>
          <w:ilvl w:val="0"/>
          <w:numId w:val="2"/>
        </w:numPr>
        <w:spacing w:before="30" w:after="30"/>
      </w:pPr>
      <w:r>
        <w:rPr>
          <w:rFonts w:ascii="Arial" w:cs="Arial" w:eastAsia="Arial" w:hAnsi="Arial"/>
          <w:color w:val="1C1C1C"/>
          <w:sz w:val="22"/>
          <w:szCs w:val="22"/>
        </w:rPr>
        <w:t xml:space="preserve">Rapport mensuel bailleur : bilan des visites, profils visiteurs, recommandations d'ajustement.</w:t>
      </w:r>
    </w:p>
    <w:p>
      <w:pPr>
        <w:pStyle w:val="ListParagraph"/>
        <w:numPr>
          <w:ilvl w:val="0"/>
          <w:numId w:val="2"/>
        </w:numPr>
        <w:spacing w:before="30" w:after="30"/>
      </w:pPr>
      <w:r>
        <w:rPr>
          <w:rFonts w:ascii="Arial" w:cs="Arial" w:eastAsia="Arial" w:hAnsi="Arial"/>
          <w:color w:val="1C1C1C"/>
          <w:sz w:val="22"/>
          <w:szCs w:val="22"/>
        </w:rPr>
        <w:t xml:space="preserve">Suivi post-location J+30 : contact bailleur et locataire pour s'assurer de la bonne prise en charge.</w:t>
      </w:r>
    </w:p>
    <w:p>
      <w:pPr>
        <w:pStyle w:val="ListParagraph"/>
        <w:numPr>
          <w:ilvl w:val="0"/>
          <w:numId w:val="2"/>
        </w:numPr>
        <w:spacing w:before="30" w:after="30"/>
      </w:pPr>
      <w:r>
        <w:rPr>
          <w:rFonts w:ascii="Arial" w:cs="Arial" w:eastAsia="Arial" w:hAnsi="Arial"/>
          <w:color w:val="1C1C1C"/>
          <w:sz w:val="22"/>
          <w:szCs w:val="22"/>
        </w:rPr>
        <w:t xml:space="preserve">Gestion et mise à jour du portefeuille : retrait des biens loués, ajout des nouveaux, actualisation des prix.</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Partenaires Clés</w:t>
      </w:r>
    </w:p>
    <w:p>
      <w:r>
        <w:t xml:space="preserve"/>
      </w:r>
    </w:p>
    <w:p>
      <w:pPr>
        <w:pStyle w:val="ListParagraph"/>
        <w:numPr>
          <w:ilvl w:val="0"/>
          <w:numId w:val="2"/>
        </w:numPr>
        <w:spacing w:before="30" w:after="30"/>
      </w:pPr>
      <w:r>
        <w:rPr>
          <w:rFonts w:ascii="Arial" w:cs="Arial" w:eastAsia="Arial" w:hAnsi="Arial"/>
          <w:color w:val="1C1C1C"/>
          <w:sz w:val="22"/>
          <w:szCs w:val="22"/>
        </w:rPr>
        <w:t xml:space="preserve">Département Consulting Vania : principale source d'apport de bailleurs qualifiés et conformes au Standard Vania.</w:t>
      </w:r>
    </w:p>
    <w:p>
      <w:pPr>
        <w:pStyle w:val="ListParagraph"/>
        <w:numPr>
          <w:ilvl w:val="0"/>
          <w:numId w:val="2"/>
        </w:numPr>
        <w:spacing w:before="30" w:after="30"/>
      </w:pPr>
      <w:r>
        <w:rPr>
          <w:rFonts w:ascii="Arial" w:cs="Arial" w:eastAsia="Arial" w:hAnsi="Arial"/>
          <w:color w:val="1C1C1C"/>
          <w:sz w:val="22"/>
          <w:szCs w:val="22"/>
        </w:rPr>
        <w:t xml:space="preserve">Département Studio Vania : production des photos et annonces de chaque bien référencé — qualité garantie.</w:t>
      </w:r>
    </w:p>
    <w:p>
      <w:pPr>
        <w:pStyle w:val="ListParagraph"/>
        <w:numPr>
          <w:ilvl w:val="0"/>
          <w:numId w:val="2"/>
        </w:numPr>
        <w:spacing w:before="30" w:after="30"/>
      </w:pPr>
      <w:r>
        <w:rPr>
          <w:rFonts w:ascii="Arial" w:cs="Arial" w:eastAsia="Arial" w:hAnsi="Arial"/>
          <w:color w:val="1C1C1C"/>
          <w:sz w:val="22"/>
          <w:szCs w:val="22"/>
        </w:rPr>
        <w:t xml:space="preserve">Département Finance Vania : orientation des locataires fragilisés financièrement vers la caisse de cotisation — sécurisation des paiements.</w:t>
      </w:r>
    </w:p>
    <w:p>
      <w:pPr>
        <w:pStyle w:val="ListParagraph"/>
        <w:numPr>
          <w:ilvl w:val="0"/>
          <w:numId w:val="2"/>
        </w:numPr>
        <w:spacing w:before="30" w:after="30"/>
      </w:pPr>
      <w:r>
        <w:rPr>
          <w:rFonts w:ascii="Arial" w:cs="Arial" w:eastAsia="Arial" w:hAnsi="Arial"/>
          <w:color w:val="1C1C1C"/>
          <w:sz w:val="22"/>
          <w:szCs w:val="22"/>
        </w:rPr>
        <w:t xml:space="preserve">Plateformes immobilières locales (Afrikimmo, Jumia House, Facebook Marketplace) : diffusion des annonces à grande échelle.</w:t>
      </w:r>
    </w:p>
    <w:p>
      <w:pPr>
        <w:pStyle w:val="ListParagraph"/>
        <w:numPr>
          <w:ilvl w:val="0"/>
          <w:numId w:val="2"/>
        </w:numPr>
        <w:spacing w:before="30" w:after="30"/>
      </w:pPr>
      <w:r>
        <w:rPr>
          <w:rFonts w:ascii="Arial" w:cs="Arial" w:eastAsia="Arial" w:hAnsi="Arial"/>
          <w:color w:val="1C1C1C"/>
          <w:sz w:val="22"/>
          <w:szCs w:val="22"/>
        </w:rPr>
        <w:t xml:space="preserve">Notaires et huissiers locaux : pour les baux nécessitant une légalisation ou un enregistrement officiel.</w:t>
      </w:r>
    </w:p>
    <w:p>
      <w:pPr>
        <w:pStyle w:val="ListParagraph"/>
        <w:numPr>
          <w:ilvl w:val="0"/>
          <w:numId w:val="2"/>
        </w:numPr>
        <w:spacing w:before="30" w:after="30"/>
      </w:pPr>
      <w:r>
        <w:rPr>
          <w:rFonts w:ascii="Arial" w:cs="Arial" w:eastAsia="Arial" w:hAnsi="Arial"/>
          <w:color w:val="1C1C1C"/>
          <w:sz w:val="22"/>
          <w:szCs w:val="22"/>
        </w:rPr>
        <w:t xml:space="preserve">Opérateurs Mobile Money (Orange Money, MTN MoMo) : encaissement des frais de visite et des commissions à distance.</w:t>
      </w:r>
    </w:p>
    <w:p>
      <w:pPr>
        <w:pStyle w:val="ListParagraph"/>
        <w:numPr>
          <w:ilvl w:val="0"/>
          <w:numId w:val="2"/>
        </w:numPr>
        <w:spacing w:before="30" w:after="30"/>
      </w:pPr>
      <w:r>
        <w:rPr>
          <w:rFonts w:ascii="Arial" w:cs="Arial" w:eastAsia="Arial" w:hAnsi="Arial"/>
          <w:color w:val="1C1C1C"/>
          <w:sz w:val="22"/>
          <w:szCs w:val="22"/>
        </w:rPr>
        <w:t xml:space="preserve">Associations de propriétaires et groupes WhatsApp immobiliers : réseau d'accès aux bailleurs hors portefeuille Consulting.</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Structure de Coûts</w:t>
      </w:r>
    </w:p>
    <w:p>
      <w:r>
        <w:t xml:space="preserve"/>
      </w:r>
    </w:p>
    <w:p>
      <w:pPr>
        <w:pBdr>
          <w:bottom w:val="single" w:color="E59898" w:sz="2" w:space="1"/>
        </w:pBdr>
        <w:spacing w:before="180" w:after="60"/>
      </w:pPr>
      <w:r>
        <w:rPr>
          <w:rFonts w:ascii="Arial" w:cs="Arial" w:eastAsia="Arial" w:hAnsi="Arial"/>
          <w:b/>
          <w:bCs/>
          <w:color w:val="922B21"/>
          <w:sz w:val="24"/>
          <w:szCs w:val="24"/>
        </w:rPr>
        <w:t xml:space="preserve">Charges fixes mensuelles : 15 000 FCFA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013"/>
        <w:gridCol w:w="2500"/>
      </w:tblGrid>
      <w:tr>
        <w:tc>
          <w:tcPr>
            <w:tcW w:type="dxa" w:w="4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 FCFA</w:t>
            </w:r>
          </w:p>
        </w:tc>
        <w:tc>
          <w:tcPr>
            <w:tcW w:type="dxa" w:w="2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Marketing &amp; boost publications Facebook/Instagram</w:t>
            </w:r>
          </w:p>
        </w:tc>
        <w:tc>
          <w:tcPr>
            <w:tcW w:type="dxa" w:w="20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15 000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Boost payant des biens les plus longs à louer. Ciblage géographique précis.</w:t>
            </w:r>
          </w:p>
        </w:tc>
      </w:tr>
      <w:tr>
        <w:tc>
          <w:tcPr>
            <w:tcW w:type="dxa" w:w="4513"/>
            <w:tcBorders>
              <w:top w:val="single" w:color="C9A84C" w:sz="4"/>
              <w:left w:val="single" w:color="C9A84C" w:sz="4"/>
              <w:bottom w:val="single" w:color="C9A84C" w:sz="4"/>
              <w:right w:val="single" w:color="C9A84C" w:sz="4"/>
            </w:tcBorders>
            <w:shd w:fill="0A0A0A" w:val="clear"/>
            <w:tcMar>
              <w:top w:type="dxa" w:w="90"/>
              <w:left w:type="dxa" w:w="120"/>
              <w:bottom w:type="dxa" w:w="90"/>
              <w:right w:type="dxa" w:w="120"/>
            </w:tcMar>
          </w:tcPr>
          <w:p>
            <w:r>
              <w:rPr>
                <w:rFonts w:ascii="Arial" w:cs="Arial" w:eastAsia="Arial" w:hAnsi="Arial"/>
                <w:b/>
                <w:bCs/>
                <w:color w:val="FFFFFF"/>
                <w:sz w:val="22"/>
                <w:szCs w:val="22"/>
              </w:rPr>
              <w:t xml:space="preserve">TOTAL FIXES MENSUELS</w:t>
            </w:r>
          </w:p>
        </w:tc>
        <w:tc>
          <w:tcPr>
            <w:tcW w:type="dxa" w:w="2013"/>
            <w:tcBorders>
              <w:top w:val="single" w:color="C9A84C" w:sz="4"/>
              <w:left w:val="single" w:color="C9A84C" w:sz="4"/>
              <w:bottom w:val="single" w:color="C9A84C" w:sz="4"/>
              <w:right w:val="single" w:color="C9A84C" w:sz="4"/>
            </w:tcBorders>
            <w:shd w:fill="C9A84C" w:val="clear"/>
            <w:tcMar>
              <w:top w:type="dxa" w:w="90"/>
              <w:left w:type="dxa" w:w="120"/>
              <w:bottom w:type="dxa" w:w="90"/>
              <w:right w:type="dxa" w:w="120"/>
            </w:tcMar>
          </w:tcPr>
          <w:p>
            <w:pPr>
              <w:jc w:val="center"/>
            </w:pPr>
            <w:r>
              <w:rPr>
                <w:rFonts w:ascii="Arial" w:cs="Arial" w:eastAsia="Arial" w:hAnsi="Arial"/>
                <w:b/>
                <w:bCs/>
                <w:color w:val="FFFFFF"/>
                <w:sz w:val="22"/>
                <w:szCs w:val="22"/>
              </w:rPr>
              <w:t xml:space="preserve">15 000 FCFA</w:t>
            </w:r>
          </w:p>
        </w:tc>
        <w:tc>
          <w:tcPr>
            <w:tcW w:type="dxa" w:w="2500"/>
            <w:tcBorders>
              <w:top w:val="single" w:color="C9A84C" w:sz="4"/>
              <w:left w:val="single" w:color="C9A84C" w:sz="4"/>
              <w:bottom w:val="single" w:color="C9A84C" w:sz="4"/>
              <w:right w:val="single" w:color="C9A84C" w:sz="4"/>
            </w:tcBorders>
            <w:shd w:fill="FDF6E3" w:val="clear"/>
            <w:tcMar>
              <w:top w:type="dxa" w:w="90"/>
              <w:left w:type="dxa" w:w="120"/>
              <w:bottom w:type="dxa" w:w="90"/>
              <w:right w:type="dxa" w:w="120"/>
            </w:tcMar>
          </w:tcPr>
          <w:p>
            <w:r>
              <w:rPr>
                <w:rFonts w:ascii="Arial" w:cs="Arial" w:eastAsia="Arial" w:hAnsi="Arial"/>
                <w:color w:val="1C1C1C"/>
                <w:sz w:val="20"/>
                <w:szCs w:val="20"/>
              </w:rPr>
              <w:t xml:space="preserve">Charges fixes les plus basses des 5 départements</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Charges variables : 32 % du CA environ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013"/>
        <w:gridCol w:w="2500"/>
      </w:tblGrid>
      <w:tr>
        <w:tc>
          <w:tcPr>
            <w:tcW w:type="dxa" w:w="4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TAUX / MONTANT</w:t>
            </w:r>
          </w:p>
        </w:tc>
        <w:tc>
          <w:tcPr>
            <w:tcW w:type="dxa" w:w="2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 agent terrain</w:t>
            </w:r>
          </w:p>
        </w:tc>
        <w:tc>
          <w:tcPr>
            <w:tcW w:type="dxa" w:w="20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30 % du CA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Rémunération variable de l'agent qui réalise les visites et accompagne les signatures. Modèle à la performance — plus il vend, plus il gagne.</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déplacement terrain</w:t>
            </w:r>
          </w:p>
        </w:tc>
        <w:tc>
          <w:tcPr>
            <w:tcW w:type="dxa" w:w="20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2 000 FCFA / visite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Transport de l'agent vers les biens : moto, taxi, carburant. Environ 2 000 FCFA par visite toutes distances confondues.</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Impôts et taxes</w:t>
      </w:r>
    </w:p>
    <w:p>
      <w:pPr>
        <w:spacing w:before="40" w:after="40"/>
      </w:pPr>
      <w:r>
        <w:rPr>
          <w:rFonts w:ascii="Arial" w:cs="Arial" w:eastAsia="Arial" w:hAnsi="Arial"/>
          <w:b w:val="false"/>
          <w:bCs w:val="false"/>
          <w:color w:val="1C1C1C"/>
          <w:sz w:val="22"/>
          <w:szCs w:val="22"/>
        </w:rPr>
        <w:t xml:space="preserve">Régime libératoire ou IGS selon le chiffre d'affaires annuel : estimé à 2 % du CA annuel = 312 550 FCFA/an, soit 26 000 FCFA/mois en provision mensuelle.</w:t>
      </w:r>
    </w:p>
    <w:p>
      <w:r>
        <w:t xml:space="preserve"/>
      </w:r>
    </w:p>
    <w:p>
      <w:pPr>
        <w:pBdr>
          <w:left w:val="single" w:color="922B21" w:sz="12" w:space="2"/>
        </w:pBdr>
        <w:spacing w:before="80" w:after="160"/>
        <w:ind w:left="280" w:right="280"/>
      </w:pPr>
      <w:r>
        <w:rPr>
          <w:rFonts w:ascii="Arial" w:cs="Arial" w:eastAsia="Arial" w:hAnsi="Arial"/>
          <w:i/>
          <w:iCs/>
          <w:color w:val="555555"/>
          <w:sz w:val="22"/>
          <w:szCs w:val="22"/>
        </w:rPr>
        <w:t xml:space="preserve">Avantage structurel majeur : VANIA AGENTS est un modèle d'intermédiation pure. Il n'y a aucun stock, aucun bien à acheter, aucune infrastructure physique. Les seules charges variables sont la commission de l'agent et les déplacements. C'est pourquoi la marge nette atteint 65 % dès le premier mois.</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Synthèse Financière</w:t>
      </w:r>
    </w:p>
    <w:p>
      <w:r>
        <w:t xml:space="preserve"/>
      </w:r>
    </w:p>
    <w:p>
      <w:pPr>
        <w:pBdr>
          <w:bottom w:val="single" w:color="E59898" w:sz="2" w:space="1"/>
        </w:pBdr>
        <w:spacing w:before="180" w:after="60"/>
      </w:pPr>
      <w:r>
        <w:rPr>
          <w:rFonts w:ascii="Arial" w:cs="Arial" w:eastAsia="Arial" w:hAnsi="Arial"/>
          <w:b/>
          <w:bCs/>
          <w:color w:val="922B21"/>
          <w:sz w:val="24"/>
          <w:szCs w:val="24"/>
        </w:rPr>
        <w:t xml:space="preserve">Indicateurs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2513"/>
        <w:gridCol w:w="2000"/>
        <w:gridCol w:w="2000"/>
      </w:tblGrid>
      <w:tr>
        <w:tc>
          <w:tcPr>
            <w:tcW w:type="dxa" w:w="2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5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w:t>
            </w:r>
          </w:p>
        </w:tc>
        <w:tc>
          <w:tcPr>
            <w:tcW w:type="dxa" w:w="2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PÉRIODE</w:t>
            </w:r>
          </w:p>
        </w:tc>
        <w:tc>
          <w:tcPr>
            <w:tcW w:type="dxa" w:w="2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démarrage (M1)</w:t>
            </w:r>
          </w:p>
        </w:tc>
        <w:tc>
          <w:tcPr>
            <w:tcW w:type="dxa" w:w="25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250 000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Mois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visites + 2 locations</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Point mort mensuel</w:t>
            </w:r>
          </w:p>
        </w:tc>
        <w:tc>
          <w:tcPr>
            <w:tcW w:type="dxa" w:w="25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Mois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Dès M1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1ère location = 112 500 FCFA &gt; fixes</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Bénéfice net M1</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150 000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Mois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Rentable immédiatement</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fin d'année (M12)</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2 377 500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Mois 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48 visites + 19 locations</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total Année 1</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15 627 500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12 mois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313 visites + 125 locations</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Bénéfice net après impôts</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9 820 700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Annuel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Marge nette 63 %</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Trésorerie fin Année 1</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10 333 250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Mois 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Positive dès M1, jamais négative</w:t>
            </w:r>
          </w:p>
        </w:tc>
      </w:tr>
      <w:tr>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Potentiel Année 2</w:t>
            </w:r>
          </w:p>
        </w:tc>
        <w:tc>
          <w:tcPr>
            <w:tcW w:type="dxa" w:w="25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&gt; 30 000 000 FCFA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Annuel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agents + extension géographique</w:t>
            </w:r>
          </w:p>
        </w:tc>
      </w:tr>
    </w:tbl>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Compte d'Exploitation Prévisionnel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13"/>
        <w:gridCol w:w="1613"/>
        <w:gridCol w:w="2200"/>
      </w:tblGrid>
      <w:tr>
        <w:tc>
          <w:tcPr>
            <w:tcW w:type="dxa" w:w="32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 ANNUEL</w:t>
            </w:r>
          </w:p>
        </w:tc>
        <w:tc>
          <w:tcPr>
            <w:tcW w:type="dxa" w:w="16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DU CA</w:t>
            </w:r>
          </w:p>
        </w:tc>
        <w:tc>
          <w:tcPr>
            <w:tcW w:type="dxa" w:w="22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COMMENTAIRES</w:t>
            </w:r>
          </w:p>
        </w:tc>
      </w:tr>
      <w:tr>
        <w:tc>
          <w:tcPr>
            <w:tcW w:type="dxa" w:w="3200"/>
            <w:tcBorders>
              <w:top w:val="single" w:color="CCCCCC" w:sz="4"/>
              <w:left w:val="single" w:color="CCCCCC" w:sz="4"/>
              <w:bottom w:val="single" w:color="CCCCCC" w:sz="4"/>
              <w:right w:val="single" w:color="CCCCCC" w:sz="4"/>
            </w:tcBorders>
            <w:shd w:fill="E9F7EF" w:val="clear"/>
            <w:tcMar>
              <w:top w:type="dxa" w:w="90"/>
              <w:left w:type="dxa" w:w="120"/>
              <w:bottom w:type="dxa" w:w="90"/>
              <w:right w:type="dxa" w:w="120"/>
            </w:tcMar>
          </w:tcPr>
          <w:p>
            <w:r>
              <w:rPr>
                <w:rFonts w:ascii="Arial" w:cs="Arial" w:eastAsia="Arial" w:hAnsi="Arial"/>
                <w:b/>
                <w:bCs/>
                <w:color w:val="1E8449"/>
                <w:sz w:val="22"/>
                <w:szCs w:val="22"/>
              </w:rPr>
              <w:t xml:space="preserve">Chiffre d'affaires</w:t>
            </w:r>
          </w:p>
        </w:tc>
        <w:tc>
          <w:tcPr>
            <w:tcW w:type="dxa" w:w="20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15 627 500</w:t>
            </w:r>
          </w:p>
        </w:tc>
        <w:tc>
          <w:tcPr>
            <w:tcW w:type="dxa" w:w="16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100 %</w:t>
            </w:r>
          </w:p>
        </w:tc>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313 visites + 125 locations sur 12 mois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visite (CA visites)</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1 565 000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5 000 FCFA × 313 visites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Commissions location (CA commissions)</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14 062 500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90 %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112 500 FCFA × 125 locations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Commission agent terrain (30 % du CA)</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-4 688 250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-30 %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Rémunération variable à la performance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Frais de déplacement (2 000 FCFA/visite)</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-626 000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2 000 FCFA × 313 visites</w:t>
            </w:r>
          </w:p>
        </w:tc>
      </w:tr>
      <w:tr>
        <w:tc>
          <w:tcPr>
            <w:tcW w:type="dxa" w:w="3200"/>
            <w:tcBorders>
              <w:top w:val="single" w:color="CCCCCC" w:sz="4"/>
              <w:left w:val="single" w:color="CCCCCC" w:sz="4"/>
              <w:bottom w:val="single" w:color="CCCCCC" w:sz="4"/>
              <w:right w:val="single" w:color="CCCCCC" w:sz="4"/>
            </w:tcBorders>
            <w:shd w:fill="FDEDEC" w:val="clear"/>
            <w:tcMar>
              <w:top w:type="dxa" w:w="90"/>
              <w:left w:type="dxa" w:w="120"/>
              <w:bottom w:type="dxa" w:w="90"/>
              <w:right w:type="dxa" w:w="120"/>
            </w:tcMar>
          </w:tcPr>
          <w:p>
            <w:r>
              <w:rPr>
                <w:rFonts w:ascii="Arial" w:cs="Arial" w:eastAsia="Arial" w:hAnsi="Arial"/>
                <w:b/>
                <w:bCs/>
                <w:color w:val="922B21"/>
                <w:sz w:val="22"/>
                <w:szCs w:val="22"/>
              </w:rPr>
              <w:t xml:space="preserve">Marge brute</w:t>
            </w:r>
          </w:p>
        </w:tc>
        <w:tc>
          <w:tcPr>
            <w:tcW w:type="dxa" w:w="20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10 313 250</w:t>
            </w:r>
          </w:p>
        </w:tc>
        <w:tc>
          <w:tcPr>
            <w:tcW w:type="dxa" w:w="161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66 %</w:t>
            </w:r>
          </w:p>
        </w:tc>
        <w:tc>
          <w:tcPr>
            <w:tcW w:type="dxa" w:w="22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Très élevée — intermédiation pure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Charges fixes (marketing 15 000 × 12)</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-180 000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Boost Facebook/Instagram annuel</w:t>
            </w:r>
          </w:p>
        </w:tc>
      </w:tr>
      <w:tr>
        <w:tc>
          <w:tcPr>
            <w:tcW w:type="dxa" w:w="3200"/>
            <w:tcBorders>
              <w:top w:val="single" w:color="CCCCCC" w:sz="4"/>
              <w:left w:val="single" w:color="CCCCCC" w:sz="4"/>
              <w:bottom w:val="single" w:color="CCCCCC" w:sz="4"/>
              <w:right w:val="single" w:color="CCCCCC" w:sz="4"/>
            </w:tcBorders>
            <w:shd w:fill="E9F7EF" w:val="clear"/>
            <w:tcMar>
              <w:top w:type="dxa" w:w="90"/>
              <w:left w:type="dxa" w:w="120"/>
              <w:bottom w:type="dxa" w:w="90"/>
              <w:right w:type="dxa" w:w="120"/>
            </w:tcMar>
          </w:tcPr>
          <w:p>
            <w:r>
              <w:rPr>
                <w:rFonts w:ascii="Arial" w:cs="Arial" w:eastAsia="Arial" w:hAnsi="Arial"/>
                <w:b/>
                <w:bCs/>
                <w:color w:val="1E8449"/>
                <w:sz w:val="22"/>
                <w:szCs w:val="22"/>
              </w:rPr>
              <w:t xml:space="preserve">Résultat d'exploitation</w:t>
            </w:r>
          </w:p>
        </w:tc>
        <w:tc>
          <w:tcPr>
            <w:tcW w:type="dxa" w:w="20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10 133 250</w:t>
            </w:r>
          </w:p>
        </w:tc>
        <w:tc>
          <w:tcPr>
            <w:tcW w:type="dxa" w:w="16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+65 %</w:t>
            </w:r>
          </w:p>
        </w:tc>
        <w:tc>
          <w:tcPr>
            <w:tcW w:type="dxa" w:w="22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Bénéfice opérationnel avant impôts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Impôts et taxes (~2 % du CA)</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-312 550</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Libératoire simplifié / IGS</w:t>
            </w:r>
          </w:p>
        </w:tc>
      </w:tr>
      <w:tr>
        <w:tc>
          <w:tcPr>
            <w:tcW w:type="dxa" w:w="3200"/>
            <w:tcBorders>
              <w:top w:val="single" w:color="C9A84C" w:sz="4"/>
              <w:left w:val="single" w:color="C9A84C" w:sz="4"/>
              <w:bottom w:val="single" w:color="C9A84C" w:sz="4"/>
              <w:right w:val="single" w:color="C9A84C" w:sz="4"/>
            </w:tcBorders>
            <w:shd w:fill="0A0A0A" w:val="clear"/>
            <w:tcMar>
              <w:top w:type="dxa" w:w="100"/>
              <w:left w:type="dxa" w:w="120"/>
              <w:bottom w:type="dxa" w:w="100"/>
              <w:right w:type="dxa" w:w="120"/>
            </w:tcMar>
          </w:tcPr>
          <w:p>
            <w:r>
              <w:rPr>
                <w:rFonts w:ascii="Arial" w:cs="Arial" w:eastAsia="Arial" w:hAnsi="Arial"/>
                <w:b/>
                <w:bCs/>
                <w:color w:val="FFFFFF"/>
                <w:sz w:val="22"/>
                <w:szCs w:val="22"/>
              </w:rPr>
              <w:t xml:space="preserve">BÉNÉFICE NET CUMULÉ ANNÉE 1</w:t>
            </w:r>
          </w:p>
        </w:tc>
        <w:tc>
          <w:tcPr>
            <w:tcW w:type="dxa" w:w="2013"/>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9 820 700 FCFA</w:t>
            </w:r>
          </w:p>
        </w:tc>
        <w:tc>
          <w:tcPr>
            <w:tcW w:type="dxa" w:w="1613"/>
            <w:tcBorders>
              <w:top w:val="single" w:color="C9A84C" w:sz="4"/>
              <w:left w:val="single" w:color="C9A84C" w:sz="4"/>
              <w:bottom w:val="single" w:color="C9A84C" w:sz="4"/>
              <w:right w:val="single" w:color="C9A84C" w:sz="4"/>
            </w:tcBorders>
            <w:shd w:fill="C9A84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~63 %</w:t>
            </w:r>
          </w:p>
        </w:tc>
        <w:tc>
          <w:tcPr>
            <w:tcW w:type="dxa" w:w="2200"/>
            <w:tcBorders>
              <w:top w:val="single" w:color="C9A84C" w:sz="4"/>
              <w:left w:val="single" w:color="C9A84C" w:sz="4"/>
              <w:bottom w:val="single" w:color="C9A84C" w:sz="4"/>
              <w:right w:val="single" w:color="C9A84C" w:sz="4"/>
            </w:tcBorders>
            <w:shd w:fill="FDF6E3" w:val="clear"/>
            <w:tcMar>
              <w:top w:type="dxa" w:w="100"/>
              <w:left w:type="dxa" w:w="120"/>
              <w:bottom w:type="dxa" w:w="100"/>
              <w:right w:type="dxa" w:w="120"/>
            </w:tcMar>
          </w:tcPr>
          <w:p>
            <w:r>
              <w:rPr>
                <w:rFonts w:ascii="Arial" w:cs="Arial" w:eastAsia="Arial" w:hAnsi="Arial"/>
                <w:color w:val="1C1C1C"/>
                <w:sz w:val="20"/>
                <w:szCs w:val="20"/>
              </w:rPr>
              <w:t xml:space="preserve">Après impôts — meilleur résultat Vania</w:t>
            </w:r>
          </w:p>
        </w:tc>
      </w:tr>
    </w:tbl>
    <w:p>
      <w:r>
        <w:t xml:space="preserve"/>
      </w:r>
    </w:p>
    <w:p>
      <w:pPr>
        <w:pBdr>
          <w:left w:val="single" w:color="C9A84C" w:sz="12" w:space="2"/>
        </w:pBdr>
        <w:spacing w:before="80" w:after="160"/>
        <w:ind w:left="280" w:right="280"/>
      </w:pPr>
      <w:r>
        <w:rPr>
          <w:rFonts w:ascii="Arial" w:cs="Arial" w:eastAsia="Arial" w:hAnsi="Arial"/>
          <w:i/>
          <w:iCs/>
          <w:color w:val="555555"/>
          <w:sz w:val="22"/>
          <w:szCs w:val="22"/>
        </w:rPr>
        <w:t xml:space="preserve">Note du financier : VANIA AGENTS affiche une marge nette de 63 % après impôts — 3 points de plus que les autres départements. La raison : aucun stock, aucune infrastructure, aucun loyer. Les seules charges réelles sont la commission de l'agent (qui ne s'active que quand il génère du CA) et les déplacements. C'est le modèle économique le plus vertueux de Vania.</w:t>
      </w:r>
    </w:p>
    <w:p>
      <w:r>
        <w:r>
          <w:br w:type="page"/>
        </w:r>
      </w:r>
    </w:p>
    <w:p>
      <w:pPr>
        <w:pBdr>
          <w:bottom w:val="single" w:color="C9A84C" w:sz="8" w:space="1"/>
        </w:pBdr>
        <w:shd w:fill="922B21" w:val="clear"/>
        <w:spacing w:before="280" w:after="80"/>
        <w:ind w:left="160"/>
      </w:pPr>
      <w:r>
        <w:rPr>
          <w:rFonts w:ascii="Arial" w:cs="Arial" w:eastAsia="Arial" w:hAnsi="Arial"/>
          <w:b/>
          <w:bCs/>
          <w:color w:val="FFFFFF"/>
          <w:sz w:val="30"/>
          <w:szCs w:val="30"/>
        </w:rPr>
        <w:t xml:space="preserve">Plan de Trésorerie Prévisionnel</w:t>
      </w:r>
    </w:p>
    <w:p>
      <w:r>
        <w:t xml:space="preserve"/>
      </w:r>
    </w:p>
    <w:p>
      <w:pPr>
        <w:spacing w:before="40" w:after="40"/>
      </w:pPr>
      <w:r>
        <w:rPr>
          <w:rFonts w:ascii="Arial" w:cs="Arial" w:eastAsia="Arial" w:hAnsi="Arial"/>
          <w:b/>
          <w:bCs/>
          <w:color w:val="1C1C1C"/>
          <w:sz w:val="22"/>
          <w:szCs w:val="22"/>
        </w:rPr>
        <w:t xml:space="preserve">Hypothèses du modèle de trésorerie :</w:t>
      </w:r>
    </w:p>
    <w:p>
      <w:pPr>
        <w:pStyle w:val="ListParagraph"/>
        <w:numPr>
          <w:ilvl w:val="0"/>
          <w:numId w:val="2"/>
        </w:numPr>
        <w:spacing w:before="30" w:after="30"/>
      </w:pPr>
      <w:r>
        <w:rPr>
          <w:rFonts w:ascii="Arial" w:cs="Arial" w:eastAsia="Arial" w:hAnsi="Arial"/>
          <w:color w:val="1C1C1C"/>
          <w:sz w:val="22"/>
          <w:szCs w:val="22"/>
        </w:rPr>
        <w:t xml:space="preserve">Entrées = 100 % du CA (frais de visite encaissés cash à l'entrée + commissions à la signature du bail).</w:t>
      </w:r>
    </w:p>
    <w:p>
      <w:pPr>
        <w:pStyle w:val="ListParagraph"/>
        <w:numPr>
          <w:ilvl w:val="0"/>
          <w:numId w:val="2"/>
        </w:numPr>
        <w:spacing w:before="30" w:after="30"/>
      </w:pPr>
      <w:r>
        <w:rPr>
          <w:rFonts w:ascii="Arial" w:cs="Arial" w:eastAsia="Arial" w:hAnsi="Arial"/>
          <w:color w:val="1C1C1C"/>
          <w:sz w:val="22"/>
          <w:szCs w:val="22"/>
        </w:rPr>
        <w:t xml:space="preserve">Sorties variables = commission agent 30 % du CA + déplacements 2 000 FCFA/visite.</w:t>
      </w:r>
    </w:p>
    <w:p>
      <w:pPr>
        <w:pStyle w:val="ListParagraph"/>
        <w:numPr>
          <w:ilvl w:val="0"/>
          <w:numId w:val="2"/>
        </w:numPr>
        <w:spacing w:before="30" w:after="30"/>
      </w:pPr>
      <w:r>
        <w:rPr>
          <w:rFonts w:ascii="Arial" w:cs="Arial" w:eastAsia="Arial" w:hAnsi="Arial"/>
          <w:color w:val="1C1C1C"/>
          <w:sz w:val="22"/>
          <w:szCs w:val="22"/>
        </w:rPr>
        <w:t xml:space="preserve">Sorties fixes = 15 000 FCFA/mois (marketing/boost).</w:t>
      </w:r>
    </w:p>
    <w:p>
      <w:pPr>
        <w:pStyle w:val="ListParagraph"/>
        <w:numPr>
          <w:ilvl w:val="0"/>
          <w:numId w:val="2"/>
        </w:numPr>
        <w:spacing w:before="30" w:after="30"/>
      </w:pPr>
      <w:r>
        <w:rPr>
          <w:rFonts w:ascii="Arial" w:cs="Arial" w:eastAsia="Arial" w:hAnsi="Arial"/>
          <w:color w:val="1C1C1C"/>
          <w:sz w:val="22"/>
          <w:szCs w:val="22"/>
        </w:rPr>
        <w:t xml:space="preserve">Trésorerie de départ : 200 000 FCFA — fonds de roulement minimal, remboursé dès M1.</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1213"/>
        <w:gridCol w:w="1213"/>
        <w:gridCol w:w="1200"/>
        <w:gridCol w:w="1200"/>
        <w:gridCol w:w="1700"/>
      </w:tblGrid>
      <w:tr>
        <w:tc>
          <w:tcPr>
            <w:tcW w:type="dxa" w:w="7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Mois</w:t>
            </w:r>
          </w:p>
        </w:tc>
        <w:tc>
          <w:tcPr>
            <w:tcW w:type="dxa" w:w="9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Visites</w:t>
            </w:r>
          </w:p>
        </w:tc>
        <w:tc>
          <w:tcPr>
            <w:tcW w:type="dxa" w:w="9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Locations</w:t>
            </w:r>
          </w:p>
        </w:tc>
        <w:tc>
          <w:tcPr>
            <w:tcW w:type="dxa" w:w="12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 Total</w:t>
            </w:r>
          </w:p>
        </w:tc>
        <w:tc>
          <w:tcPr>
            <w:tcW w:type="dxa" w:w="1213"/>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Charges</w:t>
            </w:r>
          </w:p>
        </w:tc>
        <w:tc>
          <w:tcPr>
            <w:tcW w:type="dxa" w:w="12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Flux net</w:t>
            </w:r>
          </w:p>
        </w:tc>
        <w:tc>
          <w:tcPr>
            <w:tcW w:type="dxa" w:w="12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Trés. cumulée</w:t>
            </w:r>
          </w:p>
        </w:tc>
        <w:tc>
          <w:tcPr>
            <w:tcW w:type="dxa" w:w="1700"/>
            <w:tcBorders>
              <w:top w:val="single" w:color="922B21" w:sz="4"/>
              <w:left w:val="single" w:color="922B21" w:sz="4"/>
              <w:bottom w:val="single" w:color="922B21" w:sz="4"/>
              <w:right w:val="single" w:color="922B21" w:sz="4"/>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250 000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100 000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+150 000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350 000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M2</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377 500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144 250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+233 250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583 250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622 500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225 750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+396 750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980 000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M4</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16</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755 000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273 500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+481 500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1 461 500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1 000 000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355 000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+645 000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2 106 500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M6</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24</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10</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1 245 000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436 500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+808 500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2 915 000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11</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1 377 500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484 250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+893 250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3 808 250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M8</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32</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13</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1 622 500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565 750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+1 056 750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4 865 000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14</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1 755 000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613 500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+1 141 500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6 006 500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M10</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40</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16</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2 000 000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695 000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+1 305 000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7 311 500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18</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2 245 000</w:t>
            </w:r>
          </w:p>
        </w:tc>
        <w:tc>
          <w:tcPr>
            <w:tcW w:type="dxa" w:w="1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776 500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+1 468 500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8 780 000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M12</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48</w:t>
            </w:r>
          </w:p>
        </w:tc>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19</w:t>
            </w:r>
          </w:p>
        </w:tc>
        <w:tc>
          <w:tcPr>
            <w:tcW w:type="dxa" w:w="1213"/>
            <w:tcBorders>
              <w:top w:val="single" w:color="CCCCCC" w:sz="4"/>
              <w:left w:val="single" w:color="CCCCCC" w:sz="4"/>
              <w:bottom w:val="single" w:color="CCCCCC" w:sz="4"/>
              <w:right w:val="single" w:color="CCCCCC" w:sz="4"/>
            </w:tcBorders>
            <w:shd w:fill="FDEDEC" w:val="clear"/>
            <w:tcMar>
              <w:top w:type="dxa" w:w="60"/>
              <w:left w:type="dxa" w:w="60"/>
              <w:bottom w:type="dxa" w:w="60"/>
              <w:right w:type="dxa" w:w="60"/>
            </w:tcMar>
            <w:vAlign w:val="center"/>
          </w:tcPr>
          <w:p>
            <w:pPr>
              <w:jc w:val="center"/>
            </w:pPr>
            <w:r>
              <w:rPr>
                <w:rFonts w:ascii="Arial" w:cs="Arial" w:eastAsia="Arial" w:hAnsi="Arial"/>
                <w:b/>
                <w:bCs/>
                <w:color w:val="922B21"/>
                <w:sz w:val="18"/>
                <w:szCs w:val="18"/>
              </w:rPr>
              <w:t xml:space="preserve">2 377 500</w:t>
            </w:r>
          </w:p>
        </w:tc>
        <w:tc>
          <w:tcPr>
            <w:tcW w:type="dxa" w:w="1213"/>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824 250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+1 553 250</w:t>
            </w:r>
          </w:p>
        </w:tc>
        <w:tc>
          <w:tcPr>
            <w:tcW w:type="dxa" w:w="12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10 333 250</w:t>
            </w:r>
          </w:p>
        </w:tc>
        <w:tc>
          <w:tcPr>
            <w:tcW w:type="dxa" w:w="1700"/>
            <w:tcBorders>
              <w:top w:val="single" w:color="CCCCCC" w:sz="4"/>
              <w:left w:val="single" w:color="CCCCCC" w:sz="4"/>
              <w:bottom w:val="single" w:color="CCCCCC" w:sz="4"/>
              <w:right w:val="single" w:color="CCCCCC" w:sz="4"/>
            </w:tcBorders>
            <w:shd w:fill="E9F7EF" w:val="clear"/>
            <w:tcMar>
              <w:top w:type="dxa" w:w="60"/>
              <w:left w:type="dxa" w:w="60"/>
              <w:bottom w:type="dxa" w:w="60"/>
              <w:right w:type="dxa" w:w="60"/>
            </w:tcMar>
            <w:vAlign w:val="center"/>
          </w:tcPr>
          <w:p>
            <w:pPr>
              <w:jc w:val="center"/>
            </w:pPr>
            <w:r>
              <w:rPr>
                <w:rFonts w:ascii="Arial" w:cs="Arial" w:eastAsia="Arial" w:hAnsi="Arial"/>
                <w:b/>
                <w:bCs/>
                <w:color w:val="1E8449"/>
                <w:sz w:val="18"/>
                <w:szCs w:val="18"/>
              </w:rPr>
              <w:t xml:space="preserve">Positif</w:t>
            </w:r>
          </w:p>
        </w:tc>
      </w:tr>
      <w:tr>
        <w:tc>
          <w:tcPr>
            <w:tcW w:type="dxa" w:w="700"/>
            <w:tcBorders>
              <w:top w:val="single" w:color="C9A84C" w:sz="4"/>
              <w:left w:val="single" w:color="C9A84C" w:sz="4"/>
              <w:bottom w:val="single" w:color="C9A84C" w:sz="4"/>
              <w:right w:val="single" w:color="C9A84C" w:sz="4"/>
            </w:tcBorders>
            <w:shd w:fill="0A0A0A" w:val="clear"/>
            <w:tcMar>
              <w:top w:type="dxa" w:w="90"/>
              <w:left w:type="dxa" w:w="60"/>
              <w:bottom w:type="dxa" w:w="90"/>
              <w:right w:type="dxa" w:w="60"/>
            </w:tcMar>
          </w:tcPr>
          <w:p>
            <w:pPr>
              <w:jc w:val="center"/>
            </w:pPr>
            <w:r>
              <w:rPr>
                <w:rFonts w:ascii="Arial" w:cs="Arial" w:eastAsia="Arial" w:hAnsi="Arial"/>
                <w:b/>
                <w:bCs/>
                <w:color w:val="FFFFFF"/>
                <w:sz w:val="17"/>
                <w:szCs w:val="17"/>
              </w:rPr>
              <w:t xml:space="preserve">TOTAL</w:t>
            </w:r>
          </w:p>
        </w:tc>
        <w:tc>
          <w:tcPr>
            <w:tcW w:type="dxa" w:w="900"/>
            <w:tcBorders>
              <w:top w:val="single" w:color="CCCCCC" w:sz="4"/>
              <w:left w:val="single" w:color="CCCCCC" w:sz="4"/>
              <w:bottom w:val="single" w:color="CCCCCC" w:sz="4"/>
              <w:right w:val="single" w:color="CCCCCC" w:sz="4"/>
            </w:tcBorders>
            <w:shd w:fill="0A0A0A" w:val="clear"/>
            <w:tcMar>
              <w:top w:type="dxa" w:w="80"/>
              <w:left w:type="dxa" w:w="120"/>
              <w:bottom w:type="dxa" w:w="80"/>
              <w:right w:type="dxa" w:w="120"/>
            </w:tcMar>
            <w:vAlign w:val="center"/>
          </w:tcPr>
          <w:p>
            <w:pPr>
              <w:jc w:val="center"/>
            </w:pPr>
            <w:r>
              <w:rPr>
                <w:rFonts w:ascii="Arial" w:cs="Arial" w:eastAsia="Arial" w:hAnsi="Arial"/>
                <w:b/>
                <w:bCs/>
                <w:color w:val="F0D080"/>
                <w:sz w:val="20"/>
                <w:szCs w:val="20"/>
              </w:rPr>
              <w:t xml:space="preserve">313</w:t>
            </w:r>
          </w:p>
        </w:tc>
        <w:tc>
          <w:tcPr>
            <w:tcW w:type="dxa" w:w="900"/>
            <w:tcBorders>
              <w:top w:val="single" w:color="CCCCCC" w:sz="4"/>
              <w:left w:val="single" w:color="CCCCCC" w:sz="4"/>
              <w:bottom w:val="single" w:color="CCCCCC" w:sz="4"/>
              <w:right w:val="single" w:color="CCCCCC" w:sz="4"/>
            </w:tcBorders>
            <w:shd w:fill="0A0A0A" w:val="clear"/>
            <w:tcMar>
              <w:top w:type="dxa" w:w="80"/>
              <w:left w:type="dxa" w:w="120"/>
              <w:bottom w:type="dxa" w:w="80"/>
              <w:right w:type="dxa" w:w="120"/>
            </w:tcMar>
            <w:vAlign w:val="center"/>
          </w:tcPr>
          <w:p>
            <w:pPr>
              <w:jc w:val="center"/>
            </w:pPr>
            <w:r>
              <w:rPr>
                <w:rFonts w:ascii="Arial" w:cs="Arial" w:eastAsia="Arial" w:hAnsi="Arial"/>
                <w:b/>
                <w:bCs/>
                <w:color w:val="F0D080"/>
                <w:sz w:val="20"/>
                <w:szCs w:val="20"/>
              </w:rPr>
              <w:t xml:space="preserve">125</w:t>
            </w:r>
          </w:p>
        </w:tc>
        <w:tc>
          <w:tcPr>
            <w:tcW w:type="dxa" w:w="1213"/>
            <w:tcBorders>
              <w:top w:val="single" w:color="C9A84C" w:sz="4"/>
              <w:left w:val="single" w:color="C9A84C" w:sz="4"/>
              <w:bottom w:val="single" w:color="C9A84C" w:sz="4"/>
              <w:right w:val="single" w:color="C9A84C" w:sz="4"/>
            </w:tcBorders>
            <w:shd w:fill="C9A84C" w:val="clear"/>
            <w:tcMar>
              <w:top w:type="dxa" w:w="90"/>
              <w:left w:type="dxa" w:w="60"/>
              <w:bottom w:type="dxa" w:w="90"/>
              <w:right w:type="dxa" w:w="60"/>
            </w:tcMar>
          </w:tcPr>
          <w:p>
            <w:pPr>
              <w:jc w:val="center"/>
            </w:pPr>
            <w:r>
              <w:rPr>
                <w:rFonts w:ascii="Arial" w:cs="Arial" w:eastAsia="Arial" w:hAnsi="Arial"/>
                <w:b/>
                <w:bCs/>
                <w:color w:val="FFFFFF"/>
                <w:sz w:val="17"/>
                <w:szCs w:val="17"/>
              </w:rPr>
              <w:t xml:space="preserve">15 627 500</w:t>
            </w:r>
          </w:p>
        </w:tc>
        <w:tc>
          <w:tcPr>
            <w:tcW w:type="dxa" w:w="1213"/>
            <w:tcBorders>
              <w:top w:val="single" w:color="CCCCCC" w:sz="4"/>
              <w:left w:val="single" w:color="CCCCCC" w:sz="4"/>
              <w:bottom w:val="single" w:color="CCCCCC" w:sz="4"/>
              <w:right w:val="single" w:color="CCCCCC" w:sz="4"/>
            </w:tcBorders>
            <w:shd w:fill="0A0A0A" w:val="clear"/>
            <w:tcMar>
              <w:top w:type="dxa" w:w="80"/>
              <w:left w:type="dxa" w:w="120"/>
              <w:bottom w:type="dxa" w:w="80"/>
              <w:right w:type="dxa" w:w="120"/>
            </w:tcMar>
            <w:vAlign w:val="center"/>
          </w:tcPr>
          <w:p>
            <w:pPr>
              <w:jc w:val="center"/>
            </w:pPr>
            <w:r>
              <w:rPr>
                <w:rFonts w:ascii="Arial" w:cs="Arial" w:eastAsia="Arial" w:hAnsi="Arial"/>
                <w:b/>
                <w:bCs/>
                <w:color w:val="FDEDEC"/>
                <w:sz w:val="20"/>
                <w:szCs w:val="20"/>
              </w:rPr>
              <w:t xml:space="preserve">5 494 250</w:t>
            </w:r>
          </w:p>
        </w:tc>
        <w:tc>
          <w:tcPr>
            <w:tcW w:type="dxa" w:w="1200"/>
            <w:tcBorders>
              <w:top w:val="single" w:color="C9A84C" w:sz="4"/>
              <w:left w:val="single" w:color="C9A84C" w:sz="4"/>
              <w:bottom w:val="single" w:color="C9A84C" w:sz="4"/>
              <w:right w:val="single" w:color="C9A84C" w:sz="4"/>
            </w:tcBorders>
            <w:shd w:fill="1E8449" w:val="clear"/>
            <w:tcMar>
              <w:top w:type="dxa" w:w="90"/>
              <w:left w:type="dxa" w:w="60"/>
              <w:bottom w:type="dxa" w:w="90"/>
              <w:right w:type="dxa" w:w="60"/>
            </w:tcMar>
          </w:tcPr>
          <w:p>
            <w:pPr>
              <w:jc w:val="center"/>
            </w:pPr>
            <w:r>
              <w:rPr>
                <w:rFonts w:ascii="Arial" w:cs="Arial" w:eastAsia="Arial" w:hAnsi="Arial"/>
                <w:b/>
                <w:bCs/>
                <w:color w:val="FFFFFF"/>
                <w:sz w:val="17"/>
                <w:szCs w:val="17"/>
              </w:rPr>
              <w:t xml:space="preserve">+10 133 250</w:t>
            </w:r>
          </w:p>
        </w:tc>
        <w:tc>
          <w:tcPr>
            <w:tcW w:type="dxa" w:w="1200"/>
            <w:tcBorders>
              <w:top w:val="single" w:color="C9A84C" w:sz="4"/>
              <w:left w:val="single" w:color="C9A84C" w:sz="4"/>
              <w:bottom w:val="single" w:color="C9A84C" w:sz="4"/>
              <w:right w:val="single" w:color="C9A84C" w:sz="4"/>
            </w:tcBorders>
            <w:shd w:fill="1E8449" w:val="clear"/>
            <w:tcMar>
              <w:top w:type="dxa" w:w="90"/>
              <w:left w:type="dxa" w:w="60"/>
              <w:bottom w:type="dxa" w:w="90"/>
              <w:right w:type="dxa" w:w="60"/>
            </w:tcMar>
          </w:tcPr>
          <w:p>
            <w:pPr>
              <w:jc w:val="center"/>
            </w:pPr>
            <w:r>
              <w:rPr>
                <w:rFonts w:ascii="Arial" w:cs="Arial" w:eastAsia="Arial" w:hAnsi="Arial"/>
                <w:b/>
                <w:bCs/>
                <w:color w:val="FFFFFF"/>
                <w:sz w:val="17"/>
                <w:szCs w:val="17"/>
              </w:rPr>
              <w:t xml:space="preserve">10 333 250</w:t>
            </w:r>
          </w:p>
        </w:tc>
        <w:tc>
          <w:tcPr>
            <w:tcW w:type="dxa" w:w="1700"/>
            <w:tcBorders>
              <w:top w:val="single" w:color="C9A84C" w:sz="4"/>
              <w:left w:val="single" w:color="C9A84C" w:sz="4"/>
              <w:bottom w:val="single" w:color="C9A84C" w:sz="4"/>
              <w:right w:val="single" w:color="C9A84C" w:sz="4"/>
            </w:tcBorders>
            <w:shd w:fill="1E8449" w:val="clear"/>
            <w:tcMar>
              <w:top w:type="dxa" w:w="90"/>
              <w:left w:type="dxa" w:w="60"/>
              <w:bottom w:type="dxa" w:w="90"/>
              <w:right w:type="dxa" w:w="60"/>
            </w:tcMar>
          </w:tcPr>
          <w:p>
            <w:pPr>
              <w:jc w:val="center"/>
            </w:pPr>
            <w:r>
              <w:rPr>
                <w:rFonts w:ascii="Arial" w:cs="Arial" w:eastAsia="Arial" w:hAnsi="Arial"/>
                <w:b/>
                <w:bCs/>
                <w:color w:val="FFFFFF"/>
                <w:sz w:val="17"/>
                <w:szCs w:val="17"/>
              </w:rPr>
              <w:t xml:space="preserve">100 % positif</w:t>
            </w:r>
          </w:p>
        </w:tc>
      </w:tr>
    </w:tbl>
    <w:p>
      <w:r>
        <w:t xml:space="preserve"/>
      </w:r>
    </w:p>
    <w:p>
      <w:pPr>
        <w:pBdr>
          <w:bottom w:val="single" w:color="E59898" w:sz="2" w:space="1"/>
        </w:pBdr>
        <w:spacing w:before="180" w:after="60"/>
      </w:pPr>
      <w:r>
        <w:rPr>
          <w:rFonts w:ascii="Arial" w:cs="Arial" w:eastAsia="Arial" w:hAnsi="Arial"/>
          <w:b/>
          <w:bCs/>
          <w:color w:val="922B21"/>
          <w:sz w:val="24"/>
          <w:szCs w:val="24"/>
        </w:rPr>
        <w:t xml:space="preserve">Lecture rapide</w:t>
      </w:r>
    </w:p>
    <w:p>
      <w:pPr>
        <w:pStyle w:val="ListParagraph"/>
        <w:numPr>
          <w:ilvl w:val="0"/>
          <w:numId w:val="2"/>
        </w:numPr>
        <w:spacing w:before="30" w:after="30"/>
      </w:pPr>
      <w:r>
        <w:rPr>
          <w:rFonts w:ascii="Arial" w:cs="Arial" w:eastAsia="Arial" w:hAnsi="Arial"/>
          <w:color w:val="1C1C1C"/>
          <w:sz w:val="22"/>
          <w:szCs w:val="22"/>
        </w:rPr>
        <w:t xml:space="preserve">Trésorerie 100 % positive sur toute l'Année 1 : VANIA AGENTS ne passe jamais en déficit. Dès le Mois 1, le flux net est positif de 150 000 FCFA.</w:t>
      </w:r>
    </w:p>
    <w:p>
      <w:pPr>
        <w:pStyle w:val="ListParagraph"/>
        <w:numPr>
          <w:ilvl w:val="0"/>
          <w:numId w:val="2"/>
        </w:numPr>
        <w:spacing w:before="30" w:after="30"/>
      </w:pPr>
      <w:r>
        <w:rPr>
          <w:rFonts w:ascii="Arial" w:cs="Arial" w:eastAsia="Arial" w:hAnsi="Arial"/>
          <w:color w:val="1C1C1C"/>
          <w:sz w:val="22"/>
          <w:szCs w:val="22"/>
        </w:rPr>
        <w:t xml:space="preserve">Croissance rapide et régulière : CA mensuel multiplié par 9,5 entre M1 (250 000 FCFA) et M12 (2 377 500 FCFA).</w:t>
      </w:r>
    </w:p>
    <w:p>
      <w:pPr>
        <w:pStyle w:val="ListParagraph"/>
        <w:numPr>
          <w:ilvl w:val="0"/>
          <w:numId w:val="2"/>
        </w:numPr>
        <w:spacing w:before="30" w:after="30"/>
      </w:pPr>
      <w:r>
        <w:rPr>
          <w:rFonts w:ascii="Arial" w:cs="Arial" w:eastAsia="Arial" w:hAnsi="Arial"/>
          <w:color w:val="1C1C1C"/>
          <w:sz w:val="22"/>
          <w:szCs w:val="22"/>
        </w:rPr>
        <w:t xml:space="preserve">Aucune dépendance aux autres départements pour financer son démarrage : 200 000 FCFA suffisent.</w:t>
      </w:r>
    </w:p>
    <w:p>
      <w:pPr>
        <w:pStyle w:val="ListParagraph"/>
        <w:numPr>
          <w:ilvl w:val="0"/>
          <w:numId w:val="2"/>
        </w:numPr>
        <w:spacing w:before="30" w:after="30"/>
      </w:pPr>
      <w:r>
        <w:rPr>
          <w:rFonts w:ascii="Arial" w:cs="Arial" w:eastAsia="Arial" w:hAnsi="Arial"/>
          <w:color w:val="1C1C1C"/>
          <w:sz w:val="22"/>
          <w:szCs w:val="22"/>
        </w:rPr>
        <w:t xml:space="preserve">Fin Année 1 : trésorerie cumulée de 10 333 250 FCFA — base de financement de l'expansion Année 2 (2 agents supplémentaires, extension géographique).</w:t>
      </w:r>
    </w:p>
    <w:p>
      <w:r>
        <w:t xml:space="preserve"/>
      </w:r>
    </w:p>
    <w:p>
      <w:pPr>
        <w:pBdr>
          <w:left w:val="single" w:color="C9A84C" w:sz="12" w:space="2"/>
        </w:pBdr>
        <w:spacing w:before="80" w:after="160"/>
        <w:ind w:left="280" w:right="280"/>
      </w:pPr>
      <w:r>
        <w:rPr>
          <w:rFonts w:ascii="Arial" w:cs="Arial" w:eastAsia="Arial" w:hAnsi="Arial"/>
          <w:i/>
          <w:iCs/>
          <w:color w:val="555555"/>
          <w:sz w:val="22"/>
          <w:szCs w:val="22"/>
        </w:rPr>
        <w:t xml:space="preserve">Comparaison avec Andy Food : Andy Food atteint son point mort au Mois 9, avec une trésorerie négative de -341 540 FCFA en Mois 8. VANIA AGENTS atteint son point mort dès la 1ère location du Mois 1, sans jamais entrer en territoire négatif. C'est la puissance d'un modèle de services pur sans stock ni infrastructure.</w:t>
      </w:r>
    </w:p>
    <w:p>
      <w:r>
        <w:t xml:space="preserve"/>
      </w:r>
    </w:p>
    <w:p>
      <w:r>
        <w:t xml:space="preserve"/>
      </w:r>
    </w:p>
    <w:p>
      <w:pPr>
        <w:pBdr>
          <w:top w:val="single" w:color="C9A84C" w:sz="8" w:space="1"/>
        </w:pBdr>
        <w:spacing w:before="200" w:after="120"/>
      </w:pPr>
      <w:r>
        <w:rPr>
          <w:sz w:val="20"/>
          <w:szCs w:val="20"/>
        </w:rPr>
        <w:t xml:space="preserve"/>
      </w:r>
    </w:p>
    <w:p>
      <w:pPr>
        <w:spacing w:before="80" w:after="40"/>
        <w:jc w:val="center"/>
      </w:pPr>
      <w:r>
        <w:rPr>
          <w:rFonts w:ascii="Arial" w:cs="Arial" w:eastAsia="Arial" w:hAnsi="Arial"/>
          <w:b/>
          <w:bCs/>
          <w:i/>
          <w:iCs/>
          <w:color w:val="922B21"/>
          <w:sz w:val="24"/>
          <w:szCs w:val="24"/>
        </w:rPr>
        <w:t xml:space="preserve">« VANIA AGENTS : le département qui transforme chaque bien vacant en revenu, et chaque visite en opportunité. »</w:t>
      </w:r>
    </w:p>
    <w:p>
      <w:pPr>
        <w:spacing w:before="40" w:after="40"/>
        <w:jc w:val="center"/>
      </w:pPr>
      <w:r>
        <w:rPr>
          <w:rFonts w:ascii="Arial" w:cs="Arial" w:eastAsia="Arial" w:hAnsi="Arial"/>
          <w:b/>
          <w:bCs/>
          <w:color w:val="C9A84C"/>
          <w:sz w:val="20"/>
          <w:szCs w:val="20"/>
        </w:rPr>
        <w:t xml:space="preserve">CA Année 1 : 15 627 500 FCFA  ·  Bénéfice net : 9 820 700 FCFA  ·  Marge : 63 %  ·  Point mort : Mois 1</w:t>
      </w:r>
    </w:p>
    <w:p>
      <w:pPr>
        <w:jc w:val="center"/>
      </w:pPr>
      <w:r>
        <w:rPr>
          <w:rFonts w:ascii="Arial" w:cs="Arial" w:eastAsia="Arial" w:hAnsi="Arial"/>
          <w:i/>
          <w:iCs/>
          <w:color w:val="555555"/>
          <w:sz w:val="16"/>
          <w:szCs w:val="16"/>
        </w:rPr>
        <w:t xml:space="preserve">Ce document est confidentiel — Usage interne Vania uniquement.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space="1"/>
      </w:pBdr>
      <w:spacing w:before="80"/>
      <w:jc w:val="center"/>
    </w:pPr>
    <w:r>
      <w:rPr>
        <w:rFonts w:ascii="Arial" w:cs="Arial" w:eastAsia="Arial" w:hAnsi="Arial"/>
        <w:color w:val="555555"/>
        <w:sz w:val="16"/>
        <w:szCs w:val="16"/>
      </w:rPr>
      <w:t xml:space="preserve">Vania – Confidentiel  |  Page </w:t>
    </w:r>
    <w:r>
      <w:rPr>
        <w:rFonts w:ascii="Arial" w:cs="Arial" w:eastAsia="Arial" w:hAnsi="Arial"/>
        <w:color w:val="922B21"/>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922B2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2B21" w:sz="4" w:space="1"/>
      </w:pBdr>
      <w:spacing w:after="80"/>
    </w:pPr>
    <w:r>
      <w:rPr>
        <w:rFonts w:ascii="Arial" w:cs="Arial" w:eastAsia="Arial" w:hAnsi="Arial"/>
        <w:color w:val="555555"/>
        <w:sz w:val="18"/>
        <w:szCs w:val="18"/>
      </w:rPr>
      <w:t xml:space="preserve">VANIA AGENTS  |  MODÈLE ÉCONOMIQUE  |  5e DÉPARTEMENT VANIA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922B2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2026-03-29T23:40:05.150Z</dcterms:created>
  <dcterms:modified xsi:type="dcterms:W3CDTF">2026-03-29T23:40:05.151Z</dcterms:modified>
</cp:coreProperties>
</file>

<file path=docProps/custom.xml><?xml version="1.0" encoding="utf-8"?>
<Properties xmlns="http://schemas.openxmlformats.org/officeDocument/2006/custom-properties" xmlns:vt="http://schemas.openxmlformats.org/officeDocument/2006/docPropsVTypes"/>
</file>