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922B21"/>
          <w:sz w:val="72"/>
          <w:szCs w:val="72"/>
        </w:rPr>
        <w:t xml:space="preserve">VANIA</w:t>
      </w:r>
    </w:p>
    <w:p>
      <w:pPr>
        <w:spacing w:after="100"/>
        <w:jc w:val="center"/>
      </w:pPr>
      <w:r>
        <w:rPr>
          <w:rFonts w:ascii="Arial" w:cs="Arial" w:eastAsia="Arial" w:hAnsi="Arial"/>
          <w:color w:val="555555"/>
          <w:sz w:val="28"/>
          <w:szCs w:val="28"/>
        </w:rPr>
        <w:t xml:space="preserve">Startup Immobilière</w:t>
      </w:r>
    </w:p>
    <w:p>
      <w:pPr>
        <w:pBdr>
          <w:bottom w:val="single" w:color="C9A84C" w:sz="8" w:space="1"/>
        </w:pBdr>
        <w:spacing w:after="180"/>
      </w:pPr>
      <w:r>
        <w:rPr>
          <w:sz w:val="20"/>
          <w:szCs w:val="20"/>
        </w:rPr>
        <w:t xml:space="preserve"/>
      </w:r>
    </w:p>
    <w:p>
      <w:r>
        <w:t xml:space="preserve"/>
      </w:r>
    </w:p>
    <w:p>
      <w:pPr>
        <w:jc w:val="center"/>
      </w:pPr>
      <w:r>
        <w:rPr>
          <w:rFonts w:ascii="Arial" w:cs="Arial" w:eastAsia="Arial" w:hAnsi="Arial"/>
          <w:b/>
          <w:bCs/>
          <w:color w:val="922B21"/>
          <w:sz w:val="56"/>
          <w:szCs w:val="56"/>
        </w:rPr>
        <w:t xml:space="preserve">VANIA AGENTS</w:t>
      </w:r>
    </w:p>
    <w:p>
      <w:pPr>
        <w:spacing w:after="80"/>
        <w:jc w:val="center"/>
      </w:pPr>
      <w:r>
        <w:rPr>
          <w:rFonts w:ascii="Arial" w:cs="Arial" w:eastAsia="Arial" w:hAnsi="Arial"/>
          <w:color w:val="1C1C1C"/>
          <w:sz w:val="26"/>
          <w:szCs w:val="26"/>
        </w:rPr>
        <w:t xml:space="preserve">5e Département — Agence Immobilière Transactionnelle</w:t>
      </w:r>
    </w:p>
    <w:p>
      <w:pPr>
        <w:spacing w:after="300"/>
        <w:jc w:val="center"/>
      </w:pPr>
      <w:r>
        <w:rPr>
          <w:rFonts w:ascii="Arial" w:cs="Arial" w:eastAsia="Arial" w:hAnsi="Arial"/>
          <w:i/>
          <w:iCs/>
          <w:color w:val="555555"/>
          <w:sz w:val="22"/>
          <w:szCs w:val="22"/>
        </w:rPr>
        <w:t xml:space="preserve">Plan d'Action Opérationnel  ·  Modèle Économique Complet  ·  Sprint 30 Jours</w:t>
      </w:r>
    </w:p>
    <w:p>
      <w:r>
        <w:t xml:space="preserve"/>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tblGrid>
      <w:tr>
        <w:tc>
          <w:tcPr>
            <w:tcW w:type="dxa" w:w="3000"/>
            <w:tcBorders>
              <w:top w:val="single" w:color="D0D0D0" w:sz="4"/>
              <w:left w:val="single" w:color="D0D0D0" w:sz="4"/>
              <w:bottom w:val="single" w:color="D0D0D0" w:sz="4"/>
              <w:right w:val="single" w:color="D0D0D0" w:sz="4"/>
            </w:tcBorders>
            <w:shd w:fill="E5989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Département</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Vania Agents — Agence Immobilière</w:t>
            </w:r>
          </w:p>
        </w:tc>
      </w:tr>
      <w:tr>
        <w:tc>
          <w:tcPr>
            <w:tcW w:type="dxa" w:w="3000"/>
            <w:tcBorders>
              <w:top w:val="single" w:color="D0D0D0" w:sz="4"/>
              <w:left w:val="single" w:color="D0D0D0" w:sz="4"/>
              <w:bottom w:val="single" w:color="D0D0D0" w:sz="4"/>
              <w:right w:val="single" w:color="D0D0D0" w:sz="4"/>
            </w:tcBorders>
            <w:shd w:fill="E5989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Cible</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Bailleurs Vania (offre bien) + Locataires (demande logement)</w:t>
            </w:r>
          </w:p>
        </w:tc>
      </w:tr>
      <w:tr>
        <w:tc>
          <w:tcPr>
            <w:tcW w:type="dxa" w:w="3000"/>
            <w:tcBorders>
              <w:top w:val="single" w:color="D0D0D0" w:sz="4"/>
              <w:left w:val="single" w:color="D0D0D0" w:sz="4"/>
              <w:bottom w:val="single" w:color="D0D0D0" w:sz="4"/>
              <w:right w:val="single" w:color="D0D0D0" w:sz="4"/>
            </w:tcBorders>
            <w:shd w:fill="E5989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Sources de revenus</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Frais de visite (5 000 FCFA) + Commission location (1 mois de loyer)</w:t>
            </w:r>
          </w:p>
        </w:tc>
      </w:tr>
      <w:tr>
        <w:tc>
          <w:tcPr>
            <w:tcW w:type="dxa" w:w="3000"/>
            <w:tcBorders>
              <w:top w:val="single" w:color="D0D0D0" w:sz="4"/>
              <w:left w:val="single" w:color="D0D0D0" w:sz="4"/>
              <w:bottom w:val="single" w:color="D0D0D0" w:sz="4"/>
              <w:right w:val="single" w:color="D0D0D0" w:sz="4"/>
            </w:tcBorders>
            <w:shd w:fill="E5989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Loyer moyen</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75 000 – 150 000 FCFA (moyenne : 112 500 FCFA)</w:t>
            </w:r>
          </w:p>
        </w:tc>
      </w:tr>
      <w:tr>
        <w:tc>
          <w:tcPr>
            <w:tcW w:type="dxa" w:w="3000"/>
            <w:tcBorders>
              <w:top w:val="single" w:color="D0D0D0" w:sz="4"/>
              <w:left w:val="single" w:color="D0D0D0" w:sz="4"/>
              <w:bottom w:val="single" w:color="D0D0D0" w:sz="4"/>
              <w:right w:val="single" w:color="D0D0D0" w:sz="4"/>
            </w:tcBorders>
            <w:shd w:fill="E5989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Taux de conversion</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40 % des visites aboutissent à une location signée</w:t>
            </w:r>
          </w:p>
        </w:tc>
      </w:tr>
      <w:tr>
        <w:tc>
          <w:tcPr>
            <w:tcW w:type="dxa" w:w="3000"/>
            <w:tcBorders>
              <w:top w:val="single" w:color="D0D0D0" w:sz="4"/>
              <w:left w:val="single" w:color="D0D0D0" w:sz="4"/>
              <w:bottom w:val="single" w:color="D0D0D0" w:sz="4"/>
              <w:right w:val="single" w:color="D0D0D0" w:sz="4"/>
            </w:tcBorders>
            <w:shd w:fill="E5989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Responsable</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Directeur Vania Agents</w:t>
            </w:r>
          </w:p>
        </w:tc>
      </w:tr>
    </w:tbl>
    <w:p>
      <w:r>
        <w:r>
          <w:br w:type="page"/>
        </w:r>
      </w:r>
    </w:p>
    <w:p>
      <w:pPr>
        <w:pBdr>
          <w:bottom w:val="single" w:color="C9A84C" w:sz="8" w:space="1"/>
        </w:pBdr>
        <w:shd w:fill="922B21" w:val="clear"/>
        <w:spacing w:before="300" w:after="80"/>
        <w:ind w:left="160"/>
      </w:pPr>
      <w:r>
        <w:rPr>
          <w:rFonts w:ascii="Arial" w:cs="Arial" w:eastAsia="Arial" w:hAnsi="Arial"/>
          <w:b/>
          <w:bCs/>
          <w:color w:val="FFFFFF"/>
          <w:sz w:val="30"/>
          <w:szCs w:val="30"/>
        </w:rPr>
        <w:t xml:space="preserve">1.  PRÉSENTATION DU DÉPARTEMENT VANIA AGENTS</w:t>
      </w:r>
    </w:p>
    <w:p>
      <w:r>
        <w:t xml:space="preserve"/>
      </w:r>
    </w:p>
    <w:p>
      <w:pPr>
        <w:pBdr>
          <w:bottom w:val="single" w:color="E59898" w:sz="2" w:space="1"/>
        </w:pBdr>
        <w:spacing w:before="200" w:after="70"/>
      </w:pPr>
      <w:r>
        <w:rPr>
          <w:rFonts w:ascii="Arial" w:cs="Arial" w:eastAsia="Arial" w:hAnsi="Arial"/>
          <w:b/>
          <w:bCs/>
          <w:color w:val="922B21"/>
          <w:sz w:val="24"/>
          <w:szCs w:val="24"/>
        </w:rPr>
        <w:t xml:space="preserve">1.1  Qu'est-ce que Vania Agents ?</w:t>
      </w:r>
    </w:p>
    <w:p>
      <w:pPr>
        <w:spacing w:before="40" w:after="40"/>
      </w:pPr>
      <w:r>
        <w:rPr>
          <w:rFonts w:ascii="Arial" w:cs="Arial" w:eastAsia="Arial" w:hAnsi="Arial"/>
          <w:b w:val="false"/>
          <w:bCs w:val="false"/>
          <w:color w:val="1C1C1C"/>
          <w:sz w:val="22"/>
          <w:szCs w:val="22"/>
        </w:rPr>
        <w:t xml:space="preserve">Vania Agents est le 5e département de la startup Vania. Contrairement aux 4 premiers (Comm, Studio, Consulting, Finance) qui vendent des services aux professionnels de l'immobilier, Vania Agents opère directement sur le marché transactionnel : elle met en relation les bailleurs partenaires Vania avec des locataires solvables, et monétise chaque étape de cette relation.</w:t>
      </w:r>
    </w:p>
    <w:p>
      <w:r>
        <w:t xml:space="preserve"/>
      </w:r>
    </w:p>
    <w:p>
      <w:pPr>
        <w:spacing w:before="40" w:after="40"/>
      </w:pPr>
      <w:r>
        <w:rPr>
          <w:rFonts w:ascii="Arial" w:cs="Arial" w:eastAsia="Arial" w:hAnsi="Arial"/>
          <w:b w:val="false"/>
          <w:bCs w:val="false"/>
          <w:color w:val="1C1C1C"/>
          <w:sz w:val="22"/>
          <w:szCs w:val="22"/>
        </w:rPr>
        <w:t xml:space="preserve">Le département repose sur deux sources de revenus imbriquées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13"/>
        <w:gridCol w:w="3513"/>
      </w:tblGrid>
      <w:tr>
        <w:tc>
          <w:tcPr>
            <w:tcW w:type="dxa" w:w="5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5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2513"/>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MONTANT</w:t>
            </w:r>
          </w:p>
        </w:tc>
        <w:tc>
          <w:tcPr>
            <w:tcW w:type="dxa" w:w="3513"/>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DÉCLENCHEUR</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Frais de visite d'un bien</w:t>
            </w:r>
          </w:p>
        </w:tc>
        <w:tc>
          <w:tcPr>
            <w:tcW w:type="dxa" w:w="2513"/>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5 000 FCFA / visite</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Payé par le locataire à chaque visite organisée par Vania Agents, quel que soit le résultat de la visite.</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Commission de location</w:t>
            </w:r>
          </w:p>
        </w:tc>
        <w:tc>
          <w:tcPr>
            <w:tcW w:type="dxa" w:w="2513"/>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 mois de loyer
(moy. 112 500 FCFA)</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Payée une seule fois à la signature du bail, partagée entre Vania Agents (70 %) et l'agent terrain (30 %).</w:t>
            </w:r>
          </w:p>
        </w:tc>
      </w:tr>
    </w:tbl>
    <w:p>
      <w:r>
        <w:t xml:space="preserve"/>
      </w:r>
    </w:p>
    <w:p>
      <w:pPr>
        <w:pBdr>
          <w:bottom w:val="single" w:color="E59898" w:sz="2" w:space="1"/>
        </w:pBdr>
        <w:spacing w:before="200" w:after="70"/>
      </w:pPr>
      <w:r>
        <w:rPr>
          <w:rFonts w:ascii="Arial" w:cs="Arial" w:eastAsia="Arial" w:hAnsi="Arial"/>
          <w:b/>
          <w:bCs/>
          <w:color w:val="922B21"/>
          <w:sz w:val="24"/>
          <w:szCs w:val="24"/>
        </w:rPr>
        <w:t xml:space="preserve">1.2  Positionnement stratégique</w:t>
      </w:r>
    </w:p>
    <w:p>
      <w:pPr>
        <w:spacing w:before="40" w:after="40"/>
      </w:pPr>
      <w:r>
        <w:rPr>
          <w:rFonts w:ascii="Arial" w:cs="Arial" w:eastAsia="Arial" w:hAnsi="Arial"/>
          <w:b w:val="false"/>
          <w:bCs w:val="false"/>
          <w:color w:val="1C1C1C"/>
          <w:sz w:val="22"/>
          <w:szCs w:val="22"/>
        </w:rPr>
        <w:t xml:space="preserve">Vania Agents est l'aboutissement naturel de l'écosystème Vania :</w:t>
      </w:r>
    </w:p>
    <w:p>
      <w:pPr>
        <w:pStyle w:val="ListParagraph"/>
        <w:numPr>
          <w:ilvl w:val="0"/>
          <w:numId w:val="2"/>
        </w:numPr>
        <w:spacing w:before="30" w:after="30"/>
      </w:pPr>
      <w:r>
        <w:rPr>
          <w:rFonts w:ascii="Arial" w:cs="Arial" w:eastAsia="Arial" w:hAnsi="Arial"/>
          <w:color w:val="1C1C1C"/>
          <w:sz w:val="22"/>
          <w:szCs w:val="22"/>
        </w:rPr>
        <w:t xml:space="preserve">Les bailleurs filtrés par le Consulting deviennent des clients bailleurs de Vania Agents — leurs biens sont déjà conformes au Standard Vania.</w:t>
      </w:r>
    </w:p>
    <w:p>
      <w:pPr>
        <w:pStyle w:val="ListParagraph"/>
        <w:numPr>
          <w:ilvl w:val="0"/>
          <w:numId w:val="2"/>
        </w:numPr>
        <w:spacing w:before="30" w:after="30"/>
      </w:pPr>
      <w:r>
        <w:rPr>
          <w:rFonts w:ascii="Arial" w:cs="Arial" w:eastAsia="Arial" w:hAnsi="Arial"/>
          <w:color w:val="1C1C1C"/>
          <w:sz w:val="22"/>
          <w:szCs w:val="22"/>
        </w:rPr>
        <w:t xml:space="preserve">Les annonces sont produites par le Studio — qualité garantie, attractivité maximale, délais de location raccourcis.</w:t>
      </w:r>
    </w:p>
    <w:p>
      <w:pPr>
        <w:pStyle w:val="ListParagraph"/>
        <w:numPr>
          <w:ilvl w:val="0"/>
          <w:numId w:val="2"/>
        </w:numPr>
        <w:spacing w:before="30" w:after="30"/>
      </w:pPr>
      <w:r>
        <w:rPr>
          <w:rFonts w:ascii="Arial" w:cs="Arial" w:eastAsia="Arial" w:hAnsi="Arial"/>
          <w:color w:val="1C1C1C"/>
          <w:sz w:val="22"/>
          <w:szCs w:val="22"/>
        </w:rPr>
        <w:t xml:space="preserve">Les locataires fragilisés financièrement sont orientés vers le département Finance pour rejoindre la caisse de cotisation.</w:t>
      </w:r>
    </w:p>
    <w:p>
      <w:pPr>
        <w:pStyle w:val="ListParagraph"/>
        <w:numPr>
          <w:ilvl w:val="0"/>
          <w:numId w:val="2"/>
        </w:numPr>
        <w:spacing w:before="30" w:after="30"/>
      </w:pPr>
      <w:r>
        <w:rPr>
          <w:rFonts w:ascii="Arial" w:cs="Arial" w:eastAsia="Arial" w:hAnsi="Arial"/>
          <w:color w:val="1C1C1C"/>
          <w:sz w:val="22"/>
          <w:szCs w:val="22"/>
        </w:rPr>
        <w:t xml:space="preserve">Les startups OTAs clientes de l'Agence Comm peuvent référencer les biens Vania Agents sur leurs plateformes.</w:t>
      </w:r>
    </w:p>
    <w:p>
      <w:r>
        <w:t xml:space="preserve"/>
      </w:r>
    </w:p>
    <w:p>
      <w:pPr>
        <w:shd w:fill="922B21" w:val="clear"/>
        <w:spacing w:before="80" w:after="80"/>
        <w:ind w:left="160" w:right="160"/>
      </w:pPr>
      <w:r>
        <w:rPr>
          <w:rFonts w:ascii="Arial" w:cs="Arial" w:eastAsia="Arial" w:hAnsi="Arial"/>
          <w:b/>
          <w:bCs/>
          <w:color w:val="FFFFFF"/>
          <w:sz w:val="22"/>
          <w:szCs w:val="22"/>
        </w:rPr>
        <w:t xml:space="preserve">Vania Agents transforme l'écosystème Vania en une machine complète : on crée la demande (Comm), on la valorise (Studio), on conseille le bailleur (Consulting), on finance le locataire (Finance), et on conclut la transaction (Agents).</w:t>
      </w:r>
    </w:p>
    <w:p>
      <w:r>
        <w:r>
          <w:br w:type="page"/>
        </w:r>
      </w:r>
    </w:p>
    <w:p>
      <w:pPr>
        <w:pBdr>
          <w:bottom w:val="single" w:color="C9A84C" w:sz="8" w:space="1"/>
        </w:pBdr>
        <w:shd w:fill="922B21" w:val="clear"/>
        <w:spacing w:before="300" w:after="80"/>
        <w:ind w:left="160"/>
      </w:pPr>
      <w:r>
        <w:rPr>
          <w:rFonts w:ascii="Arial" w:cs="Arial" w:eastAsia="Arial" w:hAnsi="Arial"/>
          <w:b/>
          <w:bCs/>
          <w:color w:val="FFFFFF"/>
          <w:sz w:val="30"/>
          <w:szCs w:val="30"/>
        </w:rPr>
        <w:t xml:space="preserve">2.  CONTEXTE &amp; OBJECTIFS SPRINT 30 JOURS</w:t>
      </w:r>
    </w:p>
    <w:p>
      <w:r>
        <w:t xml:space="preserve"/>
      </w:r>
    </w:p>
    <w:p>
      <w:pPr>
        <w:pBdr>
          <w:bottom w:val="single" w:color="E59898" w:sz="2" w:space="1"/>
        </w:pBdr>
        <w:spacing w:before="200" w:after="70"/>
      </w:pPr>
      <w:r>
        <w:rPr>
          <w:rFonts w:ascii="Arial" w:cs="Arial" w:eastAsia="Arial" w:hAnsi="Arial"/>
          <w:b/>
          <w:bCs/>
          <w:color w:val="922B21"/>
          <w:sz w:val="24"/>
          <w:szCs w:val="24"/>
        </w:rPr>
        <w:t xml:space="preserve">2.1  Problème identifié</w:t>
      </w:r>
    </w:p>
    <w:p>
      <w:pPr>
        <w:spacing w:before="40" w:after="40"/>
      </w:pPr>
      <w:r>
        <w:rPr>
          <w:rFonts w:ascii="Arial" w:cs="Arial" w:eastAsia="Arial" w:hAnsi="Arial"/>
          <w:b w:val="false"/>
          <w:bCs w:val="false"/>
          <w:color w:val="1C1C1C"/>
          <w:sz w:val="22"/>
          <w:szCs w:val="22"/>
        </w:rPr>
        <w:t xml:space="preserve">Le marché locatif camerounais souffre d'une désorganisation structurelle : les bailleurs publient leurs biens sans standard de qualité, les locataires visitent des biens mal présentés et perdent du temps, et les transactions se concluent souvent sans cadre professionnel clair. Résultat :</w:t>
      </w:r>
    </w:p>
    <w:p>
      <w:pPr>
        <w:pStyle w:val="ListParagraph"/>
        <w:numPr>
          <w:ilvl w:val="0"/>
          <w:numId w:val="2"/>
        </w:numPr>
        <w:spacing w:before="30" w:after="30"/>
      </w:pPr>
      <w:r>
        <w:rPr>
          <w:rFonts w:ascii="Arial" w:cs="Arial" w:eastAsia="Arial" w:hAnsi="Arial"/>
          <w:color w:val="1C1C1C"/>
          <w:sz w:val="22"/>
          <w:szCs w:val="22"/>
        </w:rPr>
        <w:t xml:space="preserve">Des biens vacants pendant 3 à 9 mois malgré une forte demande locative réelle.</w:t>
      </w:r>
    </w:p>
    <w:p>
      <w:pPr>
        <w:pStyle w:val="ListParagraph"/>
        <w:numPr>
          <w:ilvl w:val="0"/>
          <w:numId w:val="2"/>
        </w:numPr>
        <w:spacing w:before="30" w:after="30"/>
      </w:pPr>
      <w:r>
        <w:rPr>
          <w:rFonts w:ascii="Arial" w:cs="Arial" w:eastAsia="Arial" w:hAnsi="Arial"/>
          <w:color w:val="1C1C1C"/>
          <w:sz w:val="22"/>
          <w:szCs w:val="22"/>
        </w:rPr>
        <w:t xml:space="preserve">Des frais de commission informels non standardisés — certains agents prennent 2 mois, d'autres rien.</w:t>
      </w:r>
    </w:p>
    <w:p>
      <w:pPr>
        <w:pStyle w:val="ListParagraph"/>
        <w:numPr>
          <w:ilvl w:val="0"/>
          <w:numId w:val="2"/>
        </w:numPr>
        <w:spacing w:before="30" w:after="30"/>
      </w:pPr>
      <w:r>
        <w:rPr>
          <w:rFonts w:ascii="Arial" w:cs="Arial" w:eastAsia="Arial" w:hAnsi="Arial"/>
          <w:color w:val="1C1C1C"/>
          <w:sz w:val="22"/>
          <w:szCs w:val="22"/>
        </w:rPr>
        <w:t xml:space="preserve">Aucun acteur local ne propose une expérience de visite structurée, professionnelle et payante.</w:t>
      </w:r>
    </w:p>
    <w:p>
      <w:r>
        <w:t xml:space="preserve"/>
      </w:r>
    </w:p>
    <w:p>
      <w:pPr>
        <w:pBdr>
          <w:bottom w:val="single" w:color="E59898" w:sz="2" w:space="1"/>
        </w:pBdr>
        <w:spacing w:before="200" w:after="70"/>
      </w:pPr>
      <w:r>
        <w:rPr>
          <w:rFonts w:ascii="Arial" w:cs="Arial" w:eastAsia="Arial" w:hAnsi="Arial"/>
          <w:b/>
          <w:bCs/>
          <w:color w:val="922B21"/>
          <w:sz w:val="24"/>
          <w:szCs w:val="24"/>
        </w:rPr>
        <w:t xml:space="preserve">2.2  Solution Vania Agents</w:t>
      </w:r>
    </w:p>
    <w:p>
      <w:pPr>
        <w:pStyle w:val="ListParagraph"/>
        <w:numPr>
          <w:ilvl w:val="0"/>
          <w:numId w:val="2"/>
        </w:numPr>
        <w:spacing w:before="30" w:after="30"/>
      </w:pPr>
      <w:r>
        <w:rPr>
          <w:rFonts w:ascii="Arial" w:cs="Arial" w:eastAsia="Arial" w:hAnsi="Arial"/>
          <w:color w:val="1C1C1C"/>
          <w:sz w:val="22"/>
          <w:szCs w:val="22"/>
        </w:rPr>
        <w:t xml:space="preserve">Référencement exclusif des biens bailleurs Vania (conformes Standard Vania) dans un portefeuille géré professionnellement.</w:t>
      </w:r>
    </w:p>
    <w:p>
      <w:pPr>
        <w:pStyle w:val="ListParagraph"/>
        <w:numPr>
          <w:ilvl w:val="0"/>
          <w:numId w:val="2"/>
        </w:numPr>
        <w:spacing w:before="30" w:after="30"/>
      </w:pPr>
      <w:r>
        <w:rPr>
          <w:rFonts w:ascii="Arial" w:cs="Arial" w:eastAsia="Arial" w:hAnsi="Arial"/>
          <w:color w:val="1C1C1C"/>
          <w:sz w:val="22"/>
          <w:szCs w:val="22"/>
        </w:rPr>
        <w:t xml:space="preserve">Visites organisées, accompagnées par un agent Vania, avec frais de visite transparents et encaissés à l'entrée.</w:t>
      </w:r>
    </w:p>
    <w:p>
      <w:pPr>
        <w:pStyle w:val="ListParagraph"/>
        <w:numPr>
          <w:ilvl w:val="0"/>
          <w:numId w:val="2"/>
        </w:numPr>
        <w:spacing w:before="30" w:after="30"/>
      </w:pPr>
      <w:r>
        <w:rPr>
          <w:rFonts w:ascii="Arial" w:cs="Arial" w:eastAsia="Arial" w:hAnsi="Arial"/>
          <w:color w:val="1C1C1C"/>
          <w:sz w:val="22"/>
          <w:szCs w:val="22"/>
        </w:rPr>
        <w:t xml:space="preserve">Commission de location unique et contractualisée — pas de surprise, pas d'ambiguïté.</w:t>
      </w:r>
    </w:p>
    <w:p>
      <w:pPr>
        <w:pStyle w:val="ListParagraph"/>
        <w:numPr>
          <w:ilvl w:val="0"/>
          <w:numId w:val="2"/>
        </w:numPr>
        <w:spacing w:before="30" w:after="30"/>
      </w:pPr>
      <w:r>
        <w:rPr>
          <w:rFonts w:ascii="Arial" w:cs="Arial" w:eastAsia="Arial" w:hAnsi="Arial"/>
          <w:color w:val="1C1C1C"/>
          <w:sz w:val="22"/>
          <w:szCs w:val="22"/>
        </w:rPr>
        <w:t xml:space="preserve">Rapport mensuel bailleur : nombre de visites, profils visiteurs, recommandations pour accélérer la location.</w:t>
      </w:r>
    </w:p>
    <w:p>
      <w:r>
        <w:t xml:space="preserve"/>
      </w:r>
    </w:p>
    <w:p>
      <w:pPr>
        <w:pBdr>
          <w:bottom w:val="single" w:color="E59898" w:sz="2" w:space="1"/>
        </w:pBdr>
        <w:spacing w:before="200" w:after="70"/>
      </w:pPr>
      <w:r>
        <w:rPr>
          <w:rFonts w:ascii="Arial" w:cs="Arial" w:eastAsia="Arial" w:hAnsi="Arial"/>
          <w:b/>
          <w:bCs/>
          <w:color w:val="922B21"/>
          <w:sz w:val="24"/>
          <w:szCs w:val="24"/>
        </w:rPr>
        <w:t xml:space="preserve">2.3  Objectifs du Sprint 30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13"/>
        <w:gridCol w:w="3413"/>
      </w:tblGrid>
      <w:tr>
        <w:tc>
          <w:tcPr>
            <w:tcW w:type="dxa" w:w="32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OBJECTIF</w:t>
            </w:r>
          </w:p>
        </w:tc>
        <w:tc>
          <w:tcPr>
            <w:tcW w:type="dxa" w:w="2413"/>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CIBLE CHIFFRÉE</w:t>
            </w:r>
          </w:p>
        </w:tc>
        <w:tc>
          <w:tcPr>
            <w:tcW w:type="dxa" w:w="3413"/>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 DE SUCCÈS</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Référencer 20 biens bailleurs Vania</w:t>
            </w:r>
          </w:p>
        </w:tc>
        <w:tc>
          <w:tcPr>
            <w:tcW w:type="dxa" w:w="2413"/>
            <w:tcBorders>
              <w:top w:val="single" w:color="D0D0D0" w:sz="4"/>
              <w:left w:val="single" w:color="D0D0D0" w:sz="4"/>
              <w:bottom w:val="single" w:color="D0D0D0" w:sz="4"/>
              <w:right w:val="single" w:color="D0D0D0" w:sz="4"/>
            </w:tcBorders>
            <w:shd w:fill="E5989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 biens</w:t>
            </w:r>
          </w:p>
        </w:tc>
        <w:tc>
          <w:tcPr>
            <w:tcW w:type="dxa" w:w="3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Annonces publiées, photos Standard Vania</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Réaliser 5 visites en Semaine 1</w:t>
            </w:r>
          </w:p>
        </w:tc>
        <w:tc>
          <w:tcPr>
            <w:tcW w:type="dxa" w:w="2413"/>
            <w:tcBorders>
              <w:top w:val="single" w:color="D0D0D0" w:sz="4"/>
              <w:left w:val="single" w:color="D0D0D0" w:sz="4"/>
              <w:bottom w:val="single" w:color="D0D0D0" w:sz="4"/>
              <w:right w:val="single" w:color="D0D0D0" w:sz="4"/>
            </w:tcBorders>
            <w:shd w:fill="E5989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 visites</w:t>
            </w:r>
          </w:p>
        </w:tc>
        <w:tc>
          <w:tcPr>
            <w:tcW w:type="dxa" w:w="3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25 000 FCFA frais de visite collectés</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Conclure 2 locations en Mois 1</w:t>
            </w:r>
          </w:p>
        </w:tc>
        <w:tc>
          <w:tcPr>
            <w:tcW w:type="dxa" w:w="2413"/>
            <w:tcBorders>
              <w:top w:val="single" w:color="D0D0D0" w:sz="4"/>
              <w:left w:val="single" w:color="D0D0D0" w:sz="4"/>
              <w:bottom w:val="single" w:color="D0D0D0" w:sz="4"/>
              <w:right w:val="single" w:color="D0D0D0" w:sz="4"/>
            </w:tcBorders>
            <w:shd w:fill="E5989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 locations</w:t>
            </w:r>
          </w:p>
        </w:tc>
        <w:tc>
          <w:tcPr>
            <w:tcW w:type="dxa" w:w="3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225 000 FCFA commissions = 250 000 FCFA CA M1</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Atteindre 5 locations conclues en Mois 3</w:t>
            </w:r>
          </w:p>
        </w:tc>
        <w:tc>
          <w:tcPr>
            <w:tcW w:type="dxa" w:w="2413"/>
            <w:tcBorders>
              <w:top w:val="single" w:color="D0D0D0" w:sz="4"/>
              <w:left w:val="single" w:color="D0D0D0" w:sz="4"/>
              <w:bottom w:val="single" w:color="D0D0D0" w:sz="4"/>
              <w:right w:val="single" w:color="D0D0D0" w:sz="4"/>
            </w:tcBorders>
            <w:shd w:fill="E5989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 locations</w:t>
            </w:r>
          </w:p>
        </w:tc>
        <w:tc>
          <w:tcPr>
            <w:tcW w:type="dxa" w:w="3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622 500 FCFA CA M3</w:t>
            </w:r>
          </w:p>
        </w:tc>
      </w:tr>
      <w:tr>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Constituer un pipeline de 50 locataires qualifiés</w:t>
            </w:r>
          </w:p>
        </w:tc>
        <w:tc>
          <w:tcPr>
            <w:tcW w:type="dxa" w:w="2413"/>
            <w:tcBorders>
              <w:top w:val="single" w:color="D0D0D0" w:sz="4"/>
              <w:left w:val="single" w:color="D0D0D0" w:sz="4"/>
              <w:bottom w:val="single" w:color="D0D0D0" w:sz="4"/>
              <w:right w:val="single" w:color="D0D0D0" w:sz="4"/>
            </w:tcBorders>
            <w:shd w:fill="E5989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50 prospects</w:t>
            </w:r>
          </w:p>
        </w:tc>
        <w:tc>
          <w:tcPr>
            <w:tcW w:type="dxa" w:w="3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Base de données locataires actifs</w:t>
            </w:r>
          </w:p>
        </w:tc>
      </w:tr>
    </w:tbl>
    <w:p>
      <w:r>
        <w:r>
          <w:br w:type="page"/>
        </w:r>
      </w:r>
    </w:p>
    <w:p>
      <w:pPr>
        <w:pBdr>
          <w:bottom w:val="single" w:color="C9A84C" w:sz="8" w:space="1"/>
        </w:pBdr>
        <w:shd w:fill="922B21" w:val="clear"/>
        <w:spacing w:before="300" w:after="80"/>
        <w:ind w:left="160"/>
      </w:pPr>
      <w:r>
        <w:rPr>
          <w:rFonts w:ascii="Arial" w:cs="Arial" w:eastAsia="Arial" w:hAnsi="Arial"/>
          <w:b/>
          <w:bCs/>
          <w:color w:val="FFFFFF"/>
          <w:sz w:val="30"/>
          <w:szCs w:val="30"/>
        </w:rPr>
        <w:t xml:space="preserve">3.  PLAN D'ACTION – SEMAINE PAR SEMAINE</w:t>
      </w:r>
    </w:p>
    <w:p>
      <w:r>
        <w:t xml:space="preserve"/>
      </w:r>
    </w:p>
    <w:p>
      <w:pPr>
        <w:pBdr>
          <w:bottom w:val="single" w:color="E59898" w:sz="2" w:space="1"/>
        </w:pBdr>
        <w:spacing w:before="200" w:after="70"/>
      </w:pPr>
      <w:r>
        <w:rPr>
          <w:rFonts w:ascii="Arial" w:cs="Arial" w:eastAsia="Arial" w:hAnsi="Arial"/>
          <w:b/>
          <w:bCs/>
          <w:color w:val="922B21"/>
          <w:sz w:val="24"/>
          <w:szCs w:val="24"/>
        </w:rPr>
        <w:t xml:space="preserve">SEMAINE 1  (Jours 1–7)  —  Fondations &amp; Premiers Frais de Visite</w:t>
      </w:r>
    </w:p>
    <w:p>
      <w:pPr>
        <w:spacing w:before="60" w:after="100"/>
      </w:pPr>
      <w:r>
        <w:rPr>
          <w:rFonts w:ascii="Arial" w:cs="Arial" w:eastAsia="Arial" w:hAnsi="Arial"/>
          <w:b/>
          <w:bCs/>
          <w:color w:val="D35400"/>
          <w:sz w:val="22"/>
          <w:szCs w:val="22"/>
        </w:rPr>
        <w:t xml:space="preserve">Priorité : Constituer le portefeuille de biens et réaliser les 5 premières visites payantes.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26"/>
        <w:gridCol w:w="3000"/>
        <w:gridCol w:w="1600"/>
        <w:gridCol w:w="1500"/>
      </w:tblGrid>
      <w:tr>
        <w:tc>
          <w:tcPr>
            <w:tcW w:type="dxa" w:w="5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w:t>
            </w:r>
          </w:p>
        </w:tc>
        <w:tc>
          <w:tcPr>
            <w:tcW w:type="dxa" w:w="2426"/>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0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 OPÉRATIONNEL</w:t>
            </w:r>
          </w:p>
        </w:tc>
        <w:tc>
          <w:tcPr>
            <w:tcW w:type="dxa" w:w="16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Définir la charte Vania Agents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Rédiger les règles de l'agence : critères d'inscription d'un bien, standards de visite, commission contractuelle, délais de versement. Ce document est remis à chaque bailleur partenaire.</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Vania Agents</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Charte V1 rédigée</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Créer le formulaire d'inscription bien bailleur</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Fiche standardisée : adresse, surface, type (studio/2P/villa), loyer demandé, disponibilité, photos Standard Vania jointes, contact bailleur. Saisie via WhatsApp ou Google Form.</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Vania Agents</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Formulaire actif</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3</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Constituer le portefeuille de 10 biens à louer (M1)</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Contacter les bailleurs clients du Consulting Vania en priorité. Objectif : 10 biens référencés, photos conformes Standard Vania, annonces prêtes à publier via le Studio.</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Commercial + Studio</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10 biens référencés</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4</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Publier les 10 biens sur toutes les plateformes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Facebook Marketplace, WhatsApp Business (catalogue), Afrikimmo, Jumia House. Chaque annonce est au Standard Vania. Boost payant Facebook : 5 000 FCFA pour les 2 premiers biens.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Comm + Studio</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10 annonces publiées</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5–6</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Lancer la prospection locataires actifs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Groupes WhatsApp de recherche de logement, bouche-à-oreille bailleurs, agents partenaires. Script : 'Nous avons des biens vérifiés et bien annoncés. Visite sur rendez-vous : 5 000 FCFA.'</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Commercial</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5 RDV visites planifiés</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7</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Réaliser les 5 premières visites et collecter les frais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Visite accompagnée par l'agent Vania. Remise du reçu de 5 000 FCFA à chaque visiteur. Compte-rendu de visite rempli : intérêt du locataire, observations, suite à donner.</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Agent terrain</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5 visites + 25 000 FCFA collectés</w:t>
            </w:r>
          </w:p>
        </w:tc>
      </w:tr>
    </w:tbl>
    <w:p>
      <w:r>
        <w:t xml:space="preserve"/>
      </w:r>
    </w:p>
    <w:p>
      <w:pPr>
        <w:pBdr>
          <w:bottom w:val="single" w:color="E59898" w:sz="2" w:space="1"/>
        </w:pBdr>
        <w:spacing w:before="200" w:after="70"/>
      </w:pPr>
      <w:r>
        <w:rPr>
          <w:rFonts w:ascii="Arial" w:cs="Arial" w:eastAsia="Arial" w:hAnsi="Arial"/>
          <w:b/>
          <w:bCs/>
          <w:color w:val="922B21"/>
          <w:sz w:val="24"/>
          <w:szCs w:val="24"/>
        </w:rPr>
        <w:t xml:space="preserve">SEMAINE 2  (Jours 8–14)  —  Premières Locations &amp; Commissions</w:t>
      </w:r>
    </w:p>
    <w:p>
      <w:pPr>
        <w:spacing w:before="60" w:after="100"/>
      </w:pPr>
      <w:r>
        <w:rPr>
          <w:rFonts w:ascii="Arial" w:cs="Arial" w:eastAsia="Arial" w:hAnsi="Arial"/>
          <w:b/>
          <w:bCs/>
          <w:color w:val="D35400"/>
          <w:sz w:val="22"/>
          <w:szCs w:val="22"/>
        </w:rPr>
        <w:t xml:space="preserve">Priorité : Convertir les visiteurs de S1 en locataires signés et percevoir les premières commissions.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26"/>
        <w:gridCol w:w="3000"/>
        <w:gridCol w:w="1600"/>
        <w:gridCol w:w="1500"/>
      </w:tblGrid>
      <w:tr>
        <w:tc>
          <w:tcPr>
            <w:tcW w:type="dxa" w:w="5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w:t>
            </w:r>
          </w:p>
        </w:tc>
        <w:tc>
          <w:tcPr>
            <w:tcW w:type="dxa" w:w="2426"/>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0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 OPÉRATIONNEL</w:t>
            </w:r>
          </w:p>
        </w:tc>
        <w:tc>
          <w:tcPr>
            <w:tcW w:type="dxa" w:w="16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8–9</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Convertir les prospects chauds en locations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Relancer les visiteurs de la S1. Présenter le dossier locataire requis (pièce d'identité, justificatif de revenus). Accompagner la signature du bail entre bailleur et locataire.</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Vania Agents</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1–2 locations conclues</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10</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Percevoir et reverser la commission de location</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À la signature du bail : collecter 1 mois de loyer de commission (112 500 FCFA en moyenne). Reverser 70 % au compte Vania Agents, 30 % à l'agent terrain. Émettre un reçu officiel.</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Finance</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1ère commission perçue</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11–12</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Étendre le portefeuille à 15 biens référencés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Relancer les bailleurs identifiés lors des diagnostics Consulting. Chaque nouveau bien référencé doit avoir ses photos Standard Vania avant publication. Cible : +5 biens.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Commercial</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15 biens au total</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13</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Planifier et réaliser 3 nouvelles visites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Nouvelles demandes générées par les publications. Confirmer les RDV 24h à l'avance. Collecter les frais à l'entrée de la visite. Règle : pas de visite sans paiement préalable.</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Agent terrain</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3 visites + 15 000 FCFA</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14</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Point d'étape interne S2</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Revue : biens référencés, visites réalisées, locations conclues, CA généré. Identifier les biens qui n'ont reçu aucune demande : reprendre les photos, améliorer l'annonce.</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Toute l'équipe</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Rapport S2</w:t>
            </w:r>
          </w:p>
        </w:tc>
      </w:tr>
    </w:tbl>
    <w:p>
      <w:r>
        <w:t xml:space="preserve"/>
      </w:r>
    </w:p>
    <w:p>
      <w:r>
        <w:r>
          <w:br w:type="page"/>
        </w:r>
      </w:r>
    </w:p>
    <w:p>
      <w:pPr>
        <w:pBdr>
          <w:bottom w:val="single" w:color="E59898" w:sz="2" w:space="1"/>
        </w:pBdr>
        <w:spacing w:before="200" w:after="70"/>
      </w:pPr>
      <w:r>
        <w:rPr>
          <w:rFonts w:ascii="Arial" w:cs="Arial" w:eastAsia="Arial" w:hAnsi="Arial"/>
          <w:b/>
          <w:bCs/>
          <w:color w:val="922B21"/>
          <w:sz w:val="24"/>
          <w:szCs w:val="24"/>
        </w:rPr>
        <w:t xml:space="preserve">SEMAINE 3  (Jours 15–21)  —  Montée en Puissance &amp; Campagne Bailleurs</w:t>
      </w:r>
    </w:p>
    <w:p>
      <w:pPr>
        <w:spacing w:before="60" w:after="100"/>
      </w:pPr>
      <w:r>
        <w:rPr>
          <w:rFonts w:ascii="Arial" w:cs="Arial" w:eastAsia="Arial" w:hAnsi="Arial"/>
          <w:b/>
          <w:bCs/>
          <w:color w:val="D35400"/>
          <w:sz w:val="22"/>
          <w:szCs w:val="22"/>
        </w:rPr>
        <w:t xml:space="preserve">Priorité : Multiplier les visites, signer les locations M1 restantes, élargir le portefeuille à 20 biens.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26"/>
        <w:gridCol w:w="3000"/>
        <w:gridCol w:w="1600"/>
        <w:gridCol w:w="1500"/>
      </w:tblGrid>
      <w:tr>
        <w:tc>
          <w:tcPr>
            <w:tcW w:type="dxa" w:w="5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w:t>
            </w:r>
          </w:p>
        </w:tc>
        <w:tc>
          <w:tcPr>
            <w:tcW w:type="dxa" w:w="2426"/>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0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 OPÉRATIONNEL</w:t>
            </w:r>
          </w:p>
        </w:tc>
        <w:tc>
          <w:tcPr>
            <w:tcW w:type="dxa" w:w="16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15–16</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Réaliser 6 visites supplémentaires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Intensifier la promotion des biens via les réseaux sociaux. Stories quotidiennes sur Instagram/Facebook : visite virtuelle en 30 secondes, lien vers le formulaire de RDV.</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Comm + Agent</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6 visites + 30 000 FCFA</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17–18</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Convertir 2 locations supplémentaires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Suivi personnalisé des dossiers locataires en cours. Accompagner chaque étape : dossier, négociation loyer, signature bail. Objectif : 2 nouvelles commissions = 225 000 FCFA.</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Vania Agents</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 commissions = 225 000 FCFA</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19</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Produire le premier rapport bailleur</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Pour chaque bailleur dont le bien est en portefeuille : rapport mensuel (nombre de visites, profils visiteurs, retours, recommandations pour accélérer la location). Renforce la confiance.</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Vania Agents</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Rapports bailleurs envoyés</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20–21</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Étendre à 20 biens référencés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Activer le réseau des agents Studio (qui connaissent des bailleurs avec biens vacants). Proposition : référencement gratuit du bien + annonce Standard Vania offerte si le bail est signé via Vania.</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Commercial</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20 biens en portefeuille</w:t>
            </w:r>
          </w:p>
        </w:tc>
      </w:tr>
    </w:tbl>
    <w:p>
      <w:r>
        <w:t xml:space="preserve"/>
      </w:r>
    </w:p>
    <w:p>
      <w:pPr>
        <w:pBdr>
          <w:bottom w:val="single" w:color="E59898" w:sz="2" w:space="1"/>
        </w:pBdr>
        <w:spacing w:before="200" w:after="70"/>
      </w:pPr>
      <w:r>
        <w:rPr>
          <w:rFonts w:ascii="Arial" w:cs="Arial" w:eastAsia="Arial" w:hAnsi="Arial"/>
          <w:b/>
          <w:bCs/>
          <w:color w:val="922B21"/>
          <w:sz w:val="24"/>
          <w:szCs w:val="24"/>
        </w:rPr>
        <w:t xml:space="preserve">SEMAINE 4  (Jours 22–30)  —  Pic de Visites &amp; Bilan Sprint</w:t>
      </w:r>
    </w:p>
    <w:p>
      <w:pPr>
        <w:spacing w:before="60" w:after="100"/>
      </w:pPr>
      <w:r>
        <w:rPr>
          <w:rFonts w:ascii="Arial" w:cs="Arial" w:eastAsia="Arial" w:hAnsi="Arial"/>
          <w:b/>
          <w:bCs/>
          <w:color w:val="D35400"/>
          <w:sz w:val="22"/>
          <w:szCs w:val="22"/>
        </w:rPr>
        <w:t xml:space="preserve">Priorité : Maximiser les transactions de fin de mois et préparer le mois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26"/>
        <w:gridCol w:w="3000"/>
        <w:gridCol w:w="1600"/>
        <w:gridCol w:w="1500"/>
      </w:tblGrid>
      <w:tr>
        <w:tc>
          <w:tcPr>
            <w:tcW w:type="dxa" w:w="5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w:t>
            </w:r>
          </w:p>
        </w:tc>
        <w:tc>
          <w:tcPr>
            <w:tcW w:type="dxa" w:w="2426"/>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0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 OPÉRATIONNEL</w:t>
            </w:r>
          </w:p>
        </w:tc>
        <w:tc>
          <w:tcPr>
            <w:tcW w:type="dxa" w:w="16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22–24</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Atteindre 313 visites/an rythme : 12–16 visites cette semaine</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Pic de visites en fin de mois (les locataires cherchent pour le mois suivant). Planifier 4 visites/jour sur 3 jours. Agent terrain disponible 07h–16h selon emploi du temps Vania.</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Agent terrain</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12–16 visites réalisées</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25–26</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Signer les 5 locations du mois 3 (objectif)</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Accompagnement final des dossiers les plus avancés. Négociation des conditions si nécessaire. Chaque location signée = 112 500 FCFA de commission. Objectif M3 : 562 500 FCFA de commissions.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Vania Agents</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5 locations = 562 500 FCFA</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27–28</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Lancer la campagne 'Bailleur Vania'</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Campagne WhatsApp + Facebook ciblant les propriétaires de biens vacants : 'Votre bien est vide depuis trop longtemps. Vania Agents le loue pour vous : annonce de qualité + locataire vérifié + commission à la location uniquement.'</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Comm</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Campagne lancée</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29–30</w:t>
            </w:r>
          </w:p>
        </w:tc>
        <w:tc>
          <w:tcPr>
            <w:tcW w:type="dxa" w:w="24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Bilan sprint + plan Mois 2</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 réalisé vs objectif, visites réalisées, taux de conversion, biens restants non loués. Objectif M2 : 8 visites, 3 locations, CA = 377 500 FCFA. Synergie : tous les bailleurs Consulting deviennent prospects Vania Agents.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Toute l'équipe</w:t>
            </w:r>
          </w:p>
        </w:tc>
        <w:tc>
          <w:tcPr>
            <w:tcW w:type="dxa" w:w="1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Rapport bilan + Plan M2</w:t>
            </w:r>
          </w:p>
        </w:tc>
      </w:tr>
    </w:tbl>
    <w:p>
      <w:r>
        <w:r>
          <w:br w:type="page"/>
        </w:r>
      </w:r>
    </w:p>
    <w:p>
      <w:pPr>
        <w:pBdr>
          <w:bottom w:val="single" w:color="C9A84C" w:sz="8" w:space="1"/>
        </w:pBdr>
        <w:shd w:fill="922B21" w:val="clear"/>
        <w:spacing w:before="300" w:after="80"/>
        <w:ind w:left="160"/>
      </w:pPr>
      <w:r>
        <w:rPr>
          <w:rFonts w:ascii="Arial" w:cs="Arial" w:eastAsia="Arial" w:hAnsi="Arial"/>
          <w:b/>
          <w:bCs/>
          <w:color w:val="FFFFFF"/>
          <w:sz w:val="30"/>
          <w:szCs w:val="30"/>
        </w:rPr>
        <w:t xml:space="preserve">4.  PROCESSUS OPÉRATIONNEL VANIA AGENTS</w:t>
      </w:r>
    </w:p>
    <w:p>
      <w:r>
        <w:t xml:space="preserve"/>
      </w:r>
    </w:p>
    <w:p>
      <w:pPr>
        <w:pBdr>
          <w:bottom w:val="single" w:color="E59898" w:sz="2" w:space="1"/>
        </w:pBdr>
        <w:spacing w:before="200" w:after="70"/>
      </w:pPr>
      <w:r>
        <w:rPr>
          <w:rFonts w:ascii="Arial" w:cs="Arial" w:eastAsia="Arial" w:hAnsi="Arial"/>
          <w:b/>
          <w:bCs/>
          <w:color w:val="922B21"/>
          <w:sz w:val="24"/>
          <w:szCs w:val="24"/>
        </w:rPr>
        <w:t xml:space="preserve">4.1  Le cycle complet d'une transaction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526"/>
        <w:gridCol w:w="3000"/>
      </w:tblGrid>
      <w:tr>
        <w:tc>
          <w:tcPr>
            <w:tcW w:type="dxa" w:w="5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ÉTAPE</w:t>
            </w:r>
          </w:p>
        </w:tc>
        <w:tc>
          <w:tcPr>
            <w:tcW w:type="dxa" w:w="20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526"/>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w:t>
            </w:r>
          </w:p>
        </w:tc>
        <w:tc>
          <w:tcPr>
            <w:tcW w:type="dxa" w:w="30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 VANIA</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Référencement du bien</w:t>
            </w:r>
          </w:p>
        </w:tc>
        <w:tc>
          <w:tcPr>
            <w:tcW w:type="dxa" w:w="35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Le bailleur confie son bien à Vania Agents. Photos Standard Vania prises par le Studio. Annonce publiée sur toutes les plateformes.</w:t>
            </w:r>
          </w:p>
        </w:tc>
        <w:tc>
          <w:tcPr>
            <w:tcW w:type="dxa" w:w="3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0 FCFA (gratuit pour le bailleur)</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Réception des demandes locataires</w:t>
            </w:r>
          </w:p>
        </w:tc>
        <w:tc>
          <w:tcPr>
            <w:tcW w:type="dxa" w:w="35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Via WhatsApp Business, formulaire en ligne, ou plateformes partenaires. Qualification rapide : budget, délai d'emménagement, situation professionnelle.</w:t>
            </w:r>
          </w:p>
        </w:tc>
        <w:tc>
          <w:tcPr>
            <w:tcW w:type="dxa" w:w="3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0 FCFA</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3</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Planification et confirmation de la visite</w:t>
            </w:r>
          </w:p>
        </w:tc>
        <w:tc>
          <w:tcPr>
            <w:tcW w:type="dxa" w:w="35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RDV confirmé 24h à l'avance par WhatsApp. Rappel 1h avant. Règle absolue : frais de visite encaissés à l'arrivée, avant d'entrer dans le bien.</w:t>
            </w:r>
          </w:p>
        </w:tc>
        <w:tc>
          <w:tcPr>
            <w:tcW w:type="dxa" w:w="3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0 FCFA (encaissement à l'étape 4)</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4</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Visite accompagnée</w:t>
            </w:r>
          </w:p>
        </w:tc>
        <w:tc>
          <w:tcPr>
            <w:tcW w:type="dxa" w:w="35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L'agent Vania présente le bien, répond aux questions, note les retours du visiteur. Remise du reçu de 5 000 FCFA. Compte-rendu transmis au bailleur dans les 24h.</w:t>
            </w:r>
          </w:p>
        </w:tc>
        <w:tc>
          <w:tcPr>
            <w:tcW w:type="dxa" w:w="30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5 000 FCFA</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5</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Constitution du dossier locataire</w:t>
            </w:r>
          </w:p>
        </w:tc>
        <w:tc>
          <w:tcPr>
            <w:tcW w:type="dxa" w:w="35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Documents requis : CNI/passeport, dernier bulletin de salaire ou justificatif de revenus, référence du précédent bailleur si applicable.</w:t>
            </w:r>
          </w:p>
        </w:tc>
        <w:tc>
          <w:tcPr>
            <w:tcW w:type="dxa" w:w="3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0 FCFA</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6</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Signature du bail</w:t>
            </w:r>
          </w:p>
        </w:tc>
        <w:tc>
          <w:tcPr>
            <w:tcW w:type="dxa" w:w="35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Vania Agents accompagne la signature entre bailleur et locataire. Le bail type Vania est proposé (rédigé par le Consulting). Commission prélevée à ce moment.</w:t>
            </w:r>
          </w:p>
        </w:tc>
        <w:tc>
          <w:tcPr>
            <w:tcW w:type="dxa" w:w="30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 mois de loyer (moy. 112 500 FCFA)</w:t>
            </w:r>
          </w:p>
        </w:tc>
      </w:tr>
      <w:tr>
        <w:tc>
          <w:tcPr>
            <w:tcW w:type="dxa" w:w="500"/>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7</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Rapport post-location bailleur</w:t>
            </w:r>
          </w:p>
        </w:tc>
        <w:tc>
          <w:tcPr>
            <w:tcW w:type="dxa" w:w="35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Fiche récapitulative : durée de commercialisation, nombre de visites, profil du locataire retenu, recommandations pour le prochain mandat.</w:t>
            </w:r>
          </w:p>
        </w:tc>
        <w:tc>
          <w:tcPr>
            <w:tcW w:type="dxa" w:w="3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Fidélisation — pas de revenu direct</w:t>
            </w:r>
          </w:p>
        </w:tc>
      </w:tr>
    </w:tbl>
    <w:p>
      <w:r>
        <w:t xml:space="preserve"/>
      </w:r>
    </w:p>
    <w:p>
      <w:pPr>
        <w:pBdr>
          <w:bottom w:val="single" w:color="E59898" w:sz="2" w:space="1"/>
        </w:pBdr>
        <w:spacing w:before="200" w:after="70"/>
      </w:pPr>
      <w:r>
        <w:rPr>
          <w:rFonts w:ascii="Arial" w:cs="Arial" w:eastAsia="Arial" w:hAnsi="Arial"/>
          <w:b/>
          <w:bCs/>
          <w:color w:val="922B21"/>
          <w:sz w:val="24"/>
          <w:szCs w:val="24"/>
        </w:rPr>
        <w:t xml:space="preserve">4.2  Règles non-négociables du département</w:t>
      </w:r>
    </w:p>
    <w:p>
      <w:pPr>
        <w:pStyle w:val="ListParagraph"/>
        <w:numPr>
          <w:ilvl w:val="0"/>
          <w:numId w:val="3"/>
        </w:numPr>
        <w:spacing w:before="40" w:after="40"/>
      </w:pPr>
      <w:r>
        <w:rPr>
          <w:rFonts w:ascii="Arial" w:cs="Arial" w:eastAsia="Arial" w:hAnsi="Arial"/>
          <w:b/>
          <w:bCs/>
          <w:color w:val="922B21"/>
          <w:sz w:val="22"/>
          <w:szCs w:val="22"/>
        </w:rPr>
        <w:t xml:space="preserve">Aucune visite sans paiement des frais à l'entrée. Sans exception, même pour un proche du bailleur. Cette règle protège la crédibilité de Vania Agents.</w:t>
      </w:r>
    </w:p>
    <w:p>
      <w:pPr>
        <w:pStyle w:val="ListParagraph"/>
        <w:numPr>
          <w:ilvl w:val="0"/>
          <w:numId w:val="3"/>
        </w:numPr>
        <w:spacing w:before="40" w:after="40"/>
      </w:pPr>
      <w:r>
        <w:rPr>
          <w:rFonts w:ascii="Arial" w:cs="Arial" w:eastAsia="Arial" w:hAnsi="Arial"/>
          <w:b/>
          <w:bCs/>
          <w:color w:val="922B21"/>
          <w:sz w:val="22"/>
          <w:szCs w:val="22"/>
        </w:rPr>
        <w:t xml:space="preserve">Aucun bien ne rejoint le portefeuille sans photos conformes au Standard Vania. Un bien mal présenté nuit à l'image du département entier.</w:t>
      </w:r>
    </w:p>
    <w:p>
      <w:pPr>
        <w:pStyle w:val="ListParagraph"/>
        <w:numPr>
          <w:ilvl w:val="0"/>
          <w:numId w:val="3"/>
        </w:numPr>
        <w:spacing w:before="40" w:after="40"/>
      </w:pPr>
      <w:r>
        <w:rPr>
          <w:rFonts w:ascii="Arial" w:cs="Arial" w:eastAsia="Arial" w:hAnsi="Arial"/>
          <w:b/>
          <w:bCs/>
          <w:color w:val="922B21"/>
          <w:sz w:val="22"/>
          <w:szCs w:val="22"/>
        </w:rPr>
        <w:t xml:space="preserve">Le bail type Vania doit être proposé systématiquement. Il protège bailleur et locataire et positionne Vania comme référence professionnelle.</w:t>
      </w:r>
    </w:p>
    <w:p>
      <w:pPr>
        <w:pStyle w:val="ListParagraph"/>
        <w:numPr>
          <w:ilvl w:val="0"/>
          <w:numId w:val="3"/>
        </w:numPr>
        <w:spacing w:before="40" w:after="40"/>
      </w:pPr>
      <w:r>
        <w:rPr>
          <w:rFonts w:ascii="Arial" w:cs="Arial" w:eastAsia="Arial" w:hAnsi="Arial"/>
          <w:b/>
          <w:bCs/>
          <w:color w:val="922B21"/>
          <w:sz w:val="22"/>
          <w:szCs w:val="22"/>
        </w:rPr>
        <w:t xml:space="preserve">La commission est prélevée à la signature, jamais avant, jamais après. Transparence totale avec le bailleur dès le référencement.</w:t>
      </w:r>
    </w:p>
    <w:p>
      <w:pPr>
        <w:pStyle w:val="ListParagraph"/>
        <w:numPr>
          <w:ilvl w:val="0"/>
          <w:numId w:val="3"/>
        </w:numPr>
        <w:spacing w:before="40" w:after="40"/>
      </w:pPr>
      <w:r>
        <w:rPr>
          <w:rFonts w:ascii="Arial" w:cs="Arial" w:eastAsia="Arial" w:hAnsi="Arial"/>
          <w:b/>
          <w:bCs/>
          <w:color w:val="922B21"/>
          <w:sz w:val="22"/>
          <w:szCs w:val="22"/>
        </w:rPr>
        <w:t xml:space="preserve">Le rapport de visite est transmis au bailleur dans les 24h. Un bailleur informé est un bailleur fidèle.</w:t>
      </w:r>
    </w:p>
    <w:p>
      <w:r>
        <w:r>
          <w:br w:type="page"/>
        </w:r>
      </w:r>
    </w:p>
    <w:p>
      <w:pPr>
        <w:pBdr>
          <w:bottom w:val="single" w:color="C9A84C" w:sz="8" w:space="1"/>
        </w:pBdr>
        <w:shd w:fill="922B21" w:val="clear"/>
        <w:spacing w:before="300" w:after="80"/>
        <w:ind w:left="160"/>
      </w:pPr>
      <w:r>
        <w:rPr>
          <w:rFonts w:ascii="Arial" w:cs="Arial" w:eastAsia="Arial" w:hAnsi="Arial"/>
          <w:b/>
          <w:bCs/>
          <w:color w:val="FFFFFF"/>
          <w:sz w:val="30"/>
          <w:szCs w:val="30"/>
        </w:rPr>
        <w:t xml:space="preserve">5.  MODÈLE ÉCONOMIQUE VANIA AGENTS</w:t>
      </w:r>
    </w:p>
    <w:p>
      <w:r>
        <w:t xml:space="preserve"/>
      </w:r>
    </w:p>
    <w:p>
      <w:pPr>
        <w:pBdr>
          <w:bottom w:val="single" w:color="E59898" w:sz="2" w:space="1"/>
        </w:pBdr>
        <w:spacing w:before="200" w:after="70"/>
      </w:pPr>
      <w:r>
        <w:rPr>
          <w:rFonts w:ascii="Arial" w:cs="Arial" w:eastAsia="Arial" w:hAnsi="Arial"/>
          <w:b/>
          <w:bCs/>
          <w:color w:val="922B21"/>
          <w:sz w:val="24"/>
          <w:szCs w:val="24"/>
        </w:rPr>
        <w:t xml:space="preserve">5.1  Structure des revenus et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13"/>
        <w:gridCol w:w="3513"/>
      </w:tblGrid>
      <w:tr>
        <w:tc>
          <w:tcPr>
            <w:tcW w:type="dxa" w:w="35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POSTE</w:t>
            </w:r>
          </w:p>
        </w:tc>
        <w:tc>
          <w:tcPr>
            <w:tcW w:type="dxa" w:w="20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MONTANT</w:t>
            </w:r>
          </w:p>
        </w:tc>
        <w:tc>
          <w:tcPr>
            <w:tcW w:type="dxa" w:w="35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COMMENTAIRE</w:t>
            </w:r>
          </w:p>
        </w:tc>
      </w:tr>
      <w:tr>
        <w:tc>
          <w:tcPr>
            <w:tcW w:type="dxa" w:w="3500"/>
            <w:tcBorders>
              <w:top w:val="single" w:color="D0D0D0" w:sz="4"/>
              <w:left w:val="single" w:color="D0D0D0" w:sz="4"/>
              <w:bottom w:val="single" w:color="D0D0D0" w:sz="4"/>
              <w:right w:val="single" w:color="D0D0D0" w:sz="4"/>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SOURCES DE REVENUS</w:t>
            </w:r>
          </w:p>
        </w:tc>
        <w:tc>
          <w:tcPr>
            <w:tcW w:type="dxa" w:w="20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
            </w:r>
          </w:p>
        </w:tc>
      </w:tr>
      <w:tr>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Frais de visite</w:t>
            </w:r>
          </w:p>
        </w:tc>
        <w:tc>
          <w:tcPr>
            <w:tcW w:type="dxa" w:w="2013"/>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5 000 FCFA / visite</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Perçu à chaque visite, quel que soit le résultat</w:t>
            </w:r>
          </w:p>
        </w:tc>
      </w:tr>
      <w:tr>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Commission location</w:t>
            </w:r>
          </w:p>
        </w:tc>
        <w:tc>
          <w:tcPr>
            <w:tcW w:type="dxa" w:w="2013"/>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 mois de loyer (moy. 112 500 FCFA)</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Perçue à la signature du bail entre bailleur et locataire</w:t>
            </w:r>
          </w:p>
        </w:tc>
      </w:tr>
      <w:tr>
        <w:tc>
          <w:tcPr>
            <w:tcW w:type="dxa" w:w="3500"/>
            <w:tcBorders>
              <w:top w:val="single" w:color="D0D0D0" w:sz="4"/>
              <w:left w:val="single" w:color="D0D0D0" w:sz="4"/>
              <w:bottom w:val="single" w:color="D0D0D0" w:sz="4"/>
              <w:right w:val="single" w:color="D0D0D0" w:sz="4"/>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STRUCTURE DE CHARGES</w:t>
            </w:r>
          </w:p>
        </w:tc>
        <w:tc>
          <w:tcPr>
            <w:tcW w:type="dxa" w:w="20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
            </w:r>
          </w:p>
        </w:tc>
      </w:tr>
      <w:tr>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Commission agent terrain (30 % du CA)</w:t>
            </w:r>
          </w:p>
        </w:tc>
        <w:tc>
          <w:tcPr>
            <w:tcW w:type="dxa" w:w="2013"/>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Variable — 30 % du CA</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Rémunération de l'agent qui réalise les visites et accompagne les signatures</w:t>
            </w:r>
          </w:p>
        </w:tc>
      </w:tr>
      <w:tr>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Frais de déplacement terrain</w:t>
            </w:r>
          </w:p>
        </w:tc>
        <w:tc>
          <w:tcPr>
            <w:tcW w:type="dxa" w:w="2013"/>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2 000 FCFA / visite</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Transport de l'agent vers les biens : moto, taxi, carburant</w:t>
            </w:r>
          </w:p>
        </w:tc>
      </w:tr>
      <w:tr>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Marketing &amp; boost publications</w:t>
            </w:r>
          </w:p>
        </w:tc>
        <w:tc>
          <w:tcPr>
            <w:tcW w:type="dxa" w:w="2013"/>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15 000 FCFA / mois</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Boost Facebook/Instagram des biens les plus difficiles à louer</w:t>
            </w:r>
          </w:p>
        </w:tc>
      </w:tr>
      <w:tr>
        <w:tc>
          <w:tcPr>
            <w:tcW w:type="dxa" w:w="3500"/>
            <w:tcBorders>
              <w:top w:val="single" w:color="C9A84C" w:sz="4"/>
              <w:left w:val="single" w:color="C9A84C" w:sz="4"/>
              <w:bottom w:val="single" w:color="C9A84C" w:sz="4"/>
              <w:right w:val="single" w:color="C9A84C" w:sz="4"/>
            </w:tcBorders>
            <w:shd w:fill="0A0A0A" w:val="clear"/>
            <w:tcMar>
              <w:top w:type="dxa" w:w="90"/>
              <w:left w:type="dxa" w:w="120"/>
              <w:bottom w:type="dxa" w:w="90"/>
              <w:right w:type="dxa" w:w="120"/>
            </w:tcMar>
          </w:tcPr>
          <w:p>
            <w:r>
              <w:rPr>
                <w:rFonts w:ascii="Arial" w:cs="Arial" w:eastAsia="Arial" w:hAnsi="Arial"/>
                <w:b/>
                <w:bCs/>
                <w:color w:val="FFFFFF"/>
                <w:sz w:val="20"/>
                <w:szCs w:val="20"/>
              </w:rPr>
              <w:t xml:space="preserve">MARGE VANIA AGENTS (après commission agent)</w:t>
            </w:r>
          </w:p>
        </w:tc>
        <w:tc>
          <w:tcPr>
            <w:tcW w:type="dxa" w:w="2013"/>
            <w:tcBorders>
              <w:top w:val="single" w:color="C9A84C" w:sz="4"/>
              <w:left w:val="single" w:color="C9A84C" w:sz="4"/>
              <w:bottom w:val="single" w:color="C9A84C" w:sz="4"/>
              <w:right w:val="single" w:color="C9A84C" w:sz="4"/>
            </w:tcBorders>
            <w:shd w:fill="C9A84C"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~65 % du CA</w:t>
            </w:r>
          </w:p>
        </w:tc>
        <w:tc>
          <w:tcPr>
            <w:tcW w:type="dxa" w:w="3513"/>
            <w:tcBorders>
              <w:top w:val="single" w:color="C9A84C" w:sz="4"/>
              <w:left w:val="single" w:color="C9A84C" w:sz="4"/>
              <w:bottom w:val="single" w:color="C9A84C" w:sz="4"/>
              <w:right w:val="single" w:color="C9A84C" w:sz="4"/>
            </w:tcBorders>
            <w:shd w:fill="FDF6E3" w:val="clear"/>
            <w:tcMar>
              <w:top w:type="dxa" w:w="90"/>
              <w:left w:type="dxa" w:w="120"/>
              <w:bottom w:type="dxa" w:w="90"/>
              <w:right w:type="dxa" w:w="120"/>
            </w:tcMar>
          </w:tcPr>
          <w:p>
            <w:r>
              <w:rPr>
                <w:rFonts w:ascii="Arial" w:cs="Arial" w:eastAsia="Arial" w:hAnsi="Arial"/>
                <w:color w:val="1C1C1C"/>
                <w:sz w:val="20"/>
                <w:szCs w:val="20"/>
              </w:rPr>
              <w:t xml:space="preserve">Marge nette — modèle pur intermédiation, zéro stock</w:t>
            </w:r>
          </w:p>
        </w:tc>
      </w:tr>
    </w:tbl>
    <w:p>
      <w:r>
        <w:t xml:space="preserve"/>
      </w:r>
    </w:p>
    <w:p>
      <w:pPr>
        <w:pBdr>
          <w:bottom w:val="single" w:color="E59898" w:sz="2" w:space="1"/>
        </w:pBdr>
        <w:spacing w:before="200" w:after="70"/>
      </w:pPr>
      <w:r>
        <w:rPr>
          <w:rFonts w:ascii="Arial" w:cs="Arial" w:eastAsia="Arial" w:hAnsi="Arial"/>
          <w:b/>
          <w:bCs/>
          <w:color w:val="922B21"/>
          <w:sz w:val="24"/>
          <w:szCs w:val="24"/>
        </w:rPr>
        <w:t xml:space="preserve">5.2  Formule de calcul du CA mensuel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22B21" w:sz="4"/>
              <w:left w:val="single" w:color="922B21" w:sz="4"/>
              <w:bottom w:val="single" w:color="922B21" w:sz="4"/>
              <w:right w:val="single" w:color="922B21" w:sz="4"/>
            </w:tcBorders>
            <w:shd w:fill="FDEDEC" w:val="clear"/>
            <w:tcMar>
              <w:top w:type="dxa" w:w="120"/>
              <w:left w:type="dxa" w:w="200"/>
              <w:bottom w:type="dxa" w:w="120"/>
              <w:right w:type="dxa" w:w="200"/>
            </w:tcMar>
          </w:tcPr>
          <w:p>
            <w:pPr>
              <w:jc w:val="center"/>
            </w:pPr>
            <w:r>
              <w:rPr>
                <w:rFonts w:ascii="Arial" w:cs="Arial" w:eastAsia="Arial" w:hAnsi="Arial"/>
                <w:b/>
                <w:bCs/>
                <w:color w:val="0A0A0A"/>
                <w:sz w:val="24"/>
                <w:szCs w:val="24"/>
              </w:rPr>
              <w:t xml:space="preserve">CA mensuel = (Nb visites × 5 000) + (Nb locations × loyer moyen)</w:t>
            </w:r>
          </w:p>
          <w:p>
            <w:pPr>
              <w:jc w:val="center"/>
            </w:pPr>
            <w:r>
              <w:rPr>
                <w:rFonts w:ascii="Arial" w:cs="Arial" w:eastAsia="Arial" w:hAnsi="Arial"/>
                <w:color w:val="922B21"/>
                <w:sz w:val="20"/>
                <w:szCs w:val="20"/>
              </w:rPr>
              <w:t xml:space="preserve">Exemple M1 : (5 × 5 000) + (2 × 112 500) = 25 000 + 225 000 = 250 000 FCFA</w:t>
            </w:r>
          </w:p>
          <w:p>
            <w:pPr>
              <w:jc w:val="center"/>
            </w:pPr>
            <w:r>
              <w:rPr>
                <w:rFonts w:ascii="Arial" w:cs="Arial" w:eastAsia="Arial" w:hAnsi="Arial"/>
                <w:i/>
                <w:iCs/>
                <w:color w:val="555555"/>
                <w:sz w:val="20"/>
                <w:szCs w:val="20"/>
              </w:rPr>
              <w:t xml:space="preserve">Point mort : atteint dès la 1ère location conclue (112 500 FCFA &gt; charges fixes mensuelles)</w:t>
            </w:r>
          </w:p>
        </w:tc>
      </w:tr>
    </w:tbl>
    <w:p>
      <w:r>
        <w:r>
          <w:br w:type="page"/>
        </w:r>
      </w:r>
    </w:p>
    <w:p>
      <w:pPr>
        <w:pBdr>
          <w:bottom w:val="single" w:color="C9A84C" w:sz="8" w:space="1"/>
        </w:pBdr>
        <w:shd w:fill="922B21" w:val="clear"/>
        <w:spacing w:before="300" w:after="80"/>
        <w:ind w:left="160"/>
      </w:pPr>
      <w:r>
        <w:rPr>
          <w:rFonts w:ascii="Arial" w:cs="Arial" w:eastAsia="Arial" w:hAnsi="Arial"/>
          <w:b/>
          <w:bCs/>
          <w:color w:val="FFFFFF"/>
          <w:sz w:val="30"/>
          <w:szCs w:val="30"/>
        </w:rPr>
        <w:t xml:space="preserve">6.  PROJECTION FINANCIÈRE 12 MOIS — VANIA AGENTS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900"/>
        <w:gridCol w:w="1200"/>
        <w:gridCol w:w="1513"/>
        <w:gridCol w:w="1313"/>
        <w:gridCol w:w="1200"/>
        <w:gridCol w:w="1400"/>
      </w:tblGrid>
      <w:tr>
        <w:tc>
          <w:tcPr>
            <w:tcW w:type="dxa" w:w="7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Mois</w:t>
            </w:r>
          </w:p>
        </w:tc>
        <w:tc>
          <w:tcPr>
            <w:tcW w:type="dxa" w:w="8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Visites</w:t>
            </w:r>
          </w:p>
        </w:tc>
        <w:tc>
          <w:tcPr>
            <w:tcW w:type="dxa" w:w="9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Locations</w:t>
            </w:r>
          </w:p>
        </w:tc>
        <w:tc>
          <w:tcPr>
            <w:tcW w:type="dxa" w:w="12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 Visites</w:t>
            </w:r>
          </w:p>
        </w:tc>
        <w:tc>
          <w:tcPr>
            <w:tcW w:type="dxa" w:w="1513"/>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 Commissions</w:t>
            </w:r>
          </w:p>
        </w:tc>
        <w:tc>
          <w:tcPr>
            <w:tcW w:type="dxa" w:w="1313"/>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 Total</w:t>
            </w:r>
          </w:p>
        </w:tc>
        <w:tc>
          <w:tcPr>
            <w:tcW w:type="dxa" w:w="12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Charges</w:t>
            </w:r>
          </w:p>
        </w:tc>
        <w:tc>
          <w:tcPr>
            <w:tcW w:type="dxa" w:w="14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Net</w:t>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M1</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5</w:t>
            </w:r>
          </w:p>
        </w:tc>
        <w:tc>
          <w:tcPr>
            <w:tcW w:type="dxa" w:w="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25 000</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225 000</w:t>
            </w:r>
          </w:p>
        </w:tc>
        <w:tc>
          <w:tcPr>
            <w:tcW w:type="dxa" w:w="1313"/>
            <w:tcBorders>
              <w:top w:val="single" w:color="D0D0D0" w:sz="4"/>
              <w:left w:val="single" w:color="D0D0D0" w:sz="4"/>
              <w:bottom w:val="single" w:color="D0D0D0" w:sz="4"/>
              <w:right w:val="single" w:color="D0D0D0" w:sz="4"/>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9"/>
                <w:szCs w:val="19"/>
              </w:rPr>
              <w:t xml:space="preserve">250 000</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100 000</w:t>
            </w:r>
          </w:p>
        </w:tc>
        <w:tc>
          <w:tcPr>
            <w:tcW w:type="dxa" w:w="1400"/>
            <w:tcBorders>
              <w:top w:val="single" w:color="D0D0D0" w:sz="4"/>
              <w:left w:val="single" w:color="D0D0D0" w:sz="4"/>
              <w:bottom w:val="single" w:color="D0D0D0" w:sz="4"/>
              <w:right w:val="single" w:color="D0D0D0" w:sz="4"/>
            </w:tcBorders>
            <w:shd w:fill="E9F7EF" w:val="clear"/>
            <w:tcMar>
              <w:top w:type="dxa" w:w="60"/>
              <w:left w:type="dxa" w:w="80"/>
              <w:bottom w:type="dxa" w:w="60"/>
              <w:right w:type="dxa" w:w="80"/>
            </w:tcMar>
            <w:vAlign w:val="center"/>
          </w:tcPr>
          <w:p>
            <w:pPr>
              <w:jc w:val="center"/>
            </w:pPr>
            <w:r>
              <w:rPr>
                <w:rFonts w:ascii="Arial" w:cs="Arial" w:eastAsia="Arial" w:hAnsi="Arial"/>
                <w:b/>
                <w:bCs/>
                <w:color w:val="1E8449"/>
                <w:sz w:val="19"/>
                <w:szCs w:val="19"/>
              </w:rPr>
              <w:t xml:space="preserve">+150 000</w:t>
            </w:r>
          </w:p>
        </w:tc>
      </w:tr>
      <w:tr>
        <w:tc>
          <w:tcPr>
            <w:tcW w:type="dxa" w:w="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M2</w:t>
            </w:r>
          </w:p>
        </w:tc>
        <w:tc>
          <w:tcPr>
            <w:tcW w:type="dxa" w:w="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8</w:t>
            </w:r>
          </w:p>
        </w:tc>
        <w:tc>
          <w:tcPr>
            <w:tcW w:type="dxa" w:w="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3</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40 000</w:t>
            </w:r>
          </w:p>
        </w:tc>
        <w:tc>
          <w:tcPr>
            <w:tcW w:type="dxa" w:w="1513"/>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337 500</w:t>
            </w:r>
          </w:p>
        </w:tc>
        <w:tc>
          <w:tcPr>
            <w:tcW w:type="dxa" w:w="1313"/>
            <w:tcBorders>
              <w:top w:val="single" w:color="D0D0D0" w:sz="4"/>
              <w:left w:val="single" w:color="D0D0D0" w:sz="4"/>
              <w:bottom w:val="single" w:color="D0D0D0" w:sz="4"/>
              <w:right w:val="single" w:color="D0D0D0" w:sz="4"/>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9"/>
                <w:szCs w:val="19"/>
              </w:rPr>
              <w:t xml:space="preserve">377 500</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144 250</w:t>
            </w:r>
          </w:p>
        </w:tc>
        <w:tc>
          <w:tcPr>
            <w:tcW w:type="dxa" w:w="1400"/>
            <w:tcBorders>
              <w:top w:val="single" w:color="D0D0D0" w:sz="4"/>
              <w:left w:val="single" w:color="D0D0D0" w:sz="4"/>
              <w:bottom w:val="single" w:color="D0D0D0" w:sz="4"/>
              <w:right w:val="single" w:color="D0D0D0" w:sz="4"/>
            </w:tcBorders>
            <w:shd w:fill="E9F7EF" w:val="clear"/>
            <w:tcMar>
              <w:top w:type="dxa" w:w="60"/>
              <w:left w:type="dxa" w:w="80"/>
              <w:bottom w:type="dxa" w:w="60"/>
              <w:right w:type="dxa" w:w="80"/>
            </w:tcMar>
            <w:vAlign w:val="center"/>
          </w:tcPr>
          <w:p>
            <w:pPr>
              <w:jc w:val="center"/>
            </w:pPr>
            <w:r>
              <w:rPr>
                <w:rFonts w:ascii="Arial" w:cs="Arial" w:eastAsia="Arial" w:hAnsi="Arial"/>
                <w:b/>
                <w:bCs/>
                <w:color w:val="1E8449"/>
                <w:sz w:val="19"/>
                <w:szCs w:val="19"/>
              </w:rPr>
              <w:t xml:space="preserve">+233 250</w:t>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M3</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12</w:t>
            </w:r>
          </w:p>
        </w:tc>
        <w:tc>
          <w:tcPr>
            <w:tcW w:type="dxa" w:w="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5</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60 000</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562 500</w:t>
            </w:r>
          </w:p>
        </w:tc>
        <w:tc>
          <w:tcPr>
            <w:tcW w:type="dxa" w:w="1313"/>
            <w:tcBorders>
              <w:top w:val="single" w:color="D0D0D0" w:sz="4"/>
              <w:left w:val="single" w:color="D0D0D0" w:sz="4"/>
              <w:bottom w:val="single" w:color="D0D0D0" w:sz="4"/>
              <w:right w:val="single" w:color="D0D0D0" w:sz="4"/>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9"/>
                <w:szCs w:val="19"/>
              </w:rPr>
              <w:t xml:space="preserve">622 500</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225 750</w:t>
            </w:r>
          </w:p>
        </w:tc>
        <w:tc>
          <w:tcPr>
            <w:tcW w:type="dxa" w:w="1400"/>
            <w:tcBorders>
              <w:top w:val="single" w:color="D0D0D0" w:sz="4"/>
              <w:left w:val="single" w:color="D0D0D0" w:sz="4"/>
              <w:bottom w:val="single" w:color="D0D0D0" w:sz="4"/>
              <w:right w:val="single" w:color="D0D0D0" w:sz="4"/>
            </w:tcBorders>
            <w:shd w:fill="E9F7EF" w:val="clear"/>
            <w:tcMar>
              <w:top w:type="dxa" w:w="60"/>
              <w:left w:type="dxa" w:w="80"/>
              <w:bottom w:type="dxa" w:w="60"/>
              <w:right w:type="dxa" w:w="80"/>
            </w:tcMar>
            <w:vAlign w:val="center"/>
          </w:tcPr>
          <w:p>
            <w:pPr>
              <w:jc w:val="center"/>
            </w:pPr>
            <w:r>
              <w:rPr>
                <w:rFonts w:ascii="Arial" w:cs="Arial" w:eastAsia="Arial" w:hAnsi="Arial"/>
                <w:b/>
                <w:bCs/>
                <w:color w:val="1E8449"/>
                <w:sz w:val="19"/>
                <w:szCs w:val="19"/>
              </w:rPr>
              <w:t xml:space="preserve">+396 750</w:t>
            </w:r>
          </w:p>
        </w:tc>
      </w:tr>
      <w:tr>
        <w:tc>
          <w:tcPr>
            <w:tcW w:type="dxa" w:w="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M4</w:t>
            </w:r>
          </w:p>
        </w:tc>
        <w:tc>
          <w:tcPr>
            <w:tcW w:type="dxa" w:w="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16</w:t>
            </w:r>
          </w:p>
        </w:tc>
        <w:tc>
          <w:tcPr>
            <w:tcW w:type="dxa" w:w="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6</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80 000</w:t>
            </w:r>
          </w:p>
        </w:tc>
        <w:tc>
          <w:tcPr>
            <w:tcW w:type="dxa" w:w="1513"/>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675 000</w:t>
            </w:r>
          </w:p>
        </w:tc>
        <w:tc>
          <w:tcPr>
            <w:tcW w:type="dxa" w:w="1313"/>
            <w:tcBorders>
              <w:top w:val="single" w:color="D0D0D0" w:sz="4"/>
              <w:left w:val="single" w:color="D0D0D0" w:sz="4"/>
              <w:bottom w:val="single" w:color="D0D0D0" w:sz="4"/>
              <w:right w:val="single" w:color="D0D0D0" w:sz="4"/>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9"/>
                <w:szCs w:val="19"/>
              </w:rPr>
              <w:t xml:space="preserve">755 000</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273 500</w:t>
            </w:r>
          </w:p>
        </w:tc>
        <w:tc>
          <w:tcPr>
            <w:tcW w:type="dxa" w:w="1400"/>
            <w:tcBorders>
              <w:top w:val="single" w:color="D0D0D0" w:sz="4"/>
              <w:left w:val="single" w:color="D0D0D0" w:sz="4"/>
              <w:bottom w:val="single" w:color="D0D0D0" w:sz="4"/>
              <w:right w:val="single" w:color="D0D0D0" w:sz="4"/>
            </w:tcBorders>
            <w:shd w:fill="E9F7EF" w:val="clear"/>
            <w:tcMar>
              <w:top w:type="dxa" w:w="60"/>
              <w:left w:type="dxa" w:w="80"/>
              <w:bottom w:type="dxa" w:w="60"/>
              <w:right w:type="dxa" w:w="80"/>
            </w:tcMar>
            <w:vAlign w:val="center"/>
          </w:tcPr>
          <w:p>
            <w:pPr>
              <w:jc w:val="center"/>
            </w:pPr>
            <w:r>
              <w:rPr>
                <w:rFonts w:ascii="Arial" w:cs="Arial" w:eastAsia="Arial" w:hAnsi="Arial"/>
                <w:b/>
                <w:bCs/>
                <w:color w:val="1E8449"/>
                <w:sz w:val="19"/>
                <w:szCs w:val="19"/>
              </w:rPr>
              <w:t xml:space="preserve">+481 500</w:t>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M5</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w:t>
            </w:r>
          </w:p>
        </w:tc>
        <w:tc>
          <w:tcPr>
            <w:tcW w:type="dxa" w:w="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8</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100 000</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900 000</w:t>
            </w:r>
          </w:p>
        </w:tc>
        <w:tc>
          <w:tcPr>
            <w:tcW w:type="dxa" w:w="1313"/>
            <w:tcBorders>
              <w:top w:val="single" w:color="D0D0D0" w:sz="4"/>
              <w:left w:val="single" w:color="D0D0D0" w:sz="4"/>
              <w:bottom w:val="single" w:color="D0D0D0" w:sz="4"/>
              <w:right w:val="single" w:color="D0D0D0" w:sz="4"/>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9"/>
                <w:szCs w:val="19"/>
              </w:rPr>
              <w:t xml:space="preserve">1 000 000</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355 000</w:t>
            </w:r>
          </w:p>
        </w:tc>
        <w:tc>
          <w:tcPr>
            <w:tcW w:type="dxa" w:w="1400"/>
            <w:tcBorders>
              <w:top w:val="single" w:color="D0D0D0" w:sz="4"/>
              <w:left w:val="single" w:color="D0D0D0" w:sz="4"/>
              <w:bottom w:val="single" w:color="D0D0D0" w:sz="4"/>
              <w:right w:val="single" w:color="D0D0D0" w:sz="4"/>
            </w:tcBorders>
            <w:shd w:fill="E9F7EF" w:val="clear"/>
            <w:tcMar>
              <w:top w:type="dxa" w:w="60"/>
              <w:left w:type="dxa" w:w="80"/>
              <w:bottom w:type="dxa" w:w="60"/>
              <w:right w:type="dxa" w:w="80"/>
            </w:tcMar>
            <w:vAlign w:val="center"/>
          </w:tcPr>
          <w:p>
            <w:pPr>
              <w:jc w:val="center"/>
            </w:pPr>
            <w:r>
              <w:rPr>
                <w:rFonts w:ascii="Arial" w:cs="Arial" w:eastAsia="Arial" w:hAnsi="Arial"/>
                <w:b/>
                <w:bCs/>
                <w:color w:val="1E8449"/>
                <w:sz w:val="19"/>
                <w:szCs w:val="19"/>
              </w:rPr>
              <w:t xml:space="preserve">+645 000</w:t>
            </w:r>
          </w:p>
        </w:tc>
      </w:tr>
      <w:tr>
        <w:tc>
          <w:tcPr>
            <w:tcW w:type="dxa" w:w="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M6</w:t>
            </w:r>
          </w:p>
        </w:tc>
        <w:tc>
          <w:tcPr>
            <w:tcW w:type="dxa" w:w="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24</w:t>
            </w:r>
          </w:p>
        </w:tc>
        <w:tc>
          <w:tcPr>
            <w:tcW w:type="dxa" w:w="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10</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120 000</w:t>
            </w:r>
          </w:p>
        </w:tc>
        <w:tc>
          <w:tcPr>
            <w:tcW w:type="dxa" w:w="1513"/>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1 125 000</w:t>
            </w:r>
          </w:p>
        </w:tc>
        <w:tc>
          <w:tcPr>
            <w:tcW w:type="dxa" w:w="1313"/>
            <w:tcBorders>
              <w:top w:val="single" w:color="D0D0D0" w:sz="4"/>
              <w:left w:val="single" w:color="D0D0D0" w:sz="4"/>
              <w:bottom w:val="single" w:color="D0D0D0" w:sz="4"/>
              <w:right w:val="single" w:color="D0D0D0" w:sz="4"/>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9"/>
                <w:szCs w:val="19"/>
              </w:rPr>
              <w:t xml:space="preserve">1 245 000</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436 500</w:t>
            </w:r>
          </w:p>
        </w:tc>
        <w:tc>
          <w:tcPr>
            <w:tcW w:type="dxa" w:w="1400"/>
            <w:tcBorders>
              <w:top w:val="single" w:color="D0D0D0" w:sz="4"/>
              <w:left w:val="single" w:color="D0D0D0" w:sz="4"/>
              <w:bottom w:val="single" w:color="D0D0D0" w:sz="4"/>
              <w:right w:val="single" w:color="D0D0D0" w:sz="4"/>
            </w:tcBorders>
            <w:shd w:fill="E9F7EF" w:val="clear"/>
            <w:tcMar>
              <w:top w:type="dxa" w:w="60"/>
              <w:left w:type="dxa" w:w="80"/>
              <w:bottom w:type="dxa" w:w="60"/>
              <w:right w:type="dxa" w:w="80"/>
            </w:tcMar>
            <w:vAlign w:val="center"/>
          </w:tcPr>
          <w:p>
            <w:pPr>
              <w:jc w:val="center"/>
            </w:pPr>
            <w:r>
              <w:rPr>
                <w:rFonts w:ascii="Arial" w:cs="Arial" w:eastAsia="Arial" w:hAnsi="Arial"/>
                <w:b/>
                <w:bCs/>
                <w:color w:val="1E8449"/>
                <w:sz w:val="19"/>
                <w:szCs w:val="19"/>
              </w:rPr>
              <w:t xml:space="preserve">+808 500</w:t>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M7</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28</w:t>
            </w:r>
          </w:p>
        </w:tc>
        <w:tc>
          <w:tcPr>
            <w:tcW w:type="dxa" w:w="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11</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140 000</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1 237 500</w:t>
            </w:r>
          </w:p>
        </w:tc>
        <w:tc>
          <w:tcPr>
            <w:tcW w:type="dxa" w:w="1313"/>
            <w:tcBorders>
              <w:top w:val="single" w:color="D0D0D0" w:sz="4"/>
              <w:left w:val="single" w:color="D0D0D0" w:sz="4"/>
              <w:bottom w:val="single" w:color="D0D0D0" w:sz="4"/>
              <w:right w:val="single" w:color="D0D0D0" w:sz="4"/>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9"/>
                <w:szCs w:val="19"/>
              </w:rPr>
              <w:t xml:space="preserve">1 377 500</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484 250</w:t>
            </w:r>
          </w:p>
        </w:tc>
        <w:tc>
          <w:tcPr>
            <w:tcW w:type="dxa" w:w="1400"/>
            <w:tcBorders>
              <w:top w:val="single" w:color="D0D0D0" w:sz="4"/>
              <w:left w:val="single" w:color="D0D0D0" w:sz="4"/>
              <w:bottom w:val="single" w:color="D0D0D0" w:sz="4"/>
              <w:right w:val="single" w:color="D0D0D0" w:sz="4"/>
            </w:tcBorders>
            <w:shd w:fill="E9F7EF" w:val="clear"/>
            <w:tcMar>
              <w:top w:type="dxa" w:w="60"/>
              <w:left w:type="dxa" w:w="80"/>
              <w:bottom w:type="dxa" w:w="60"/>
              <w:right w:type="dxa" w:w="80"/>
            </w:tcMar>
            <w:vAlign w:val="center"/>
          </w:tcPr>
          <w:p>
            <w:pPr>
              <w:jc w:val="center"/>
            </w:pPr>
            <w:r>
              <w:rPr>
                <w:rFonts w:ascii="Arial" w:cs="Arial" w:eastAsia="Arial" w:hAnsi="Arial"/>
                <w:b/>
                <w:bCs/>
                <w:color w:val="1E8449"/>
                <w:sz w:val="19"/>
                <w:szCs w:val="19"/>
              </w:rPr>
              <w:t xml:space="preserve">+893 250</w:t>
            </w:r>
          </w:p>
        </w:tc>
      </w:tr>
      <w:tr>
        <w:tc>
          <w:tcPr>
            <w:tcW w:type="dxa" w:w="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M8</w:t>
            </w:r>
          </w:p>
        </w:tc>
        <w:tc>
          <w:tcPr>
            <w:tcW w:type="dxa" w:w="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32</w:t>
            </w:r>
          </w:p>
        </w:tc>
        <w:tc>
          <w:tcPr>
            <w:tcW w:type="dxa" w:w="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13</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160 000</w:t>
            </w:r>
          </w:p>
        </w:tc>
        <w:tc>
          <w:tcPr>
            <w:tcW w:type="dxa" w:w="1513"/>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1 462 500</w:t>
            </w:r>
          </w:p>
        </w:tc>
        <w:tc>
          <w:tcPr>
            <w:tcW w:type="dxa" w:w="1313"/>
            <w:tcBorders>
              <w:top w:val="single" w:color="D0D0D0" w:sz="4"/>
              <w:left w:val="single" w:color="D0D0D0" w:sz="4"/>
              <w:bottom w:val="single" w:color="D0D0D0" w:sz="4"/>
              <w:right w:val="single" w:color="D0D0D0" w:sz="4"/>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9"/>
                <w:szCs w:val="19"/>
              </w:rPr>
              <w:t xml:space="preserve">1 622 500</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565 750</w:t>
            </w:r>
          </w:p>
        </w:tc>
        <w:tc>
          <w:tcPr>
            <w:tcW w:type="dxa" w:w="1400"/>
            <w:tcBorders>
              <w:top w:val="single" w:color="D0D0D0" w:sz="4"/>
              <w:left w:val="single" w:color="D0D0D0" w:sz="4"/>
              <w:bottom w:val="single" w:color="D0D0D0" w:sz="4"/>
              <w:right w:val="single" w:color="D0D0D0" w:sz="4"/>
            </w:tcBorders>
            <w:shd w:fill="E9F7EF" w:val="clear"/>
            <w:tcMar>
              <w:top w:type="dxa" w:w="60"/>
              <w:left w:type="dxa" w:w="80"/>
              <w:bottom w:type="dxa" w:w="60"/>
              <w:right w:type="dxa" w:w="80"/>
            </w:tcMar>
            <w:vAlign w:val="center"/>
          </w:tcPr>
          <w:p>
            <w:pPr>
              <w:jc w:val="center"/>
            </w:pPr>
            <w:r>
              <w:rPr>
                <w:rFonts w:ascii="Arial" w:cs="Arial" w:eastAsia="Arial" w:hAnsi="Arial"/>
                <w:b/>
                <w:bCs/>
                <w:color w:val="1E8449"/>
                <w:sz w:val="19"/>
                <w:szCs w:val="19"/>
              </w:rPr>
              <w:t xml:space="preserve">+1 056 750</w:t>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M9</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36</w:t>
            </w:r>
          </w:p>
        </w:tc>
        <w:tc>
          <w:tcPr>
            <w:tcW w:type="dxa" w:w="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14</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180 000</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1 575 000</w:t>
            </w:r>
          </w:p>
        </w:tc>
        <w:tc>
          <w:tcPr>
            <w:tcW w:type="dxa" w:w="1313"/>
            <w:tcBorders>
              <w:top w:val="single" w:color="D0D0D0" w:sz="4"/>
              <w:left w:val="single" w:color="D0D0D0" w:sz="4"/>
              <w:bottom w:val="single" w:color="D0D0D0" w:sz="4"/>
              <w:right w:val="single" w:color="D0D0D0" w:sz="4"/>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9"/>
                <w:szCs w:val="19"/>
              </w:rPr>
              <w:t xml:space="preserve">1 755 000</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613 500</w:t>
            </w:r>
          </w:p>
        </w:tc>
        <w:tc>
          <w:tcPr>
            <w:tcW w:type="dxa" w:w="1400"/>
            <w:tcBorders>
              <w:top w:val="single" w:color="D0D0D0" w:sz="4"/>
              <w:left w:val="single" w:color="D0D0D0" w:sz="4"/>
              <w:bottom w:val="single" w:color="D0D0D0" w:sz="4"/>
              <w:right w:val="single" w:color="D0D0D0" w:sz="4"/>
            </w:tcBorders>
            <w:shd w:fill="E9F7EF" w:val="clear"/>
            <w:tcMar>
              <w:top w:type="dxa" w:w="60"/>
              <w:left w:type="dxa" w:w="80"/>
              <w:bottom w:type="dxa" w:w="60"/>
              <w:right w:type="dxa" w:w="80"/>
            </w:tcMar>
            <w:vAlign w:val="center"/>
          </w:tcPr>
          <w:p>
            <w:pPr>
              <w:jc w:val="center"/>
            </w:pPr>
            <w:r>
              <w:rPr>
                <w:rFonts w:ascii="Arial" w:cs="Arial" w:eastAsia="Arial" w:hAnsi="Arial"/>
                <w:b/>
                <w:bCs/>
                <w:color w:val="1E8449"/>
                <w:sz w:val="19"/>
                <w:szCs w:val="19"/>
              </w:rPr>
              <w:t xml:space="preserve">+1 141 500</w:t>
            </w:r>
          </w:p>
        </w:tc>
      </w:tr>
      <w:tr>
        <w:tc>
          <w:tcPr>
            <w:tcW w:type="dxa" w:w="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M10</w:t>
            </w:r>
          </w:p>
        </w:tc>
        <w:tc>
          <w:tcPr>
            <w:tcW w:type="dxa" w:w="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40</w:t>
            </w:r>
          </w:p>
        </w:tc>
        <w:tc>
          <w:tcPr>
            <w:tcW w:type="dxa" w:w="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16</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200 000</w:t>
            </w:r>
          </w:p>
        </w:tc>
        <w:tc>
          <w:tcPr>
            <w:tcW w:type="dxa" w:w="1513"/>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1 800 000</w:t>
            </w:r>
          </w:p>
        </w:tc>
        <w:tc>
          <w:tcPr>
            <w:tcW w:type="dxa" w:w="1313"/>
            <w:tcBorders>
              <w:top w:val="single" w:color="D0D0D0" w:sz="4"/>
              <w:left w:val="single" w:color="D0D0D0" w:sz="4"/>
              <w:bottom w:val="single" w:color="D0D0D0" w:sz="4"/>
              <w:right w:val="single" w:color="D0D0D0" w:sz="4"/>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9"/>
                <w:szCs w:val="19"/>
              </w:rPr>
              <w:t xml:space="preserve">2 000 000</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695 000</w:t>
            </w:r>
          </w:p>
        </w:tc>
        <w:tc>
          <w:tcPr>
            <w:tcW w:type="dxa" w:w="1400"/>
            <w:tcBorders>
              <w:top w:val="single" w:color="D0D0D0" w:sz="4"/>
              <w:left w:val="single" w:color="D0D0D0" w:sz="4"/>
              <w:bottom w:val="single" w:color="D0D0D0" w:sz="4"/>
              <w:right w:val="single" w:color="D0D0D0" w:sz="4"/>
            </w:tcBorders>
            <w:shd w:fill="E9F7EF" w:val="clear"/>
            <w:tcMar>
              <w:top w:type="dxa" w:w="60"/>
              <w:left w:type="dxa" w:w="80"/>
              <w:bottom w:type="dxa" w:w="60"/>
              <w:right w:type="dxa" w:w="80"/>
            </w:tcMar>
            <w:vAlign w:val="center"/>
          </w:tcPr>
          <w:p>
            <w:pPr>
              <w:jc w:val="center"/>
            </w:pPr>
            <w:r>
              <w:rPr>
                <w:rFonts w:ascii="Arial" w:cs="Arial" w:eastAsia="Arial" w:hAnsi="Arial"/>
                <w:b/>
                <w:bCs/>
                <w:color w:val="1E8449"/>
                <w:sz w:val="19"/>
                <w:szCs w:val="19"/>
              </w:rPr>
              <w:t xml:space="preserve">+1 305 000</w:t>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M11</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44</w:t>
            </w:r>
          </w:p>
        </w:tc>
        <w:tc>
          <w:tcPr>
            <w:tcW w:type="dxa" w:w="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18</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220 000</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2 025 000</w:t>
            </w:r>
          </w:p>
        </w:tc>
        <w:tc>
          <w:tcPr>
            <w:tcW w:type="dxa" w:w="1313"/>
            <w:tcBorders>
              <w:top w:val="single" w:color="D0D0D0" w:sz="4"/>
              <w:left w:val="single" w:color="D0D0D0" w:sz="4"/>
              <w:bottom w:val="single" w:color="D0D0D0" w:sz="4"/>
              <w:right w:val="single" w:color="D0D0D0" w:sz="4"/>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9"/>
                <w:szCs w:val="19"/>
              </w:rPr>
              <w:t xml:space="preserve">2 245 000</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776 500</w:t>
            </w:r>
          </w:p>
        </w:tc>
        <w:tc>
          <w:tcPr>
            <w:tcW w:type="dxa" w:w="1400"/>
            <w:tcBorders>
              <w:top w:val="single" w:color="D0D0D0" w:sz="4"/>
              <w:left w:val="single" w:color="D0D0D0" w:sz="4"/>
              <w:bottom w:val="single" w:color="D0D0D0" w:sz="4"/>
              <w:right w:val="single" w:color="D0D0D0" w:sz="4"/>
            </w:tcBorders>
            <w:shd w:fill="E9F7EF" w:val="clear"/>
            <w:tcMar>
              <w:top w:type="dxa" w:w="60"/>
              <w:left w:type="dxa" w:w="80"/>
              <w:bottom w:type="dxa" w:w="60"/>
              <w:right w:type="dxa" w:w="80"/>
            </w:tcMar>
            <w:vAlign w:val="center"/>
          </w:tcPr>
          <w:p>
            <w:pPr>
              <w:jc w:val="center"/>
            </w:pPr>
            <w:r>
              <w:rPr>
                <w:rFonts w:ascii="Arial" w:cs="Arial" w:eastAsia="Arial" w:hAnsi="Arial"/>
                <w:b/>
                <w:bCs/>
                <w:color w:val="1E8449"/>
                <w:sz w:val="19"/>
                <w:szCs w:val="19"/>
              </w:rPr>
              <w:t xml:space="preserve">+1 468 500</w:t>
            </w:r>
          </w:p>
        </w:tc>
      </w:tr>
      <w:tr>
        <w:tc>
          <w:tcPr>
            <w:tcW w:type="dxa" w:w="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M12</w:t>
            </w:r>
          </w:p>
        </w:tc>
        <w:tc>
          <w:tcPr>
            <w:tcW w:type="dxa" w:w="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48</w:t>
            </w:r>
          </w:p>
        </w:tc>
        <w:tc>
          <w:tcPr>
            <w:tcW w:type="dxa" w:w="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19</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240 000</w:t>
            </w:r>
          </w:p>
        </w:tc>
        <w:tc>
          <w:tcPr>
            <w:tcW w:type="dxa" w:w="1513"/>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2 137 500</w:t>
            </w:r>
          </w:p>
        </w:tc>
        <w:tc>
          <w:tcPr>
            <w:tcW w:type="dxa" w:w="1313"/>
            <w:tcBorders>
              <w:top w:val="single" w:color="D0D0D0" w:sz="4"/>
              <w:left w:val="single" w:color="D0D0D0" w:sz="4"/>
              <w:bottom w:val="single" w:color="D0D0D0" w:sz="4"/>
              <w:right w:val="single" w:color="D0D0D0" w:sz="4"/>
            </w:tcBorders>
            <w:shd w:fill="FDEDEC" w:val="clear"/>
            <w:tcMar>
              <w:top w:type="dxa" w:w="60"/>
              <w:left w:type="dxa" w:w="80"/>
              <w:bottom w:type="dxa" w:w="60"/>
              <w:right w:type="dxa" w:w="80"/>
            </w:tcMar>
            <w:vAlign w:val="center"/>
          </w:tcPr>
          <w:p>
            <w:pPr>
              <w:jc w:val="center"/>
            </w:pPr>
            <w:r>
              <w:rPr>
                <w:rFonts w:ascii="Arial" w:cs="Arial" w:eastAsia="Arial" w:hAnsi="Arial"/>
                <w:b/>
                <w:bCs/>
                <w:color w:val="922B21"/>
                <w:sz w:val="19"/>
                <w:szCs w:val="19"/>
              </w:rPr>
              <w:t xml:space="preserve">2 377 500</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824 250</w:t>
            </w:r>
          </w:p>
        </w:tc>
        <w:tc>
          <w:tcPr>
            <w:tcW w:type="dxa" w:w="1400"/>
            <w:tcBorders>
              <w:top w:val="single" w:color="D0D0D0" w:sz="4"/>
              <w:left w:val="single" w:color="D0D0D0" w:sz="4"/>
              <w:bottom w:val="single" w:color="D0D0D0" w:sz="4"/>
              <w:right w:val="single" w:color="D0D0D0" w:sz="4"/>
            </w:tcBorders>
            <w:shd w:fill="E9F7EF" w:val="clear"/>
            <w:tcMar>
              <w:top w:type="dxa" w:w="60"/>
              <w:left w:type="dxa" w:w="80"/>
              <w:bottom w:type="dxa" w:w="60"/>
              <w:right w:type="dxa" w:w="80"/>
            </w:tcMar>
            <w:vAlign w:val="center"/>
          </w:tcPr>
          <w:p>
            <w:pPr>
              <w:jc w:val="center"/>
            </w:pPr>
            <w:r>
              <w:rPr>
                <w:rFonts w:ascii="Arial" w:cs="Arial" w:eastAsia="Arial" w:hAnsi="Arial"/>
                <w:b/>
                <w:bCs/>
                <w:color w:val="1E8449"/>
                <w:sz w:val="19"/>
                <w:szCs w:val="19"/>
              </w:rPr>
              <w:t xml:space="preserve">+1 553 250</w:t>
            </w:r>
          </w:p>
        </w:tc>
      </w:tr>
      <w:tr>
        <w:tc>
          <w:tcPr>
            <w:tcW w:type="dxa" w:w="700"/>
            <w:tcBorders>
              <w:top w:val="single" w:color="C9A84C" w:sz="4"/>
              <w:left w:val="single" w:color="C9A84C" w:sz="4"/>
              <w:bottom w:val="single" w:color="C9A84C" w:sz="4"/>
              <w:right w:val="single" w:color="C9A84C" w:sz="4"/>
            </w:tcBorders>
            <w:shd w:fill="0A0A0A" w:val="clear"/>
            <w:tcMar>
              <w:top w:type="dxa" w:w="90"/>
              <w:left w:type="dxa" w:w="80"/>
              <w:bottom w:type="dxa" w:w="90"/>
              <w:right w:type="dxa" w:w="80"/>
            </w:tcMar>
          </w:tcPr>
          <w:p>
            <w:pPr>
              <w:jc w:val="center"/>
            </w:pPr>
            <w:r>
              <w:rPr>
                <w:rFonts w:ascii="Arial" w:cs="Arial" w:eastAsia="Arial" w:hAnsi="Arial"/>
                <w:b/>
                <w:bCs/>
                <w:color w:val="FFFFFF"/>
                <w:sz w:val="18"/>
                <w:szCs w:val="18"/>
              </w:rPr>
              <w:t xml:space="preserve">TOTAL</w:t>
            </w:r>
          </w:p>
        </w:tc>
        <w:tc>
          <w:tcPr>
            <w:tcW w:type="dxa" w:w="800"/>
            <w:tcBorders>
              <w:top w:val="single" w:color="D0D0D0" w:sz="4"/>
              <w:left w:val="single" w:color="D0D0D0" w:sz="4"/>
              <w:bottom w:val="single" w:color="D0D0D0" w:sz="4"/>
              <w:right w:val="single" w:color="D0D0D0" w:sz="4"/>
            </w:tcBorders>
            <w:shd w:fill="0A0A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313</w:t>
            </w:r>
          </w:p>
        </w:tc>
        <w:tc>
          <w:tcPr>
            <w:tcW w:type="dxa" w:w="900"/>
            <w:tcBorders>
              <w:top w:val="single" w:color="D0D0D0" w:sz="4"/>
              <w:left w:val="single" w:color="D0D0D0" w:sz="4"/>
              <w:bottom w:val="single" w:color="D0D0D0" w:sz="4"/>
              <w:right w:val="single" w:color="D0D0D0" w:sz="4"/>
            </w:tcBorders>
            <w:shd w:fill="0A0A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125</w:t>
            </w:r>
          </w:p>
        </w:tc>
        <w:tc>
          <w:tcPr>
            <w:tcW w:type="dxa" w:w="1200"/>
            <w:tcBorders>
              <w:top w:val="single" w:color="D0D0D0" w:sz="4"/>
              <w:left w:val="single" w:color="D0D0D0" w:sz="4"/>
              <w:bottom w:val="single" w:color="D0D0D0" w:sz="4"/>
              <w:right w:val="single" w:color="D0D0D0" w:sz="4"/>
            </w:tcBorders>
            <w:shd w:fill="0A0A0A" w:val="clear"/>
            <w:tcMar>
              <w:top w:type="dxa" w:w="80"/>
              <w:left w:type="dxa" w:w="120"/>
              <w:bottom w:type="dxa" w:w="80"/>
              <w:right w:type="dxa" w:w="120"/>
            </w:tcMar>
            <w:vAlign w:val="center"/>
          </w:tcPr>
          <w:p>
            <w:pPr>
              <w:jc w:val="center"/>
            </w:pPr>
            <w:r>
              <w:rPr>
                <w:rFonts w:ascii="Arial" w:cs="Arial" w:eastAsia="Arial" w:hAnsi="Arial"/>
                <w:b/>
                <w:bCs/>
                <w:color w:val="F0D080"/>
                <w:sz w:val="20"/>
                <w:szCs w:val="20"/>
              </w:rPr>
              <w:t xml:space="preserve">1 565 000</w:t>
            </w:r>
          </w:p>
        </w:tc>
        <w:tc>
          <w:tcPr>
            <w:tcW w:type="dxa" w:w="1513"/>
            <w:tcBorders>
              <w:top w:val="single" w:color="D0D0D0" w:sz="4"/>
              <w:left w:val="single" w:color="D0D0D0" w:sz="4"/>
              <w:bottom w:val="single" w:color="D0D0D0" w:sz="4"/>
              <w:right w:val="single" w:color="D0D0D0" w:sz="4"/>
            </w:tcBorders>
            <w:shd w:fill="0A0A0A" w:val="clear"/>
            <w:tcMar>
              <w:top w:type="dxa" w:w="80"/>
              <w:left w:type="dxa" w:w="120"/>
              <w:bottom w:type="dxa" w:w="80"/>
              <w:right w:type="dxa" w:w="120"/>
            </w:tcMar>
            <w:vAlign w:val="center"/>
          </w:tcPr>
          <w:p>
            <w:pPr>
              <w:jc w:val="center"/>
            </w:pPr>
            <w:r>
              <w:rPr>
                <w:rFonts w:ascii="Arial" w:cs="Arial" w:eastAsia="Arial" w:hAnsi="Arial"/>
                <w:b/>
                <w:bCs/>
                <w:color w:val="F0D080"/>
                <w:sz w:val="20"/>
                <w:szCs w:val="20"/>
              </w:rPr>
              <w:t xml:space="preserve">14 062 500</w:t>
            </w:r>
          </w:p>
        </w:tc>
        <w:tc>
          <w:tcPr>
            <w:tcW w:type="dxa" w:w="1313"/>
            <w:tcBorders>
              <w:top w:val="single" w:color="C9A84C" w:sz="4"/>
              <w:left w:val="single" w:color="C9A84C" w:sz="4"/>
              <w:bottom w:val="single" w:color="C9A84C" w:sz="4"/>
              <w:right w:val="single" w:color="C9A84C" w:sz="4"/>
            </w:tcBorders>
            <w:shd w:fill="C9A84C" w:val="clear"/>
            <w:tcMar>
              <w:top w:type="dxa" w:w="90"/>
              <w:left w:type="dxa" w:w="80"/>
              <w:bottom w:type="dxa" w:w="90"/>
              <w:right w:type="dxa" w:w="80"/>
            </w:tcMar>
          </w:tcPr>
          <w:p>
            <w:pPr>
              <w:jc w:val="center"/>
            </w:pPr>
            <w:r>
              <w:rPr>
                <w:rFonts w:ascii="Arial" w:cs="Arial" w:eastAsia="Arial" w:hAnsi="Arial"/>
                <w:b/>
                <w:bCs/>
                <w:color w:val="FFFFFF"/>
                <w:sz w:val="18"/>
                <w:szCs w:val="18"/>
              </w:rPr>
              <w:t xml:space="preserve">15 627 500</w:t>
            </w:r>
          </w:p>
        </w:tc>
        <w:tc>
          <w:tcPr>
            <w:tcW w:type="dxa" w:w="1200"/>
            <w:tcBorders>
              <w:top w:val="single" w:color="D0D0D0" w:sz="4"/>
              <w:left w:val="single" w:color="D0D0D0" w:sz="4"/>
              <w:bottom w:val="single" w:color="D0D0D0" w:sz="4"/>
              <w:right w:val="single" w:color="D0D0D0" w:sz="4"/>
            </w:tcBorders>
            <w:shd w:fill="0A0A0A" w:val="clear"/>
            <w:tcMar>
              <w:top w:type="dxa" w:w="80"/>
              <w:left w:type="dxa" w:w="120"/>
              <w:bottom w:type="dxa" w:w="80"/>
              <w:right w:type="dxa" w:w="120"/>
            </w:tcMar>
            <w:vAlign w:val="center"/>
          </w:tcPr>
          <w:p>
            <w:pPr>
              <w:jc w:val="center"/>
            </w:pPr>
            <w:r>
              <w:rPr>
                <w:rFonts w:ascii="Arial" w:cs="Arial" w:eastAsia="Arial" w:hAnsi="Arial"/>
                <w:b/>
                <w:bCs/>
                <w:color w:val="FDEDEC"/>
                <w:sz w:val="20"/>
                <w:szCs w:val="20"/>
              </w:rPr>
              <w:t xml:space="preserve">5 494 250</w:t>
            </w:r>
          </w:p>
        </w:tc>
        <w:tc>
          <w:tcPr>
            <w:tcW w:type="dxa" w:w="1400"/>
            <w:tcBorders>
              <w:top w:val="single" w:color="C9A84C" w:sz="4"/>
              <w:left w:val="single" w:color="C9A84C" w:sz="4"/>
              <w:bottom w:val="single" w:color="C9A84C" w:sz="4"/>
              <w:right w:val="single" w:color="C9A84C" w:sz="4"/>
            </w:tcBorders>
            <w:shd w:fill="1E8449" w:val="clear"/>
            <w:tcMar>
              <w:top w:type="dxa" w:w="90"/>
              <w:left w:type="dxa" w:w="80"/>
              <w:bottom w:type="dxa" w:w="90"/>
              <w:right w:type="dxa" w:w="80"/>
            </w:tcMar>
          </w:tcPr>
          <w:p>
            <w:pPr>
              <w:jc w:val="center"/>
            </w:pPr>
            <w:r>
              <w:rPr>
                <w:rFonts w:ascii="Arial" w:cs="Arial" w:eastAsia="Arial" w:hAnsi="Arial"/>
                <w:b/>
                <w:bCs/>
                <w:color w:val="FFFFFF"/>
                <w:sz w:val="18"/>
                <w:szCs w:val="18"/>
              </w:rPr>
              <w:t xml:space="preserve">10 133 250</w:t>
            </w:r>
          </w:p>
        </w:tc>
      </w:tr>
    </w:tbl>
    <w:p>
      <w:r>
        <w:t xml:space="preserve"/>
      </w:r>
    </w:p>
    <w:p>
      <w:pPr>
        <w:pBdr>
          <w:bottom w:val="single" w:color="E59898" w:sz="2" w:space="1"/>
        </w:pBdr>
        <w:spacing w:before="200" w:after="70"/>
      </w:pPr>
      <w:r>
        <w:rPr>
          <w:rFonts w:ascii="Arial" w:cs="Arial" w:eastAsia="Arial" w:hAnsi="Arial"/>
          <w:b/>
          <w:bCs/>
          <w:color w:val="922B21"/>
          <w:sz w:val="24"/>
          <w:szCs w:val="24"/>
        </w:rPr>
        <w:t xml:space="preserve">Lecture rapide</w:t>
      </w:r>
    </w:p>
    <w:p>
      <w:pPr>
        <w:pStyle w:val="ListParagraph"/>
        <w:numPr>
          <w:ilvl w:val="0"/>
          <w:numId w:val="2"/>
        </w:numPr>
        <w:spacing w:before="30" w:after="30"/>
      </w:pPr>
      <w:r>
        <w:rPr>
          <w:rFonts w:ascii="Arial" w:cs="Arial" w:eastAsia="Arial" w:hAnsi="Arial"/>
          <w:color w:val="1C1C1C"/>
          <w:sz w:val="22"/>
          <w:szCs w:val="22"/>
        </w:rPr>
        <w:t xml:space="preserve">Bénéfice net dès le Mois 1 : +150 000 FCFA — Vania Agents est rentable immédiatement, dès la première location conclue.</w:t>
      </w:r>
    </w:p>
    <w:p>
      <w:pPr>
        <w:pStyle w:val="ListParagraph"/>
        <w:numPr>
          <w:ilvl w:val="0"/>
          <w:numId w:val="2"/>
        </w:numPr>
        <w:spacing w:before="30" w:after="30"/>
      </w:pPr>
      <w:r>
        <w:rPr>
          <w:rFonts w:ascii="Arial" w:cs="Arial" w:eastAsia="Arial" w:hAnsi="Arial"/>
          <w:color w:val="1C1C1C"/>
          <w:sz w:val="22"/>
          <w:szCs w:val="22"/>
        </w:rPr>
        <w:t xml:space="preserve">Montée en puissance : CA mensuel passe de 250 000 FCFA (M1) à 2 377 500 FCFA (M12) — multiplication par 9,5 en 12 mois.</w:t>
      </w:r>
    </w:p>
    <w:p>
      <w:pPr>
        <w:pStyle w:val="ListParagraph"/>
        <w:numPr>
          <w:ilvl w:val="0"/>
          <w:numId w:val="2"/>
        </w:numPr>
        <w:spacing w:before="30" w:after="30"/>
      </w:pPr>
      <w:r>
        <w:rPr>
          <w:rFonts w:ascii="Arial" w:cs="Arial" w:eastAsia="Arial" w:hAnsi="Arial"/>
          <w:color w:val="1C1C1C"/>
          <w:sz w:val="22"/>
          <w:szCs w:val="22"/>
        </w:rPr>
        <w:t xml:space="preserve">CA annuel Vania Agents : 15 627 500 FCFA — soit plus du double du CA des 4 autres départements combinés.</w:t>
      </w:r>
    </w:p>
    <w:p>
      <w:pPr>
        <w:pStyle w:val="ListParagraph"/>
        <w:numPr>
          <w:ilvl w:val="0"/>
          <w:numId w:val="2"/>
        </w:numPr>
        <w:spacing w:before="30" w:after="30"/>
      </w:pPr>
      <w:r>
        <w:rPr>
          <w:rFonts w:ascii="Arial" w:cs="Arial" w:eastAsia="Arial" w:hAnsi="Arial"/>
          <w:color w:val="1C1C1C"/>
          <w:sz w:val="22"/>
          <w:szCs w:val="22"/>
        </w:rPr>
        <w:t xml:space="preserve">Bénéfice net annuel : 10 133 250 FCFA à une marge nette de 65 %.</w:t>
      </w:r>
    </w:p>
    <w:p>
      <w:pPr>
        <w:pStyle w:val="ListParagraph"/>
        <w:numPr>
          <w:ilvl w:val="0"/>
          <w:numId w:val="2"/>
        </w:numPr>
        <w:spacing w:before="30" w:after="30"/>
      </w:pPr>
      <w:r>
        <w:rPr>
          <w:rFonts w:ascii="Arial" w:cs="Arial" w:eastAsia="Arial" w:hAnsi="Arial"/>
          <w:color w:val="1C1C1C"/>
          <w:sz w:val="22"/>
          <w:szCs w:val="22"/>
        </w:rPr>
        <w:t xml:space="preserve">Point mort : atteint dès la 1ère location du Mois 1. Aucune période de trésorerie négative.</w:t>
      </w:r>
    </w:p>
    <w:p>
      <w:r>
        <w:r>
          <w:br w:type="page"/>
        </w:r>
      </w:r>
    </w:p>
    <w:p>
      <w:pPr>
        <w:pBdr>
          <w:bottom w:val="single" w:color="C9A84C" w:sz="8" w:space="1"/>
        </w:pBdr>
        <w:shd w:fill="922B21" w:val="clear"/>
        <w:spacing w:before="300" w:after="80"/>
        <w:ind w:left="160"/>
      </w:pPr>
      <w:r>
        <w:rPr>
          <w:rFonts w:ascii="Arial" w:cs="Arial" w:eastAsia="Arial" w:hAnsi="Arial"/>
          <w:b/>
          <w:bCs/>
          <w:color w:val="FFFFFF"/>
          <w:sz w:val="30"/>
          <w:szCs w:val="30"/>
        </w:rPr>
        <w:t xml:space="preserve">7.  IMPACT SUR LE MODÈLE ÉCONOMIQUE GLOBAL VANIA</w:t>
      </w:r>
    </w:p>
    <w:p>
      <w:r>
        <w:t xml:space="preserve"/>
      </w:r>
    </w:p>
    <w:p>
      <w:pPr>
        <w:spacing w:before="40" w:after="40"/>
      </w:pPr>
      <w:r>
        <w:rPr>
          <w:rFonts w:ascii="Arial" w:cs="Arial" w:eastAsia="Arial" w:hAnsi="Arial"/>
          <w:b w:val="false"/>
          <w:bCs w:val="false"/>
          <w:color w:val="1C1C1C"/>
          <w:sz w:val="22"/>
          <w:szCs w:val="22"/>
        </w:rPr>
        <w:t xml:space="preserve">L'intégration de Vania Agents transforme radicalement le poids financier de la startup. Voici le bilan consolidé Année 1 avec les 5 départements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1513"/>
        <w:gridCol w:w="2000"/>
      </w:tblGrid>
      <w:tr>
        <w:tc>
          <w:tcPr>
            <w:tcW w:type="dxa" w:w="30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DÉPARTEMENT</w:t>
            </w:r>
          </w:p>
        </w:tc>
        <w:tc>
          <w:tcPr>
            <w:tcW w:type="dxa" w:w="25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 ANNUEL</w:t>
            </w:r>
          </w:p>
        </w:tc>
        <w:tc>
          <w:tcPr>
            <w:tcW w:type="dxa" w:w="15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MARGE NETTE</w:t>
            </w:r>
          </w:p>
        </w:tc>
        <w:tc>
          <w:tcPr>
            <w:tcW w:type="dxa" w:w="20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COULEUR</w:t>
            </w:r>
          </w:p>
        </w:tc>
      </w:tr>
      <w:tr>
        <w:tc>
          <w:tcPr>
            <w:tcW w:type="dxa" w:w="3000"/>
            <w:tcBorders>
              <w:top w:val="single" w:color="D0D0D0" w:sz="4"/>
              <w:left w:val="single" w:color="D0D0D0" w:sz="4"/>
              <w:bottom w:val="single" w:color="D0D0D0" w:sz="4"/>
              <w:right w:val="single" w:color="D0D0D0" w:sz="4"/>
            </w:tcBorders>
            <w:shd w:fill="D6EAF8" w:val="clear"/>
            <w:tcMar>
              <w:top w:type="dxa" w:w="80"/>
              <w:left w:type="dxa" w:w="120"/>
              <w:bottom w:type="dxa" w:w="80"/>
              <w:right w:type="dxa" w:w="120"/>
            </w:tcMar>
          </w:tcPr>
          <w:p>
            <w:r>
              <w:rPr>
                <w:rFonts w:ascii="Arial" w:cs="Arial" w:eastAsia="Arial" w:hAnsi="Arial"/>
                <w:b/>
                <w:bCs/>
                <w:color w:val="2E86C1"/>
                <w:sz w:val="20"/>
                <w:szCs w:val="20"/>
              </w:rPr>
              <w:t xml:space="preserve">Agence Communication</w:t>
            </w:r>
          </w:p>
        </w:tc>
        <w:tc>
          <w:tcPr>
            <w:tcW w:type="dxa" w:w="2513"/>
            <w:tcBorders>
              <w:top w:val="single" w:color="D0D0D0" w:sz="4"/>
              <w:left w:val="single" w:color="D0D0D0" w:sz="4"/>
              <w:bottom w:val="single" w:color="D0D0D0" w:sz="4"/>
              <w:right w:val="single" w:color="D0D0D0" w:sz="4"/>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~2 200 000 FCFA</w:t>
            </w:r>
          </w:p>
        </w:tc>
        <w:tc>
          <w:tcPr>
            <w:tcW w:type="dxa" w:w="1513"/>
            <w:tcBorders>
              <w:top w:val="single" w:color="D0D0D0" w:sz="4"/>
              <w:left w:val="single" w:color="D0D0D0" w:sz="4"/>
              <w:bottom w:val="single" w:color="D0D0D0" w:sz="4"/>
              <w:right w:val="single" w:color="D0D0D0" w:sz="4"/>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~62 %</w:t>
            </w:r>
          </w:p>
        </w:tc>
        <w:tc>
          <w:tcPr>
            <w:tcW w:type="dxa" w:w="2000"/>
            <w:tcBorders>
              <w:top w:val="single" w:color="D0D0D0" w:sz="4"/>
              <w:left w:val="single" w:color="D0D0D0" w:sz="4"/>
              <w:bottom w:val="single" w:color="D0D0D0" w:sz="4"/>
              <w:right w:val="single" w:color="D0D0D0" w:sz="4"/>
            </w:tcBorders>
            <w:shd w:fill="2E86C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Bleu</w:t>
            </w:r>
          </w:p>
        </w:tc>
      </w:tr>
      <w:tr>
        <w:tc>
          <w:tcPr>
            <w:tcW w:type="dxa" w:w="3000"/>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tcPr>
          <w:p>
            <w:r>
              <w:rPr>
                <w:rFonts w:ascii="Arial" w:cs="Arial" w:eastAsia="Arial" w:hAnsi="Arial"/>
                <w:b/>
                <w:bCs/>
                <w:color w:val="E87D3E"/>
                <w:sz w:val="20"/>
                <w:szCs w:val="20"/>
              </w:rPr>
              <w:t xml:space="preserve">Studio</w:t>
            </w:r>
          </w:p>
        </w:tc>
        <w:tc>
          <w:tcPr>
            <w:tcW w:type="dxa" w:w="2513"/>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E87D3E"/>
                <w:sz w:val="20"/>
                <w:szCs w:val="20"/>
              </w:rPr>
              <w:t xml:space="preserve">~2 000 000 FCFA</w:t>
            </w:r>
          </w:p>
        </w:tc>
        <w:tc>
          <w:tcPr>
            <w:tcW w:type="dxa" w:w="1513"/>
            <w:tcBorders>
              <w:top w:val="single" w:color="D0D0D0" w:sz="4"/>
              <w:left w:val="single" w:color="D0D0D0" w:sz="4"/>
              <w:bottom w:val="single" w:color="D0D0D0" w:sz="4"/>
              <w:right w:val="single" w:color="D0D0D0" w:sz="4"/>
            </w:tcBorders>
            <w:shd w:fill="FDF0E8" w:val="clear"/>
            <w:tcMar>
              <w:top w:type="dxa" w:w="80"/>
              <w:left w:type="dxa" w:w="120"/>
              <w:bottom w:type="dxa" w:w="80"/>
              <w:right w:type="dxa" w:w="120"/>
            </w:tcMar>
            <w:vAlign w:val="center"/>
          </w:tcPr>
          <w:p>
            <w:pPr>
              <w:jc w:val="center"/>
            </w:pPr>
            <w:r>
              <w:rPr>
                <w:rFonts w:ascii="Arial" w:cs="Arial" w:eastAsia="Arial" w:hAnsi="Arial"/>
                <w:b w:val="false"/>
                <w:bCs w:val="false"/>
                <w:color w:val="E87D3E"/>
                <w:sz w:val="20"/>
                <w:szCs w:val="20"/>
              </w:rPr>
              <w:t xml:space="preserve">~62 %</w:t>
            </w:r>
          </w:p>
        </w:tc>
        <w:tc>
          <w:tcPr>
            <w:tcW w:type="dxa" w:w="2000"/>
            <w:tcBorders>
              <w:top w:val="single" w:color="D0D0D0" w:sz="4"/>
              <w:left w:val="single" w:color="D0D0D0" w:sz="4"/>
              <w:bottom w:val="single" w:color="D0D0D0" w:sz="4"/>
              <w:right w:val="single" w:color="D0D0D0" w:sz="4"/>
            </w:tcBorders>
            <w:shd w:fill="E87D3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Orange</w:t>
            </w:r>
          </w:p>
        </w:tc>
      </w:tr>
      <w:tr>
        <w:tc>
          <w:tcPr>
            <w:tcW w:type="dxa" w:w="30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tcPr>
          <w:p>
            <w:r>
              <w:rPr>
                <w:rFonts w:ascii="Arial" w:cs="Arial" w:eastAsia="Arial" w:hAnsi="Arial"/>
                <w:b/>
                <w:bCs/>
                <w:color w:val="5DB87A"/>
                <w:sz w:val="20"/>
                <w:szCs w:val="20"/>
              </w:rPr>
              <w:t xml:space="preserve">Consulting</w:t>
            </w:r>
          </w:p>
        </w:tc>
        <w:tc>
          <w:tcPr>
            <w:tcW w:type="dxa" w:w="2513"/>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center"/>
            </w:pPr>
            <w:r>
              <w:rPr>
                <w:rFonts w:ascii="Arial" w:cs="Arial" w:eastAsia="Arial" w:hAnsi="Arial"/>
                <w:b w:val="false"/>
                <w:bCs w:val="false"/>
                <w:color w:val="5DB87A"/>
                <w:sz w:val="20"/>
                <w:szCs w:val="20"/>
              </w:rPr>
              <w:t xml:space="preserve">~2 000 000 FCFA</w:t>
            </w:r>
          </w:p>
        </w:tc>
        <w:tc>
          <w:tcPr>
            <w:tcW w:type="dxa" w:w="1513"/>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center"/>
            </w:pPr>
            <w:r>
              <w:rPr>
                <w:rFonts w:ascii="Arial" w:cs="Arial" w:eastAsia="Arial" w:hAnsi="Arial"/>
                <w:b w:val="false"/>
                <w:bCs w:val="false"/>
                <w:color w:val="5DB87A"/>
                <w:sz w:val="20"/>
                <w:szCs w:val="20"/>
              </w:rPr>
              <w:t xml:space="preserve">~62 %</w:t>
            </w:r>
          </w:p>
        </w:tc>
        <w:tc>
          <w:tcPr>
            <w:tcW w:type="dxa" w:w="2000"/>
            <w:tcBorders>
              <w:top w:val="single" w:color="D0D0D0" w:sz="4"/>
              <w:left w:val="single" w:color="D0D0D0" w:sz="4"/>
              <w:bottom w:val="single" w:color="D0D0D0" w:sz="4"/>
              <w:right w:val="single" w:color="D0D0D0" w:sz="4"/>
            </w:tcBorders>
            <w:shd w:fill="5DB8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Vert</w:t>
            </w:r>
          </w:p>
        </w:tc>
      </w:tr>
      <w:tr>
        <w:tc>
          <w:tcPr>
            <w:tcW w:type="dxa" w:w="3000"/>
            <w:tcBorders>
              <w:top w:val="single" w:color="D0D0D0" w:sz="4"/>
              <w:left w:val="single" w:color="D0D0D0" w:sz="4"/>
              <w:bottom w:val="single" w:color="D0D0D0" w:sz="4"/>
              <w:right w:val="single" w:color="D0D0D0" w:sz="4"/>
            </w:tcBorders>
            <w:shd w:fill="F4ECF7" w:val="clear"/>
            <w:tcMar>
              <w:top w:type="dxa" w:w="80"/>
              <w:left w:type="dxa" w:w="120"/>
              <w:bottom w:type="dxa" w:w="80"/>
              <w:right w:type="dxa" w:w="120"/>
            </w:tcMar>
          </w:tcPr>
          <w:p>
            <w:r>
              <w:rPr>
                <w:rFonts w:ascii="Arial" w:cs="Arial" w:eastAsia="Arial" w:hAnsi="Arial"/>
                <w:b/>
                <w:bCs/>
                <w:color w:val="7D3C98"/>
                <w:sz w:val="20"/>
                <w:szCs w:val="20"/>
              </w:rPr>
              <w:t xml:space="preserve">Finance</w:t>
            </w:r>
          </w:p>
        </w:tc>
        <w:tc>
          <w:tcPr>
            <w:tcW w:type="dxa" w:w="2513"/>
            <w:tcBorders>
              <w:top w:val="single" w:color="D0D0D0" w:sz="4"/>
              <w:left w:val="single" w:color="D0D0D0" w:sz="4"/>
              <w:bottom w:val="single" w:color="D0D0D0" w:sz="4"/>
              <w:right w:val="single" w:color="D0D0D0" w:sz="4"/>
            </w:tcBorders>
            <w:shd w:fill="F4ECF7" w:val="clear"/>
            <w:tcMar>
              <w:top w:type="dxa" w:w="80"/>
              <w:left w:type="dxa" w:w="120"/>
              <w:bottom w:type="dxa" w:w="80"/>
              <w:right w:type="dxa" w:w="120"/>
            </w:tcMar>
            <w:vAlign w:val="center"/>
          </w:tcPr>
          <w:p>
            <w:pPr>
              <w:jc w:val="center"/>
            </w:pPr>
            <w:r>
              <w:rPr>
                <w:rFonts w:ascii="Arial" w:cs="Arial" w:eastAsia="Arial" w:hAnsi="Arial"/>
                <w:b w:val="false"/>
                <w:bCs w:val="false"/>
                <w:color w:val="7D3C98"/>
                <w:sz w:val="20"/>
                <w:szCs w:val="20"/>
              </w:rPr>
              <w:t xml:space="preserve">~1 496 500 FCFA</w:t>
            </w:r>
          </w:p>
        </w:tc>
        <w:tc>
          <w:tcPr>
            <w:tcW w:type="dxa" w:w="1513"/>
            <w:tcBorders>
              <w:top w:val="single" w:color="D0D0D0" w:sz="4"/>
              <w:left w:val="single" w:color="D0D0D0" w:sz="4"/>
              <w:bottom w:val="single" w:color="D0D0D0" w:sz="4"/>
              <w:right w:val="single" w:color="D0D0D0" w:sz="4"/>
            </w:tcBorders>
            <w:shd w:fill="F4ECF7" w:val="clear"/>
            <w:tcMar>
              <w:top w:type="dxa" w:w="80"/>
              <w:left w:type="dxa" w:w="120"/>
              <w:bottom w:type="dxa" w:w="80"/>
              <w:right w:type="dxa" w:w="120"/>
            </w:tcMar>
            <w:vAlign w:val="center"/>
          </w:tcPr>
          <w:p>
            <w:pPr>
              <w:jc w:val="center"/>
            </w:pPr>
            <w:r>
              <w:rPr>
                <w:rFonts w:ascii="Arial" w:cs="Arial" w:eastAsia="Arial" w:hAnsi="Arial"/>
                <w:b w:val="false"/>
                <w:bCs w:val="false"/>
                <w:color w:val="7D3C98"/>
                <w:sz w:val="20"/>
                <w:szCs w:val="20"/>
              </w:rPr>
              <w:t xml:space="preserve">~62 %</w:t>
            </w:r>
          </w:p>
        </w:tc>
        <w:tc>
          <w:tcPr>
            <w:tcW w:type="dxa" w:w="2000"/>
            <w:tcBorders>
              <w:top w:val="single" w:color="D0D0D0" w:sz="4"/>
              <w:left w:val="single" w:color="D0D0D0" w:sz="4"/>
              <w:bottom w:val="single" w:color="D0D0D0" w:sz="4"/>
              <w:right w:val="single" w:color="D0D0D0" w:sz="4"/>
            </w:tcBorders>
            <w:shd w:fill="7D3C9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Violet</w:t>
            </w:r>
          </w:p>
        </w:tc>
      </w:tr>
      <w:tr>
        <w:tc>
          <w:tcPr>
            <w:tcW w:type="dxa" w:w="3000"/>
            <w:tcBorders>
              <w:top w:val="single" w:color="922B21" w:sz="4"/>
              <w:left w:val="single" w:color="922B21" w:sz="4"/>
              <w:bottom w:val="single" w:color="922B21" w:sz="4"/>
              <w:right w:val="single" w:color="922B21" w:sz="4"/>
            </w:tcBorders>
            <w:shd w:fill="FDEDEC" w:val="clear"/>
            <w:tcMar>
              <w:top w:type="dxa" w:w="90"/>
              <w:left w:type="dxa" w:w="120"/>
              <w:bottom w:type="dxa" w:w="90"/>
              <w:right w:type="dxa" w:w="120"/>
            </w:tcMar>
          </w:tcPr>
          <w:p>
            <w:r>
              <w:rPr>
                <w:rFonts w:ascii="Arial" w:cs="Arial" w:eastAsia="Arial" w:hAnsi="Arial"/>
                <w:b/>
                <w:bCs/>
                <w:color w:val="922B21"/>
                <w:sz w:val="20"/>
                <w:szCs w:val="20"/>
              </w:rPr>
              <w:t xml:space="preserve">Vania Agents  ← NOUVEAU</w:t>
            </w:r>
          </w:p>
        </w:tc>
        <w:tc>
          <w:tcPr>
            <w:tcW w:type="dxa" w:w="2513"/>
            <w:tcBorders>
              <w:top w:val="single" w:color="922B21" w:sz="4"/>
              <w:left w:val="single" w:color="922B21" w:sz="4"/>
              <w:bottom w:val="single" w:color="922B21" w:sz="4"/>
              <w:right w:val="single" w:color="922B21" w:sz="4"/>
            </w:tcBorders>
            <w:shd w:fill="922B21"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15 627 500 FCFA</w:t>
            </w:r>
          </w:p>
        </w:tc>
        <w:tc>
          <w:tcPr>
            <w:tcW w:type="dxa" w:w="1513"/>
            <w:tcBorders>
              <w:top w:val="single" w:color="922B21" w:sz="4"/>
              <w:left w:val="single" w:color="922B21" w:sz="4"/>
              <w:bottom w:val="single" w:color="922B21" w:sz="4"/>
              <w:right w:val="single" w:color="922B21" w:sz="4"/>
            </w:tcBorders>
            <w:shd w:fill="922B21"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65 %</w:t>
            </w:r>
          </w:p>
        </w:tc>
        <w:tc>
          <w:tcPr>
            <w:tcW w:type="dxa" w:w="2000"/>
            <w:tcBorders>
              <w:top w:val="single" w:color="922B21" w:sz="4"/>
              <w:left w:val="single" w:color="922B21" w:sz="4"/>
              <w:bottom w:val="single" w:color="922B21" w:sz="4"/>
              <w:right w:val="single" w:color="922B21" w:sz="4"/>
            </w:tcBorders>
            <w:shd w:fill="922B21" w:val="clear"/>
            <w:tcMar>
              <w:top w:type="dxa" w:w="90"/>
              <w:left w:type="dxa" w:w="120"/>
              <w:bottom w:type="dxa" w:w="90"/>
              <w:right w:type="dxa" w:w="120"/>
            </w:tcMar>
          </w:tcPr>
          <w:p>
            <w:pPr>
              <w:jc w:val="center"/>
            </w:pPr>
            <w:r>
              <w:rPr>
                <w:rFonts w:ascii="Arial" w:cs="Arial" w:eastAsia="Arial" w:hAnsi="Arial"/>
                <w:b/>
                <w:bCs/>
                <w:color w:val="FFFFFF"/>
                <w:sz w:val="18"/>
                <w:szCs w:val="18"/>
              </w:rPr>
              <w:t xml:space="preserve">Bordeaux</w:t>
            </w:r>
          </w:p>
        </w:tc>
      </w:tr>
      <w:tr>
        <w:tc>
          <w:tcPr>
            <w:tcW w:type="dxa" w:w="3000"/>
            <w:tcBorders>
              <w:top w:val="single" w:color="C9A84C" w:sz="4"/>
              <w:left w:val="single" w:color="C9A84C" w:sz="4"/>
              <w:bottom w:val="single" w:color="C9A84C" w:sz="4"/>
              <w:right w:val="single" w:color="C9A84C" w:sz="4"/>
            </w:tcBorders>
            <w:shd w:fill="0A0A0A" w:val="clear"/>
            <w:tcMar>
              <w:top w:type="dxa" w:w="100"/>
              <w:left w:type="dxa" w:w="120"/>
              <w:bottom w:type="dxa" w:w="100"/>
              <w:right w:type="dxa" w:w="120"/>
            </w:tcMar>
          </w:tcPr>
          <w:p>
            <w:r>
              <w:rPr>
                <w:rFonts w:ascii="Arial" w:cs="Arial" w:eastAsia="Arial" w:hAnsi="Arial"/>
                <w:b/>
                <w:bCs/>
                <w:color w:val="FFFFFF"/>
                <w:sz w:val="22"/>
                <w:szCs w:val="22"/>
              </w:rPr>
              <w:t xml:space="preserve">TOTAL VANIA — 5 DÉPARTEMENTS</w:t>
            </w:r>
          </w:p>
        </w:tc>
        <w:tc>
          <w:tcPr>
            <w:tcW w:type="dxa" w:w="2513"/>
            <w:tcBorders>
              <w:top w:val="single" w:color="C9A84C" w:sz="4"/>
              <w:left w:val="single" w:color="C9A84C" w:sz="4"/>
              <w:bottom w:val="single" w:color="C9A84C" w:sz="4"/>
              <w:right w:val="single" w:color="C9A84C" w:sz="4"/>
            </w:tcBorders>
            <w:shd w:fill="C9A84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23 324 000 FCFA</w:t>
            </w:r>
          </w:p>
        </w:tc>
        <w:tc>
          <w:tcPr>
            <w:tcW w:type="dxa" w:w="1513"/>
            <w:tcBorders>
              <w:top w:val="single" w:color="C9A84C" w:sz="4"/>
              <w:left w:val="single" w:color="C9A84C" w:sz="4"/>
              <w:bottom w:val="single" w:color="C9A84C" w:sz="4"/>
              <w:right w:val="single" w:color="C9A84C" w:sz="4"/>
            </w:tcBorders>
            <w:shd w:fill="C9A84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~64 %</w:t>
            </w:r>
          </w:p>
        </w:tc>
        <w:tc>
          <w:tcPr>
            <w:tcW w:type="dxa" w:w="2000"/>
            <w:tcBorders>
              <w:top w:val="single" w:color="C9A84C" w:sz="4"/>
              <w:left w:val="single" w:color="C9A84C" w:sz="4"/>
              <w:bottom w:val="single" w:color="C9A84C" w:sz="4"/>
              <w:right w:val="single" w:color="C9A84C" w:sz="4"/>
            </w:tcBorders>
            <w:shd w:fill="FDF6E3" w:val="clear"/>
            <w:tcMar>
              <w:top w:type="dxa" w:w="100"/>
              <w:left w:type="dxa" w:w="120"/>
              <w:bottom w:type="dxa" w:w="100"/>
              <w:right w:type="dxa" w:w="120"/>
            </w:tcMar>
          </w:tcPr>
          <w:p>
            <w:r>
              <w:rPr>
                <w:rFonts w:ascii="Arial" w:cs="Arial" w:eastAsia="Arial" w:hAnsi="Arial"/>
                <w:color w:val="1C1C1C"/>
                <w:sz w:val="20"/>
                <w:szCs w:val="20"/>
              </w:rPr>
              <w:t xml:space="preserve">CA global Année 1</w:t>
            </w:r>
          </w:p>
        </w:tc>
      </w:tr>
    </w:tbl>
    <w:p>
      <w:r>
        <w:t xml:space="preserve"/>
      </w:r>
    </w:p>
    <w:p>
      <w:pPr>
        <w:shd w:fill="922B21" w:val="clear"/>
        <w:spacing w:before="80" w:after="80"/>
        <w:ind w:left="160" w:right="160"/>
      </w:pPr>
      <w:r>
        <w:rPr>
          <w:rFonts w:ascii="Arial" w:cs="Arial" w:eastAsia="Arial" w:hAnsi="Arial"/>
          <w:b/>
          <w:bCs/>
          <w:color w:val="FFFFFF"/>
          <w:sz w:val="22"/>
          <w:szCs w:val="22"/>
        </w:rPr>
        <w:t xml:space="preserve">Vania Agents représente 67 % du CA total de Vania en Année 1. C'est le moteur financier de la startup — il doit être prioritaire dans les ressources humaines et commerciales.</w:t>
      </w:r>
    </w:p>
    <w:p>
      <w:r>
        <w:r>
          <w:br w:type="page"/>
        </w:r>
      </w:r>
    </w:p>
    <w:p>
      <w:pPr>
        <w:pBdr>
          <w:bottom w:val="single" w:color="C9A84C" w:sz="8" w:space="1"/>
        </w:pBdr>
        <w:shd w:fill="922B21" w:val="clear"/>
        <w:spacing w:before="300" w:after="80"/>
        <w:ind w:left="160"/>
      </w:pPr>
      <w:r>
        <w:rPr>
          <w:rFonts w:ascii="Arial" w:cs="Arial" w:eastAsia="Arial" w:hAnsi="Arial"/>
          <w:b/>
          <w:bCs/>
          <w:color w:val="FFFFFF"/>
          <w:sz w:val="30"/>
          <w:szCs w:val="30"/>
        </w:rPr>
        <w:t xml:space="preserve">8.  KPIs &amp; TABLEAU DE BORD — 30 JOURS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56"/>
        <w:gridCol w:w="1557"/>
        <w:gridCol w:w="1557"/>
        <w:gridCol w:w="1556"/>
      </w:tblGrid>
      <w:tr>
        <w:tc>
          <w:tcPr>
            <w:tcW w:type="dxa" w:w="28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 (KPI)</w:t>
            </w:r>
          </w:p>
        </w:tc>
        <w:tc>
          <w:tcPr>
            <w:tcW w:type="dxa" w:w="1556"/>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S1</w:t>
            </w:r>
          </w:p>
        </w:tc>
        <w:tc>
          <w:tcPr>
            <w:tcW w:type="dxa" w:w="1557"/>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S2</w:t>
            </w:r>
          </w:p>
        </w:tc>
        <w:tc>
          <w:tcPr>
            <w:tcW w:type="dxa" w:w="1557"/>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S3</w:t>
            </w:r>
          </w:p>
        </w:tc>
        <w:tc>
          <w:tcPr>
            <w:tcW w:type="dxa" w:w="1556"/>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S4</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Biens référencés en portefeuille</w:t>
            </w:r>
          </w:p>
        </w:tc>
        <w:tc>
          <w:tcPr>
            <w:tcW w:type="dxa" w:w="1556"/>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10</w:t>
            </w:r>
          </w:p>
        </w:tc>
        <w:tc>
          <w:tcPr>
            <w:tcW w:type="dxa" w:w="1557"/>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15</w:t>
            </w:r>
          </w:p>
        </w:tc>
        <w:tc>
          <w:tcPr>
            <w:tcW w:type="dxa" w:w="1557"/>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20</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Visites réalisées</w:t>
            </w:r>
          </w:p>
        </w:tc>
        <w:tc>
          <w:tcPr>
            <w:tcW w:type="dxa" w:w="1556"/>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5</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8</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14</w:t>
            </w:r>
          </w:p>
        </w:tc>
        <w:tc>
          <w:tcPr>
            <w:tcW w:type="dxa" w:w="1556"/>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21</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Frais de visite collectés (FCFA)</w:t>
            </w:r>
          </w:p>
        </w:tc>
        <w:tc>
          <w:tcPr>
            <w:tcW w:type="dxa" w:w="1556"/>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25 000</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40 000</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70 000</w:t>
            </w:r>
          </w:p>
        </w:tc>
        <w:tc>
          <w:tcPr>
            <w:tcW w:type="dxa" w:w="1556"/>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105 000</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Locations conclues</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0</w:t>
            </w:r>
          </w:p>
        </w:tc>
        <w:tc>
          <w:tcPr>
            <w:tcW w:type="dxa" w:w="1557"/>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1–2</w:t>
            </w:r>
          </w:p>
        </w:tc>
        <w:tc>
          <w:tcPr>
            <w:tcW w:type="dxa" w:w="1557"/>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3–4</w:t>
            </w:r>
          </w:p>
        </w:tc>
        <w:tc>
          <w:tcPr>
            <w:tcW w:type="dxa" w:w="1556"/>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5</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Commissions perçues (FCFA)</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0</w:t>
            </w:r>
          </w:p>
        </w:tc>
        <w:tc>
          <w:tcPr>
            <w:tcW w:type="dxa" w:w="1557"/>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112 500</w:t>
            </w:r>
          </w:p>
        </w:tc>
        <w:tc>
          <w:tcPr>
            <w:tcW w:type="dxa" w:w="1557"/>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225 000+</w:t>
            </w:r>
          </w:p>
        </w:tc>
        <w:tc>
          <w:tcPr>
            <w:tcW w:type="dxa" w:w="1556"/>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562 500</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 total Vania Agents (FCFA)</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25 000</w:t>
            </w:r>
          </w:p>
        </w:tc>
        <w:tc>
          <w:tcPr>
            <w:tcW w:type="dxa" w:w="1557"/>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152 500+</w:t>
            </w:r>
          </w:p>
        </w:tc>
        <w:tc>
          <w:tcPr>
            <w:tcW w:type="dxa" w:w="1557"/>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295 000+</w:t>
            </w:r>
          </w:p>
        </w:tc>
        <w:tc>
          <w:tcPr>
            <w:tcW w:type="dxa" w:w="1556"/>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667 500</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Taux de conversion visites→locations</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&gt;= 25 %</w:t>
            </w:r>
          </w:p>
        </w:tc>
        <w:tc>
          <w:tcPr>
            <w:tcW w:type="dxa" w:w="1557"/>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&gt;= 35 %</w:t>
            </w:r>
          </w:p>
        </w:tc>
        <w:tc>
          <w:tcPr>
            <w:tcW w:type="dxa" w:w="1556"/>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&gt;= 40 %</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Pipeline locataires qualifiés</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10</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25</w:t>
            </w:r>
          </w:p>
        </w:tc>
        <w:tc>
          <w:tcPr>
            <w:tcW w:type="dxa" w:w="1557"/>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40</w:t>
            </w:r>
          </w:p>
        </w:tc>
        <w:tc>
          <w:tcPr>
            <w:tcW w:type="dxa" w:w="1556"/>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50</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Rapports bailleurs envoyés</w:t>
            </w:r>
          </w:p>
        </w:tc>
        <w:tc>
          <w:tcPr>
            <w:tcW w:type="dxa" w:w="155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0</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5</w:t>
            </w:r>
          </w:p>
        </w:tc>
        <w:tc>
          <w:tcPr>
            <w:tcW w:type="dxa" w:w="1557"/>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10</w:t>
            </w:r>
          </w:p>
        </w:tc>
        <w:tc>
          <w:tcPr>
            <w:tcW w:type="dxa" w:w="1556"/>
            <w:tcBorders>
              <w:top w:val="single" w:color="D0D0D0" w:sz="4"/>
              <w:left w:val="single" w:color="D0D0D0" w:sz="4"/>
              <w:bottom w:val="single" w:color="D0D0D0" w:sz="4"/>
              <w:right w:val="single" w:color="D0D0D0"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20</w:t>
            </w:r>
          </w:p>
        </w:tc>
      </w:tr>
    </w:tbl>
    <w:p>
      <w:r>
        <w:r>
          <w:br w:type="page"/>
        </w:r>
      </w:r>
    </w:p>
    <w:p>
      <w:pPr>
        <w:pBdr>
          <w:bottom w:val="single" w:color="C9A84C" w:sz="8" w:space="1"/>
        </w:pBdr>
        <w:shd w:fill="922B21" w:val="clear"/>
        <w:spacing w:before="300" w:after="80"/>
        <w:ind w:left="160"/>
      </w:pPr>
      <w:r>
        <w:rPr>
          <w:rFonts w:ascii="Arial" w:cs="Arial" w:eastAsia="Arial" w:hAnsi="Arial"/>
          <w:b/>
          <w:bCs/>
          <w:color w:val="FFFFFF"/>
          <w:sz w:val="30"/>
          <w:szCs w:val="30"/>
        </w:rPr>
        <w:t xml:space="preserve">9.  RISQUES &amp; PLANS DE CONTINGENCE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413"/>
        <w:gridCol w:w="2513"/>
      </w:tblGrid>
      <w:tr>
        <w:tc>
          <w:tcPr>
            <w:tcW w:type="dxa" w:w="27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RISQUE IDENTIFIÉ</w:t>
            </w:r>
          </w:p>
        </w:tc>
        <w:tc>
          <w:tcPr>
            <w:tcW w:type="dxa" w:w="14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PROBABILITÉ</w:t>
            </w:r>
          </w:p>
        </w:tc>
        <w:tc>
          <w:tcPr>
            <w:tcW w:type="dxa" w:w="2413"/>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2513"/>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PLAN DE CONTINGENCE</w:t>
            </w:r>
          </w:p>
        </w:tc>
      </w:tr>
      <w:tr>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Locataires refusant de payer les frais de visite</w:t>
            </w:r>
          </w:p>
        </w:tc>
        <w:tc>
          <w:tcPr>
            <w:tcW w:type="dxa" w:w="1400"/>
            <w:tcBorders>
              <w:top w:val="single" w:color="D0D0D0" w:sz="4"/>
              <w:left w:val="single" w:color="D0D0D0" w:sz="4"/>
              <w:bottom w:val="single" w:color="D0D0D0" w:sz="4"/>
              <w:right w:val="single" w:color="D0D0D0" w:sz="4"/>
            </w:tcBorders>
            <w:shd w:fill="D35400" w:val="clear"/>
            <w:tcMar>
              <w:top w:type="dxa" w:w="70"/>
              <w:left w:type="dxa" w:w="80"/>
              <w:bottom w:type="dxa" w:w="70"/>
              <w:right w:type="dxa" w:w="80"/>
            </w:tcMar>
            <w:vAlign w:val="center"/>
          </w:tcPr>
          <w:p>
            <w:pPr>
              <w:jc w:val="center"/>
            </w:pPr>
            <w:r>
              <w:rPr>
                <w:rFonts w:ascii="Arial" w:cs="Arial" w:eastAsia="Arial" w:hAnsi="Arial"/>
                <w:b/>
                <w:bCs/>
                <w:color w:val="FFFFFF"/>
                <w:sz w:val="18"/>
                <w:szCs w:val="18"/>
              </w:rPr>
              <w:t xml:space="preserve">ÉLEVÉE</w:t>
            </w:r>
          </w:p>
        </w:tc>
        <w:tc>
          <w:tcPr>
            <w:tcW w:type="dxa" w:w="2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Chute du CA frais de visite</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Insister sur la valeur : 'Vous visitez un bien vérifié, photographié et conforme Standard Vania. Le frais vous garantit un bien sérieux.' Proposer un remboursement si le bien n'est pas conforme à l'annonce.</w:t>
            </w:r>
          </w:p>
        </w:tc>
      </w:tr>
      <w:tr>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Bailleur retirant son bien avant location</w:t>
            </w:r>
          </w:p>
        </w:tc>
        <w:tc>
          <w:tcPr>
            <w:tcW w:type="dxa" w:w="1400"/>
            <w:tcBorders>
              <w:top w:val="single" w:color="D0D0D0" w:sz="4"/>
              <w:left w:val="single" w:color="D0D0D0" w:sz="4"/>
              <w:bottom w:val="single" w:color="D0D0D0" w:sz="4"/>
              <w:right w:val="single" w:color="D0D0D0" w:sz="4"/>
            </w:tcBorders>
            <w:shd w:fill="2471A3" w:val="clear"/>
            <w:tcMar>
              <w:top w:type="dxa" w:w="70"/>
              <w:left w:type="dxa" w:w="80"/>
              <w:bottom w:type="dxa" w:w="70"/>
              <w:right w:type="dxa" w:w="80"/>
            </w:tcMar>
            <w:vAlign w:val="center"/>
          </w:tcPr>
          <w:p>
            <w:pPr>
              <w:jc w:val="center"/>
            </w:pPr>
            <w:r>
              <w:rPr>
                <w:rFonts w:ascii="Arial" w:cs="Arial" w:eastAsia="Arial" w:hAnsi="Arial"/>
                <w:b/>
                <w:bCs/>
                <w:color w:val="FFFFFF"/>
                <w:sz w:val="18"/>
                <w:szCs w:val="18"/>
              </w:rPr>
              <w:t xml:space="preserve">MOYENNE</w:t>
            </w:r>
          </w:p>
        </w:tc>
        <w:tc>
          <w:tcPr>
            <w:tcW w:type="dxa" w:w="2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Perte de portefeuille, visites planifiées annulées</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Contrat de référencement avec clause de préavis de 30 jours. En cas de retrait anticipé : bailleur rembourse les frais de boost marketing engagés.</w:t>
            </w:r>
          </w:p>
        </w:tc>
      </w:tr>
      <w:tr>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Taux de conversion &lt; 30 % (visites sans location)</w:t>
            </w:r>
          </w:p>
        </w:tc>
        <w:tc>
          <w:tcPr>
            <w:tcW w:type="dxa" w:w="1400"/>
            <w:tcBorders>
              <w:top w:val="single" w:color="D0D0D0" w:sz="4"/>
              <w:left w:val="single" w:color="D0D0D0" w:sz="4"/>
              <w:bottom w:val="single" w:color="D0D0D0" w:sz="4"/>
              <w:right w:val="single" w:color="D0D0D0" w:sz="4"/>
            </w:tcBorders>
            <w:shd w:fill="2471A3" w:val="clear"/>
            <w:tcMar>
              <w:top w:type="dxa" w:w="70"/>
              <w:left w:type="dxa" w:w="80"/>
              <w:bottom w:type="dxa" w:w="70"/>
              <w:right w:type="dxa" w:w="80"/>
            </w:tcMar>
            <w:vAlign w:val="center"/>
          </w:tcPr>
          <w:p>
            <w:pPr>
              <w:jc w:val="center"/>
            </w:pPr>
            <w:r>
              <w:rPr>
                <w:rFonts w:ascii="Arial" w:cs="Arial" w:eastAsia="Arial" w:hAnsi="Arial"/>
                <w:b/>
                <w:bCs/>
                <w:color w:val="FFFFFF"/>
                <w:sz w:val="18"/>
                <w:szCs w:val="18"/>
              </w:rPr>
              <w:t xml:space="preserve">MOYENNE</w:t>
            </w:r>
          </w:p>
        </w:tc>
        <w:tc>
          <w:tcPr>
            <w:tcW w:type="dxa" w:w="2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 commissions insuffisant</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Analyser les retours post-visite systématiquement. Si &gt; 3 visites sans location : reprendre les photos, ajuster le prix demandé par le bailleur, améliorer la description.</w:t>
            </w:r>
          </w:p>
        </w:tc>
      </w:tr>
      <w:tr>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Concurrent local copiant le modèle (frais de visite)</w:t>
            </w:r>
          </w:p>
        </w:tc>
        <w:tc>
          <w:tcPr>
            <w:tcW w:type="dxa" w:w="1400"/>
            <w:tcBorders>
              <w:top w:val="single" w:color="D0D0D0" w:sz="4"/>
              <w:left w:val="single" w:color="D0D0D0" w:sz="4"/>
              <w:bottom w:val="single" w:color="D0D0D0" w:sz="4"/>
              <w:right w:val="single" w:color="D0D0D0" w:sz="4"/>
            </w:tcBorders>
            <w:shd w:fill="1E8449" w:val="clear"/>
            <w:tcMar>
              <w:top w:type="dxa" w:w="70"/>
              <w:left w:type="dxa" w:w="80"/>
              <w:bottom w:type="dxa" w:w="70"/>
              <w:right w:type="dxa" w:w="80"/>
            </w:tcMar>
            <w:vAlign w:val="center"/>
          </w:tcPr>
          <w:p>
            <w:pPr>
              <w:jc w:val="center"/>
            </w:pPr>
            <w:r>
              <w:rPr>
                <w:rFonts w:ascii="Arial" w:cs="Arial" w:eastAsia="Arial" w:hAnsi="Arial"/>
                <w:b/>
                <w:bCs/>
                <w:color w:val="FFFFFF"/>
                <w:sz w:val="18"/>
                <w:szCs w:val="18"/>
              </w:rPr>
              <w:t xml:space="preserve">FAIBLE</w:t>
            </w:r>
          </w:p>
        </w:tc>
        <w:tc>
          <w:tcPr>
            <w:tcW w:type="dxa" w:w="24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Pression sur les prix, perte de parts de marché</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Notre avantage est l'écosystème complet : Standard Vania + Studio + Consulting + Finance. Un concurrent isolé ne peut pas répliquer cela rapidement. Construire la réputation en priorité.</w:t>
            </w:r>
          </w:p>
        </w:tc>
      </w:tr>
      <w:tr>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Litige bailleur-locataire après signature du bail</w:t>
            </w:r>
          </w:p>
        </w:tc>
        <w:tc>
          <w:tcPr>
            <w:tcW w:type="dxa" w:w="1400"/>
            <w:tcBorders>
              <w:top w:val="single" w:color="D0D0D0" w:sz="4"/>
              <w:left w:val="single" w:color="D0D0D0" w:sz="4"/>
              <w:bottom w:val="single" w:color="D0D0D0" w:sz="4"/>
              <w:right w:val="single" w:color="D0D0D0" w:sz="4"/>
            </w:tcBorders>
            <w:shd w:fill="1E8449" w:val="clear"/>
            <w:tcMar>
              <w:top w:type="dxa" w:w="70"/>
              <w:left w:type="dxa" w:w="80"/>
              <w:bottom w:type="dxa" w:w="70"/>
              <w:right w:type="dxa" w:w="80"/>
            </w:tcMar>
            <w:vAlign w:val="center"/>
          </w:tcPr>
          <w:p>
            <w:pPr>
              <w:jc w:val="center"/>
            </w:pPr>
            <w:r>
              <w:rPr>
                <w:rFonts w:ascii="Arial" w:cs="Arial" w:eastAsia="Arial" w:hAnsi="Arial"/>
                <w:b/>
                <w:bCs/>
                <w:color w:val="FFFFFF"/>
                <w:sz w:val="18"/>
                <w:szCs w:val="18"/>
              </w:rPr>
              <w:t xml:space="preserve">FAIBLE</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Image Vania entachée, demandes de remboursement</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Proposer systématiquement le bail type Vania (rédigé par le Consulting). Inclure une clause d'arbitrage Vania pour les litiges mineurs. Documenter chaque transaction.</w:t>
            </w:r>
          </w:p>
        </w:tc>
      </w:tr>
    </w:tbl>
    <w:p>
      <w:r>
        <w:t xml:space="preserve"/>
      </w:r>
    </w:p>
    <w:p>
      <w:r>
        <w:r>
          <w:br w:type="page"/>
        </w:r>
      </w:r>
    </w:p>
    <w:p>
      <w:pPr>
        <w:pBdr>
          <w:bottom w:val="single" w:color="C9A84C" w:sz="8" w:space="1"/>
        </w:pBdr>
        <w:shd w:fill="922B21" w:val="clear"/>
        <w:spacing w:before="300" w:after="80"/>
        <w:ind w:left="160"/>
      </w:pPr>
      <w:r>
        <w:rPr>
          <w:rFonts w:ascii="Arial" w:cs="Arial" w:eastAsia="Arial" w:hAnsi="Arial"/>
          <w:b/>
          <w:bCs/>
          <w:color w:val="FFFFFF"/>
          <w:sz w:val="30"/>
          <w:szCs w:val="30"/>
        </w:rPr>
        <w:t xml:space="preserve">10.  MESSAGE DIRECTEUR AUX BAILLEURS &amp; LOCATAIRES</w:t>
      </w:r>
    </w:p>
    <w:p>
      <w:r>
        <w:t xml:space="preserve"/>
      </w:r>
    </w:p>
    <w:p>
      <w:pPr>
        <w:pBdr>
          <w:bottom w:val="single" w:color="E59898" w:sz="2" w:space="1"/>
        </w:pBdr>
        <w:spacing w:before="200" w:after="70"/>
      </w:pPr>
      <w:r>
        <w:rPr>
          <w:rFonts w:ascii="Arial" w:cs="Arial" w:eastAsia="Arial" w:hAnsi="Arial"/>
          <w:b/>
          <w:bCs/>
          <w:color w:val="922B21"/>
          <w:sz w:val="24"/>
          <w:szCs w:val="24"/>
        </w:rPr>
        <w:t xml:space="preserve">Script bailleur — référencement d'un bien</w:t>
      </w:r>
    </w:p>
    <w:p>
      <w:pPr>
        <w:pBdr>
          <w:left w:val="single" w:color="922B21" w:sz="12" w:space="2"/>
        </w:pBdr>
        <w:spacing w:before="80" w:after="160"/>
        <w:ind w:left="280" w:right="280"/>
      </w:pPr>
      <w:r>
        <w:rPr>
          <w:rFonts w:ascii="Arial" w:cs="Arial" w:eastAsia="Arial" w:hAnsi="Arial"/>
          <w:i/>
          <w:iCs/>
          <w:color w:val="555555"/>
          <w:sz w:val="22"/>
          <w:szCs w:val="22"/>
        </w:rPr>
        <w:t xml:space="preserve">"Bonjour [Nom], vous avez un bien vacant depuis [durée] ? Chez Vania Agents, nous le référençons gratuitement, nous produisons des annonces au Standard Vania avec le Studio, et nous vous trouvons un locataire sérieux. Vous ne payez qu'à la location : une commission d'un mois de loyer, et seulement si on conclut. Pas de résultat, pas de frais. C'est ça le modèle Vania."</w:t>
      </w:r>
    </w:p>
    <w:p>
      <w:pPr>
        <w:pBdr>
          <w:bottom w:val="single" w:color="E59898" w:sz="2" w:space="1"/>
        </w:pBdr>
        <w:spacing w:before="200" w:after="70"/>
      </w:pPr>
      <w:r>
        <w:rPr>
          <w:rFonts w:ascii="Arial" w:cs="Arial" w:eastAsia="Arial" w:hAnsi="Arial"/>
          <w:b/>
          <w:bCs/>
          <w:color w:val="922B21"/>
          <w:sz w:val="24"/>
          <w:szCs w:val="24"/>
        </w:rPr>
        <w:t xml:space="preserve">Script locataire — prise de RDV visite</w:t>
      </w:r>
    </w:p>
    <w:p>
      <w:pPr>
        <w:pBdr>
          <w:left w:val="single" w:color="922B21" w:sz="12" w:space="2"/>
        </w:pBdr>
        <w:spacing w:before="80" w:after="160"/>
        <w:ind w:left="280" w:right="280"/>
      </w:pPr>
      <w:r>
        <w:rPr>
          <w:rFonts w:ascii="Arial" w:cs="Arial" w:eastAsia="Arial" w:hAnsi="Arial"/>
          <w:i/>
          <w:iCs/>
          <w:color w:val="555555"/>
          <w:sz w:val="22"/>
          <w:szCs w:val="22"/>
        </w:rPr>
        <w:t xml:space="preserve">"Bonjour [Prénom], nous avons un bien [description] disponible à [quartier] pour [loyer] FCFA/mois. La visite est organisée et accompagnée par notre agent. Les frais de visite sont de 5 000 FCFA — cela vous garantit un bien vérifié, photographié et conforme à l'annonce. Aucune mauvaise surprise. Vous confirmez pour [date/heure] ?"</w:t>
      </w:r>
    </w:p>
    <w:p>
      <w:r>
        <w:t xml:space="preserve"/>
      </w:r>
    </w:p>
    <w:p>
      <w:pPr>
        <w:pBdr>
          <w:bottom w:val="single" w:color="E59898" w:sz="2" w:space="1"/>
        </w:pBdr>
        <w:spacing w:before="200" w:after="70"/>
      </w:pPr>
      <w:r>
        <w:rPr>
          <w:rFonts w:ascii="Arial" w:cs="Arial" w:eastAsia="Arial" w:hAnsi="Arial"/>
          <w:b/>
          <w:bCs/>
          <w:color w:val="922B21"/>
          <w:sz w:val="24"/>
          <w:szCs w:val="24"/>
        </w:rPr>
        <w:t xml:space="preserve">Les 3 arguments clés de Vania Agents</w:t>
      </w:r>
    </w:p>
    <w:p>
      <w:pPr>
        <w:pStyle w:val="ListParagraph"/>
        <w:numPr>
          <w:ilvl w:val="0"/>
          <w:numId w:val="2"/>
        </w:numPr>
        <w:spacing w:before="30" w:after="30"/>
      </w:pPr>
      <w:r>
        <w:rPr>
          <w:rFonts w:ascii="Arial" w:cs="Arial" w:eastAsia="Arial" w:hAnsi="Arial"/>
          <w:color w:val="1C1C1C"/>
          <w:sz w:val="22"/>
          <w:szCs w:val="22"/>
        </w:rPr>
        <w:t xml:space="preserve">Pour les bailleurs : zéro risque, zéro frais à l'avance — Vania Agents ne coûte rien si le bien n'est pas loué. La commission ne s'active qu'au succès.</w:t>
      </w:r>
    </w:p>
    <w:p>
      <w:pPr>
        <w:pStyle w:val="ListParagraph"/>
        <w:numPr>
          <w:ilvl w:val="0"/>
          <w:numId w:val="2"/>
        </w:numPr>
        <w:spacing w:before="30" w:after="30"/>
      </w:pPr>
      <w:r>
        <w:rPr>
          <w:rFonts w:ascii="Arial" w:cs="Arial" w:eastAsia="Arial" w:hAnsi="Arial"/>
          <w:color w:val="1C1C1C"/>
          <w:sz w:val="22"/>
          <w:szCs w:val="22"/>
        </w:rPr>
        <w:t xml:space="preserve">Pour les locataires : des biens vérifiés, annoncés avec des vraies photos, visités avec un professionnel. Les 5 000 FCFA sont une garantie de sérieux, pas une barrière.</w:t>
      </w:r>
    </w:p>
    <w:p>
      <w:pPr>
        <w:pStyle w:val="ListParagraph"/>
        <w:numPr>
          <w:ilvl w:val="0"/>
          <w:numId w:val="2"/>
        </w:numPr>
        <w:spacing w:before="30" w:after="30"/>
      </w:pPr>
      <w:r>
        <w:rPr>
          <w:rFonts w:ascii="Arial" w:cs="Arial" w:eastAsia="Arial" w:hAnsi="Arial"/>
          <w:color w:val="1C1C1C"/>
          <w:sz w:val="22"/>
          <w:szCs w:val="22"/>
        </w:rPr>
        <w:t xml:space="preserve">Pour Vania : Vania Agents est le département qui monétise tout l'écosystème — chaque client des 4 autres départements est un prospect naturel de Vania Agents.</w:t>
      </w:r>
    </w:p>
    <w:p>
      <w:r>
        <w:t xml:space="preserve"/>
      </w:r>
    </w:p>
    <w:p>
      <w:r>
        <w:t xml:space="preserve"/>
      </w:r>
    </w:p>
    <w:p>
      <w:pPr>
        <w:pBdr>
          <w:top w:val="single" w:color="C9A84C" w:sz="8" w:space="1"/>
        </w:pBdr>
        <w:spacing w:before="200" w:after="120"/>
      </w:pPr>
      <w:r>
        <w:rPr>
          <w:sz w:val="20"/>
          <w:szCs w:val="20"/>
        </w:rPr>
        <w:t xml:space="preserve"/>
      </w:r>
    </w:p>
    <w:p>
      <w:pPr>
        <w:spacing w:before="80" w:after="40"/>
        <w:jc w:val="center"/>
      </w:pPr>
      <w:r>
        <w:rPr>
          <w:rFonts w:ascii="Arial" w:cs="Arial" w:eastAsia="Arial" w:hAnsi="Arial"/>
          <w:b/>
          <w:bCs/>
          <w:i/>
          <w:iCs/>
          <w:color w:val="922B21"/>
          <w:sz w:val="24"/>
          <w:szCs w:val="24"/>
        </w:rPr>
        <w:t xml:space="preserve">« Vania Agents : le département qui transforme chaque bien vacant en opportunité, et chaque visite en revenu. »</w:t>
      </w:r>
    </w:p>
    <w:p>
      <w:pPr>
        <w:spacing w:before="40" w:after="40"/>
        <w:jc w:val="center"/>
      </w:pPr>
      <w:r>
        <w:rPr>
          <w:rFonts w:ascii="Arial" w:cs="Arial" w:eastAsia="Arial" w:hAnsi="Arial"/>
          <w:b/>
          <w:bCs/>
          <w:color w:val="C9A84C"/>
          <w:sz w:val="20"/>
          <w:szCs w:val="20"/>
        </w:rPr>
        <w:t xml:space="preserve">CA projeté Année 1 : 15 627 500 FCFA  ·  Bénéfice net : 10 133 250 FCFA  ·  Marge nette : 65 %</w:t>
      </w:r>
    </w:p>
    <w:p>
      <w:pPr>
        <w:jc w:val="center"/>
      </w:pPr>
      <w:r>
        <w:rPr>
          <w:rFonts w:ascii="Arial" w:cs="Arial" w:eastAsia="Arial" w:hAnsi="Arial"/>
          <w:i/>
          <w:iCs/>
          <w:color w:val="555555"/>
          <w:sz w:val="16"/>
          <w:szCs w:val="16"/>
        </w:rPr>
        <w:t xml:space="preserve">Ce document est confidentiel — Usage interne Vania uniquement.</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22B21" w:sz="4" w:space="1"/>
      </w:pBdr>
      <w:spacing w:before="80"/>
      <w:jc w:val="center"/>
    </w:pPr>
    <w:r>
      <w:rPr>
        <w:rFonts w:ascii="Arial" w:cs="Arial" w:eastAsia="Arial" w:hAnsi="Arial"/>
        <w:color w:val="555555"/>
        <w:sz w:val="16"/>
        <w:szCs w:val="16"/>
      </w:rPr>
      <w:t xml:space="preserve">Vania – Document Interne Confidentiel  |  Page </w:t>
    </w:r>
    <w:r>
      <w:rPr>
        <w:rFonts w:ascii="Arial" w:cs="Arial" w:eastAsia="Arial" w:hAnsi="Arial"/>
        <w:color w:val="922B21"/>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922B2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22B21" w:sz="4" w:space="1"/>
      </w:pBdr>
      <w:spacing w:after="80"/>
    </w:pPr>
    <w:r>
      <w:rPr>
        <w:rFonts w:ascii="Arial" w:cs="Arial" w:eastAsia="Arial" w:hAnsi="Arial"/>
        <w:color w:val="555555"/>
        <w:sz w:val="18"/>
        <w:szCs w:val="18"/>
      </w:rPr>
      <w:t xml:space="preserve">VANIA  |  VANIA AGENTS  —  PLAN D'ACTION &amp; MODÈLE ÉCONOMIQUE  |  SPRINT 30 JOURS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0A0A"/>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922B2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2026-03-29T23:31:25.601Z</dcterms:created>
  <dcterms:modified xsi:type="dcterms:W3CDTF">2026-03-29T23:31:25.602Z</dcterms:modified>
</cp:coreProperties>
</file>

<file path=docProps/custom.xml><?xml version="1.0" encoding="utf-8"?>
<Properties xmlns="http://schemas.openxmlformats.org/officeDocument/2006/custom-properties" xmlns:vt="http://schemas.openxmlformats.org/officeDocument/2006/docPropsVTypes"/>
</file>