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A1A1A" w:val="clear"/>
        <w:spacing w:before="0" w:after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Modèle économique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VANIA</w:t>
      </w:r>
    </w:p>
    <w:p>
      <w:pPr>
        <w:spacing w:after="60"/>
        <w:jc w:val="center"/>
      </w:pPr>
      <w:r>
        <w:rPr>
          <w:rFonts w:ascii="Arial" w:cs="Arial" w:eastAsia="Arial" w:hAnsi="Arial"/>
          <w:color w:val="1C1C1C"/>
          <w:sz w:val="30"/>
          <w:szCs w:val="30"/>
        </w:rPr>
        <w:t xml:space="preserve">Startup de Communication Immobilière</w:t>
      </w:r>
    </w:p>
    <w:p>
      <w:pPr>
        <w:pBdr>
          <w:bottom w:val="single" w:color="C9A84C" w:sz="8" w:space="1"/>
        </w:pBdr>
        <w:spacing w:after="200"/>
      </w:pPr>
      <w:r>
        <w:rPr>
          <w:sz w:val="20"/>
          <w:szCs w:val="20"/>
        </w:rP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Communication · Studio · Consulting · Finance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D3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B8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Consulting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</w:tr>
    </w:tbl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Sommaire Exécutif</w:t>
      </w:r>
    </w:p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VANIA est une startup de communication immobilière basée à Bafoussam, structurée autour de 4 départements complémentaires : Agence de Communication, Studio de production, Consulting bailleurs et Finance locataire. Elle aide les professionnels de l'immobilier à structurer leur présence locale, valoriser leurs biens et sécuriser leurs relations contractuelles.</w:t>
      </w:r>
    </w:p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 modèle repose sur une offre de services B2B à abonnement mensuel, avec deux niveaux de prestation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Activation Simple (amélioration annonces + visuels) : 50 000 – 75 000 FCFA/mois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Optimisation Avancée (accompagnement complet + gestion RS) : 159 000 FCFA/mois</w:t>
      </w:r>
    </w:p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Avec un investissement de démarrage de 1 000 000 FCFA, une structure de coûts légère et une activité 100 % service (pas de stock physique), VANIA vise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Point mort opérationnel : Mois 2</w:t>
            </w:r>
          </w:p>
        </w:tc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Dès 3 clients actifs (176 000 FCFA CA min.)</w:t>
            </w:r>
          </w:p>
        </w:tc>
      </w:tr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 annuel projeté (Année 1)</w:t>
            </w:r>
          </w:p>
        </w:tc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7 696 500 FCFA</w:t>
            </w:r>
          </w:p>
        </w:tc>
      </w:tr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Bénéfice net cumulé Année 1</w:t>
            </w:r>
          </w:p>
        </w:tc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4 742 025 FCFA</w:t>
            </w:r>
          </w:p>
        </w:tc>
      </w:tr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Trésorerie fin Année 1</w:t>
            </w:r>
          </w:p>
        </w:tc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5 142 025 FCFA</w:t>
            </w:r>
          </w:p>
        </w:tc>
      </w:tr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Marge nette moyenne</w:t>
            </w:r>
          </w:p>
        </w:tc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62 % — modèle service pur (zéro stock physique)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Un modèle agile, à faible investissement, centré sur la valeur ajoutée locale et la montée en puissance progressive du portefeuille clients.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Segments de Clients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AGENCE COMMUNICATION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Cible : Startups locales OTAs 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Clients principaux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Startups immobilières locales actives sur des plateformes OTAs (Afrikimmo, Jumia House, etc.) cherchant à se différencier visuellement avant de rivaliser techniquement.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Profil : fondateurs 25–40 ans, early-stage, budget marketing limité, besoin urgent d'identité de marque.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D3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STUDIO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Cible : Agents Immobiliers 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Clients principaux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Agents immobiliers indépendants ou en agence avec un catalogue de biens important mais des annonces de faible qualité visuelle.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Profil : agents actifs sur Facebook, WhatsApp, plateformes locales — catalogue &gt; 5 biens — biens vacants depuis &gt; 2 mois.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B87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CONSULTING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Cible : Propriétaires / Bailleurs 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Clients principaux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Propriétaires de logements locatifs cherchant à mieux gérer leurs relations agents, filtrer leurs mandataires et exiger des annonces au Standard Vania.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Profil : primo-bailleurs ou multi-propriétaires, frustrés par des agents sous-performants ou des biens vacants.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FINANCE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Cible : Locataires Affiliés 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Clients principaux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Locataires en zone urbaine exposés au risque de retard de loyer dû à des imprévus financiers ponctuels.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Profil : salariés, commerçants ou travailleurs informels souhaitant sécuriser leurs engagements locatifs via une cotisation solidaire.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Priorité Année 1 : acquisition clients Comm et Studio (CA immédiat) + amorçage Consulting. Finance en phase test.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Proposition de Valeur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DÉPARTEMENT</w:t>
            </w:r>
          </w:p>
        </w:tc>
        <w:tc>
          <w:tcPr>
            <w:tcW w:type="dxa" w:w="677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DÉLIVRÉE AU CLIENT</w:t>
            </w:r>
          </w:p>
        </w:tc>
      </w:tr>
      <w:tr>
        <w:tc>
          <w:tcPr>
            <w:tcW w:type="dxa" w:w="225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Agence Comm</w:t>
            </w:r>
          </w:p>
        </w:tc>
        <w:tc>
          <w:tcPr>
            <w:tcW w:type="dxa" w:w="67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Identité de marque distinctive + campagnes publicitaires ciblées + capsules vidéo engageantes. Les utilisateurs ne retiennent pas la fonctionnalité — ils retiennent l'expérience visuelle.</w:t>
            </w:r>
          </w:p>
        </w:tc>
      </w:tr>
      <w:tr>
        <w:tc>
          <w:tcPr>
            <w:tcW w:type="dxa" w:w="2256"/>
            <w:tcBorders>
              <w:top w:val="single" w:color="E87D3E" w:sz="4"/>
              <w:left w:val="single" w:color="E87D3E" w:sz="4"/>
              <w:bottom w:val="single" w:color="E87D3E" w:sz="4"/>
              <w:right w:val="single" w:color="E87D3E" w:sz="4"/>
            </w:tcBorders>
            <w:shd w:fill="E87D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Studio</w:t>
            </w:r>
          </w:p>
        </w:tc>
        <w:tc>
          <w:tcPr>
            <w:tcW w:type="dxa" w:w="67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Annonces immobilières professionnelles conformes au Standard Vania : photos optimisées, textes structurés, capsules vidéo 30–60s. Moins de vacance locative, plus de mandats de qualité.</w:t>
            </w:r>
          </w:p>
        </w:tc>
      </w:tr>
      <w:tr>
        <w:tc>
          <w:tcPr>
            <w:tcW w:type="dxa" w:w="2256"/>
            <w:tcBorders>
              <w:top w:val="single" w:color="5DB87A" w:sz="4"/>
              <w:left w:val="single" w:color="5DB87A" w:sz="4"/>
              <w:bottom w:val="single" w:color="5DB87A" w:sz="4"/>
              <w:right w:val="single" w:color="5DB87A" w:sz="4"/>
            </w:tcBorders>
            <w:shd w:fill="5DB87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Consulting</w:t>
            </w:r>
          </w:p>
        </w:tc>
        <w:tc>
          <w:tcPr>
            <w:tcW w:type="dxa" w:w="67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Accompagnement structuré pour filtrer les agents, choisir le bon type de mandat (Permanent, Temporaire, Exclusif) et exiger le Standard Vania. Le bailleur reprend le contrôle de son patrimoine.</w:t>
            </w:r>
          </w:p>
        </w:tc>
      </w:tr>
      <w:tr>
        <w:tc>
          <w:tcPr>
            <w:tcW w:type="dxa" w:w="225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67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Caisse de cotisation solidaire (quotidienne, hebdomadaire ou mensuelle) permettant au locataire affilié d'honorer ses engagements locatifs sans mettre en péril son bail.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Différenciateurs clés de Vania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Seule startup locale à couvrir les 4 dimensions de l'immobilier (communication, production, conseil, finance) en un écosystème intégré.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Standard Vania : une norme qualité propriétaire qui crée un référentiel local reconnu par bailleurs, agents et startups.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Modèle de service pur : pas de stock, pas de logistique physique lourde — agilité et rentabilité maximales.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Ancrage local fort : connaissance du terrain, des marchés, des acteurs et des pratiques immobilières camerounaises.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Canaux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Canal principal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Prospection directe terrain : visites d'agents, de startups et de bailleurs sur leur lieu d'activité. C'est le canal le plus efficace dans l'immobilier local camerounais — la relation humaine prime.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Canaux de communication &amp; vente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WhatsApp Business : prise de rendez-vous, envoi des propositions, suivi client, partage des livrables (annonces, vidéos, rapports).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Facebook / Instagram : publication quotidienne des annonces produites (avant/après), capsules vidéo, témoignages clients — preuve sociale continue.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Bouche-à-oreille : levier le plus puissant au démarrage — chaque bailleur satisfait recommande Vania à son réseau.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Réseau Vania croisé : un client Consulting devient prospect Studio (ses agents), qui devient prospect Comm (ses annonces). L'écosystème se nourrit lui-même.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Flyers et affiches locaux dans les quartiers d'affaires (Bafoussam, Douala, Yaoundé en extension).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Relation Client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Relation personnalisée et directe : chaque client a un interlocuteur Vania dédié, accessible sur WhatsApp.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Onboarding structuré : à la signature, remise du kit client (charte qualité, guides, planning de production).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Reporting mensuel systématique : chaque client Optimisation Avancée reçoit un rapport de résultats (vues, engagement, contacts générés).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Fidélisation progressive : réduction de 10 % à partir du 3e mois consécutif d'abonnement — incitation à rester.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Feedback direct : appel WhatsApp de satisfaction à J+7 après chaque livraison pour corriger et améliorer en temps réel.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Réseaux sociaux : réponse aux commentaires, publication des résultats clients (avec accord), coulisses de production pour créer une communauté Vania.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Sources de Revenus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Revenus principaux : Abonnements mensuels (95 % du 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13"/>
        <w:gridCol w:w="3013"/>
      </w:tblGrid>
      <w:tr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6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TARIF/MOIS</w:t>
            </w:r>
          </w:p>
        </w:tc>
        <w:tc>
          <w:tcPr>
            <w:tcW w:type="dxa" w:w="30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DÉPARTEMENT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Activation Simple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Amélioration annonces + visuels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50 000 – 75 000 FCFA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 / Studio / Consulting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D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Optimisation Avancée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Accompagnement complet + gestion RS + reporting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8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159 000 FCFA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 / Studio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Consulting Bailleur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Diagnostic mandat + suivi agents + guide filtrage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50 000 – 159 000 FCFA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Consulting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Caisse Finance (futur)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Cotisation solidaire locataires affiliés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500 – 30 000 FCFA/cycle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Revenus complémentaires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Prestations one-shot : production d'une annonce unique, capsule vidéo isolée, audit express de marque — 30 000 à 80 000 FCFA.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Formations et ateliers : sessions de formation pour agents sur la qualité des annonces — 50 000 FCFA/session groupe.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Partenariats plateformes : commissions sur mise en relation (à développer en Année 2).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Objectif démarrage M1 : 2 clients Activation Simple = 125 000 FCFA/mois → croissance vers 1 232 500 FCFA/mois en M12.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Ressources Clés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Investissement initial estimé : 1 000 000 FCFA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13"/>
        <w:gridCol w:w="3513"/>
      </w:tblGrid>
      <w:tr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FCFA</w:t>
            </w:r>
          </w:p>
        </w:tc>
        <w:tc>
          <w:tcPr>
            <w:tcW w:type="dxa" w:w="35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Matériel photo/vidéo (smartphone + ring light + trépied)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350 000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Smartphone haut de gamme ou équipement photo semi-pro. Fondamental pour le Studio.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Logiciels &amp; abonnements (Canva Pro, outils marketing)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50 000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Canva Pro, planificateur RS, outil de reporting. Renouvelable annuellement.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Impression kits commerciaux (flyers, fiches offres, cartes)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80 000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500 flyers + 200 fiches de présentation + cartes de visite pour les 4 départements.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Frais de création et enregistrement (patente, registre)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120 000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Immatriculation startup, patente commerciale, frais notaire si applicable.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Fonds de roulement (2 mois de charges fixes)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400 000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Sécurité trésorerie pour le démarrage. Couvre 2 mois de charges sans revenu.</w:t>
            </w:r>
          </w:p>
        </w:tc>
      </w:tr>
      <w:tr>
        <w:tc>
          <w:tcPr>
            <w:tcW w:type="dxa" w:w="35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INVESTISSEMENT</w:t>
            </w:r>
          </w:p>
        </w:tc>
        <w:tc>
          <w:tcPr>
            <w:tcW w:type="dxa" w:w="20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1 000 000 FCFA</w:t>
            </w:r>
          </w:p>
        </w:tc>
        <w:tc>
          <w:tcPr>
            <w:tcW w:type="dxa" w:w="3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Optimisable à 800 000 FCFA en différant les kits imprimés.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Ressources humaines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Fondateur / Directeur général : vision, gestion, prospection clients clés.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Consultant terrain : rendez-vous, diagnostics, suivi clients (1 personne en M1, +1 en M4).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Créatif Studio : production photo/vidéo et annonces (peut être le fondateur en phase de démarrage).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Chargé communication : gestion RS, publications quotidiennes (freelance possible au démarrage).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Ressources immatérielles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Standard Vania : charte qualité propriétaire — actif différenciateur non copiable immédiatement.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marque Vania et sa réputation locale — à construire dès M1 via les réseaux sociaux.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réseau de bailleurs, agents et startups — capital relationnel croissant.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Activités Clés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Prospection quotidienne : identification et contact d'agents, startups et bailleurs — 5 à 10 contacts/jour minimum.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Production d'annonces immobilières : shooting photo terrain, rédaction structurée, mise en page Standard Vania.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Production de contenus de marque : capsules vidéo, visuels publicitaires, identités graphiques pour les startups clientes.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Consulting bailleurs : diagnostics, recommandations de mandats, accompagnement relation agents.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Gestion de la caisse Finance : suivi des cotisations, traitement des demandes de soutien, reporting aux affiliés.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Marketing local quotidien : publication de contenus sur les RS, stories, résultats clients, preuve sociale continue.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Suivi financier rigoureux : tableau de bord CA / charges / trésorerie mis à jour chaque semaine.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Amélioration continue du Standard Vania : mise à jour des critères qualité selon les retours terrain.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Partenaires Clés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Plateformes immobilières locales (Afrikimmo, Jumia House, Facebook Marketplace) : distribution des annonces produites par le Studio.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Opérateurs Mobile Money (Orange Money, MTN MoMo) : automatisation des cotisations Finance et paiements clients.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Freelances créatifs locaux (photographes, vidéastes) : capacité de production supplémentaire en cas de pic de commandes.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Associations professionnelles immobilières et notaires : réseau d'accès aux bailleurs et agents formels.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Coworking et espaces de réunion locaux : pour les rendez-vous clients sans loyer fixe au démarrage.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Communauté locale (associations de quartier, groupes WhatsApp immobiliers) : bouche-à-oreille et référencement naturel.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Écoles de commerce et incubateurs : pipeline de startups OTAs à accompagner côté Agence Comm.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Structure de Coûts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Coûts fixes mensuels : 150 000 FCFA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13"/>
        <w:gridCol w:w="2500"/>
      </w:tblGrid>
      <w:tr>
        <w:tc>
          <w:tcPr>
            <w:tcW w:type="dxa" w:w="45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FCFA</w:t>
            </w:r>
          </w:p>
        </w:tc>
        <w:tc>
          <w:tcPr>
            <w:tcW w:type="dxa" w:w="2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Transport &amp; déplacements terrain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50 000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Carburant, motos, visites clients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Communication (appels, forfaits)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20 000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Forfaits voix + data tous réseaux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Internet (connexion bureau + backup)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20 000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Fibre ou 4G pro + clé backup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Espace de travail (coworking/bureau partagé)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50 000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Pas de bail long terme en phase démarrage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Divers administratifs (banque, imprévus fixes)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10 000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Frais bancaires, petits imprévus récurrents</w:t>
            </w:r>
          </w:p>
        </w:tc>
      </w:tr>
      <w:tr>
        <w:tc>
          <w:tcPr>
            <w:tcW w:type="dxa" w:w="45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FIXES MENSUELS</w:t>
            </w:r>
          </w:p>
        </w:tc>
        <w:tc>
          <w:tcPr>
            <w:tcW w:type="dxa" w:w="20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150 000 FCFA</w:t>
            </w:r>
          </w:p>
        </w:tc>
        <w:tc>
          <w:tcPr>
            <w:tcW w:type="dxa" w:w="25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Réductible à 120 000 en télétravail pur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Coûts variables : 15 % du CA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Les coûts variables couvrent les déplacements terrain supplémentaires liés à la production (shootings clients), les petites dépenses opérationnelles variables (impression ponctuelle, petits matériels), et les commissions éventuelles aux freelances de renfort. Ce taux de 15 % est très bas — avantage majeur d'un modèle de service pur.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Impôts et taxes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Régime libératoire simplifié ou IGS (Impôt sur le Revenu des Grandes Sociétés si applicable) : estimé à 150 000 – 200 000 FCFA/an, soit ~15 000 FCFA/mois en provision mensuelle. Ce montant est inclus dans les charges variables du modèle.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Synthèse Financière</w:t>
      </w:r>
    </w:p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Formule de calcul du CA mensuel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CA mensuel = (Nb clients Simple × 62 500) + (Nb clients Avancé × 159 000)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Charges totales = 150 000 FCFA (fixes) + 15 % du CA (variables)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Scénario Mois 1 (démarrage prudent)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2 clients Activation Simple × 62 500 FCFA = 125 000 FCFA de CA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Charges M1 : 150 000 + (125 000 × 15 %) = 150 000 + 18 750 = 168 750 FCFA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Résultat net M1 : −43 750 FCFA — déficit couvert par le fonds de roulement de 400 000 FCFA.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2513"/>
        <w:gridCol w:w="2000"/>
        <w:gridCol w:w="2000"/>
      </w:tblGrid>
      <w:tr>
        <w:tc>
          <w:tcPr>
            <w:tcW w:type="dxa" w:w="25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 démarrage (M1)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125 000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Mois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clients simples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Point mort mensuel atteint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Mois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Mois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 clients simples = 187 500 FCFA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 fin d'année (M12)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8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1 232 500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Mois 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 simples + 5 avancés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 total Année 1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8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7 696 500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 mois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Croissance progressive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Bénéfice net Année 1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8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4 742 025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Annuel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Marge nette 62 %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Trésorerie fin Année 1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8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5 142 025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Mois 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Inclut fonds de roulement initial</w:t>
            </w:r>
          </w:p>
        </w:tc>
      </w:tr>
      <w:tr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Potentiel Année 2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&gt; 15 000 000 FCFA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Annuel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+30 % clients + expansion géo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DB87A"/>
          <w:sz w:val="22"/>
          <w:szCs w:val="22"/>
        </w:rPr>
        <w:t xml:space="preserve">Objectif fin Année 1 : 12 clients actifs (7 simples + 5 avancés) — soit 1 232 500 FCFA de CA mensuel récurrent.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Compte d'Exploitation Prévisionnel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13"/>
        <w:gridCol w:w="1613"/>
        <w:gridCol w:w="2200"/>
      </w:tblGrid>
      <w:t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ANNUEL</w:t>
            </w:r>
          </w:p>
        </w:tc>
        <w:tc>
          <w:tcPr>
            <w:tcW w:type="dxa" w:w="1613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CA</w:t>
            </w:r>
          </w:p>
        </w:tc>
        <w:tc>
          <w:tcPr>
            <w:tcW w:type="dxa" w:w="2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Chiffre d'affaires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7 696 500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100 %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Croissance progressive M1→M12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Coûts variables (15 % du CA)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-1 154 475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-15 %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Déplacements + opérationnel terrain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Marge brute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6 542 025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85 %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Excellente — modèle service pur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Coûts fixes opérationnels (150 000 × 12)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-1 800 000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-23 %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150 000 FCFA/mois × 12 mois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2"/>
                <w:szCs w:val="22"/>
              </w:rPr>
              <w:t xml:space="preserve">Résultat d'exploitation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4 742 025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+62 %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Bénéfice opérationnel net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Impôts et taxes (libératoire ~2 %)</w:t>
            </w:r>
          </w:p>
        </w:tc>
        <w:tc>
          <w:tcPr>
            <w:tcW w:type="dxa" w:w="2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-150 000</w:t>
            </w:r>
          </w:p>
        </w:tc>
        <w:tc>
          <w:tcPr>
            <w:tcW w:type="dxa" w:w="1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-2 %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IGS/libératoire simplifié</w:t>
            </w:r>
          </w:p>
        </w:tc>
      </w:tr>
      <w:tr>
        <w:tc>
          <w:tcPr>
            <w:tcW w:type="dxa" w:w="32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BÉNÉFICE NET CUMULÉ ANNÉE 1</w:t>
            </w:r>
          </w:p>
        </w:tc>
        <w:tc>
          <w:tcPr>
            <w:tcW w:type="dxa" w:w="20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4 592 025 FCFA</w:t>
            </w:r>
          </w:p>
        </w:tc>
        <w:tc>
          <w:tcPr>
            <w:tcW w:type="dxa" w:w="1613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~60 %</w:t>
            </w:r>
          </w:p>
        </w:tc>
        <w:tc>
          <w:tcPr>
            <w:tcW w:type="dxa" w:w="22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Après impôts — très solide</w:t>
            </w:r>
          </w:p>
        </w:tc>
      </w:tr>
    </w:tbl>
    <w:p>
      <w:r>
        <w:t xml:space="preserve"/>
      </w:r>
    </w:p>
    <w:p>
      <w:pPr>
        <w:pBdr>
          <w:left w:val="single" w:color="C9A84C" w:sz="12" w:space="2"/>
        </w:pBdr>
        <w:spacing w:before="80" w:after="160"/>
        <w:ind w:left="280" w:right="2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 financière : Le modèle Vania est intrinsèquement plus rentable qu'un restaurant ou une boutique physique car il n'y a aucun coût de marchandise (COGS), aucun stock et aucune logistique physique. Chaque FCFA de CA supplémentaire génère 85 centimes de marge brute. C'est la puissance d'un modèle service pur.</w:t>
      </w:r>
    </w:p>
    <w:p>
      <w:r>
        <w:r>
          <w:br w:type="page"/>
        </w:r>
      </w:r>
    </w:p>
    <w:p>
      <w:pPr>
        <w:pBdr>
          <w:bottom w:val="single" w:color="C9A84C" w:sz="8" w:space="1"/>
        </w:pBdr>
        <w:shd w:fill="1A1A1A" w:val="clear"/>
        <w:spacing w:before="28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Plan de Trésorerie Prévisionnel</w:t>
      </w:r>
    </w:p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Hypothèses du modèle de trésorerie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Entrées = 100 % du CA (paiements cash ou Mobile Money à la livraison / début du mois).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Sorties variables = 15 % du CA (déplacements terrain, opérationnel).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Sorties fixes = 150 000 FCFA/mois (transport, communication, internet, espace, divers).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Trésorerie de départ : 400 000 FCFA (fonds de roulement inclus dans l'investissement initial).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600"/>
        <w:gridCol w:w="1600"/>
        <w:gridCol w:w="1526"/>
        <w:gridCol w:w="1000"/>
      </w:tblGrid>
      <w:tr>
        <w:tc>
          <w:tcPr>
            <w:tcW w:type="dxa" w:w="7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
(S+A)</w:t>
            </w:r>
          </w:p>
        </w:tc>
        <w:tc>
          <w:tcPr>
            <w:tcW w:type="dxa" w:w="1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 (FCFA)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Charges tot. (FCFA)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 net (FCFA)</w:t>
            </w:r>
          </w:p>
        </w:tc>
        <w:tc>
          <w:tcPr>
            <w:tcW w:type="dxa" w:w="15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Trés. cumulée (FCFA)</w:t>
            </w:r>
          </w:p>
        </w:tc>
        <w:tc>
          <w:tcPr>
            <w:tcW w:type="dxa" w:w="1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2S + 0A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125 000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168 750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-43 750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356 250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3S + 0A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187 500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178 125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+9 375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365 625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4S + 0A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250 000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187 500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+62 500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428 125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4S + 1A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409 000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211 350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+197 650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625 775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4S + 2A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568 000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235 200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+332 800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958 575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4S + 2A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568 000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235 200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+332 800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1 291 375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5S + 2A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630 500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244 575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+385 925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1 677 300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5S + 3A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789 500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268 425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+521 075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2 198 375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6S + 3A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852 000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277 800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+574 200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2 772 575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6S + 4A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1 011 000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301 650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+709 350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3 481 925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7S + 4A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1 073 500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311 025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+762 475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4 244 400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7S + 5A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1 232 500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334 875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+897 625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5 142 025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18"/>
                <w:szCs w:val="18"/>
              </w:rPr>
              <w:t xml:space="preserve">OK</w:t>
            </w:r>
          </w:p>
        </w:tc>
      </w:tr>
    </w:tbl>
    <w:p>
      <w:r>
        <w:t xml:space="preserve"/>
      </w:r>
    </w:p>
    <w:p>
      <w:pPr>
        <w:pBdr>
          <w:bottom w:val="single" w:color="F0D080" w:sz="2" w:space="1"/>
        </w:pBdr>
        <w:spacing w:before="180" w:after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Lecture rapide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Mois 1 : léger déficit mensuel (-43 750 FCFA) couvert par le fonds de roulement de 400 000 FCFA — trésorerie reste positive à 356 250 FCFA.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Point mort opérationnel : atteint dès le Mois 2 avec 3 clients actifs (flux net positif).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Trésorerie toujours positive sur toute l'année 1 — jamais de situation de déficit cumulé, contrairement à Andy Food.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Fin Année 1 : trésorerie cumulée de 5 142 025 FCFA — base solide pour l'expansion Année 2.</w:t>
      </w:r>
    </w:p>
    <w:p>
      <w:r>
        <w:t xml:space="preserve"/>
      </w:r>
    </w:p>
    <w:p>
      <w:pPr>
        <w:pBdr>
          <w:left w:val="single" w:color="C9A84C" w:sz="12" w:space="2"/>
        </w:pBdr>
        <w:spacing w:before="80" w:after="160"/>
        <w:ind w:left="280" w:right="2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Avantage clé vs restauration : Vania ne puise jamais profondément dans ses réserves. Le modèle service pur génère un flux net positif dès le 2e mois, là où un restaurant physique reste déficitaire pendant 6 à 9 mois. C'est la force d'une startup légère.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N.B : Si les charges fixes sont réduites à 120 000 FCFA/mois (télétravail total, sans espace de coworking), la trésorerie est positive dès M1 et la marge nette dépasse 65 %.</w:t>
      </w:r>
    </w:p>
    <w:p>
      <w:r>
        <w:r>
          <w:br w:type="page"/>
        </w:r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8" w:space="1"/>
        </w:pBdr>
        <w:spacing w:before="200" w:after="120"/>
      </w:pPr>
      <w:r>
        <w:rPr>
          <w:sz w:val="28"/>
          <w:szCs w:val="28"/>
        </w:rP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6"/>
          <w:szCs w:val="26"/>
        </w:rPr>
        <w:t xml:space="preserve">« Vania aide les professionnels de l'immobilier à structurer leur communication locale. »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 modèle simple, rentable et à fort potentiel de croissance — ancré dans la réalité du marché immobilier camerounais.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 document est confidentiel et réservé à l'usage interne de Vania.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Vania – Confidentiel  |  Page </w:t>
    </w:r>
    <w:r>
      <w:rPr>
        <w:rFonts w:ascii="Arial" w:cs="Arial" w:eastAsia="Arial" w:hAnsi="Arial"/>
        <w:color w:val="C9A84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C9A84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VANIA  |  MODÈLE ÉCONOMIQUE  |  STARTUP IMMOBILIÈRE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C9A84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2026-03-27T04:17:35.538Z</dcterms:created>
  <dcterms:modified xsi:type="dcterms:W3CDTF">2026-03-27T04:17:35.539Z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