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Summary of Marginal Effects by Patient and Area Characteristics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32"/>
        <w:gridCol w:w="2016"/>
        <w:gridCol w:w="2016"/>
        <w:gridCol w:w="2016"/>
        <w:gridCol w:w="2016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Perinatal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Level of Care 2+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Minor or Major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Teaching Hospital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Elective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C-Section Rate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(0.0001)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[-0.0265, -0.0262]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(0.0008)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[0.1348, 0.1381]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(0.0008)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[0.1008, 0.1038]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(0.0003)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[0.0274, 0.0287]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Leonard Obstetric Comorbidity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[NA, NA]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[NA, NA]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0.1092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[NA, NA]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[NA, NA]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Ob/Gyns per 10,000 WRA in County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-0.0266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[NA, NA]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0.1442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[NA, NA]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[NA, NA]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[NA, NA]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Non-Hispanic Black vs 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(0.0001)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[0.0057, 0.0063]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(0.0017)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[-0.0940, -0.0875]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(0.0012)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[0.0353, 0.0400]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(0.0006)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[-0.0044, -0.0021]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Medicaid vs Private Insured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-0.0053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(0.0001)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[-0.0055, -0.0051]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-0.0387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(0.0016)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[-0.0418, -0.0357]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(0.0013)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[0.0100, 0.0149]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(0.0005)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[-0.0041, -0.0023]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Hispanic vs Non-Hispanic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-0.0030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(0.0002)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[-0.0033, -0.0026]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-0.0066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(0.0022)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[-0.0110, -0.0022]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(0.0018)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[0.0184, 0.0254]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(0.0007)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[0.0069, 0.0098]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2026-04-28T13:28:11Z</dcterms:modified>
  <cp:category/>
</cp:coreProperties>
</file>