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of Marginal Effects by Patient and Area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2016"/>
        <w:gridCol w:w="2016"/>
        <w:gridCol w:w="2016"/>
        <w:gridCol w:w="201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Perinatal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Level of Care 2+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Minor or Major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Teaching Hospital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Elective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C-Section Rate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-0.0198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[-0.0202, -0.0194]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(0.0023)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[0.1613, 0.1704]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[0.0465, 0.0631]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(0.0005)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[-0.0171, -0.0150]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Leonard Obstetric Comorbidity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Ob/Gyns per 10,000 WRA in 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-0.0182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[NA, NA]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Non-Hispanic Black vs 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(0.0003)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[-0.0021, -0.0010]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(0.0040)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[-0.0803, -0.0647]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[-0.0202, -0.0038]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[0.0007, 0.0055]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Medicaid vs Private Insured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[-0.0008, 0.0001]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(0.0028)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[-0.0069, 0.0041]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(0.0037)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[-0.0027, 0.0119]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(0.0008)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[-0.0004, 0.0027]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Hispanic vs Non-Hispanic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(0.0005)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[0.0013, 0.0033]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(0.0051)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[0.0088, 0.0289]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(0.0066)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[-0.0002, 0.0257]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(0.0013)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[0.0098, 0.0151]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2026-04-29T08:12:42Z</dcterms:modified>
  <cp:category/>
</cp:coreProperties>
</file>