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54"/>
        <w:gridCol w:w="1340"/>
        <w:gridCol w:w="1756"/>
      </w:tblGrid>
      <w:tr>
        <w:trPr>
          <w:trHeight w:val="57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Atlanta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 of Atlanta</w:t>
            </w:r>
          </w:p>
        </w:tc>
      </w:tr>
      <w:tr>
        <w:trPr>
          <w:trHeight w:val="574" w:hRule="auto"/>
        </w:trPr>
        <w:tc>
          <w:tcPr>
            <w:gridSpan w:val="3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Panel A. Market Characteristics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Deliveries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420,619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290,251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Patients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342,049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233,797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to Closest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7.775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Traveled Past Closest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3.827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Delivery Hospitals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</w:t>
            </w:r>
          </w:p>
        </w:tc>
      </w:tr>
      <w:tr>
        <w:trPr>
          <w:trHeight w:val="615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Panel B. Hospital Characteristics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Perinatal Level 3 or 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Minor or Major Teaching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0.519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Elective C-Section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74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Panel C. Patient Characteristics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Leonard Obstetric Comorbidity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5.708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OB/GYNs per 10,000 WRA in County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5.737</w:t>
            </w:r>
          </w:p>
        </w:tc>
      </w:tr>
      <w:tr>
        <w:trPr>
          <w:trHeight w:val="571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Insurance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Medicaid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0.516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Private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Self-Pay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Payer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17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0.499</w:t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Other/Unknown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2026-04-26T09:04:56Z</dcterms:modified>
  <cp:category/>
</cp:coreProperties>
</file>