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spacing w:after="160" w:before="360"/>
        <w:ind w:firstLine="0"/>
      </w:pPr>
      <w:r>
        <w:rPr>
          <w:rFonts w:ascii="Arial" w:cs="Arial" w:eastAsia="Arial" w:hAnsi="Arial"/>
          <w:b/>
          <w:bCs/>
          <w:color w:val="1F3864"/>
          <w:sz w:val="28"/>
          <w:szCs w:val="28"/>
        </w:rPr>
        <w:t xml:space="preserve">2.3. Statistical Analysis</w:t>
      </w:r>
    </w:p>
    <w:p>
      <w:pPr>
        <w:spacing w:after="40" w:before="0"/>
      </w:pPr>
      <w:r>
        <w:t xml:space="preserve"/>
      </w:r>
    </w:p>
    <w:p>
      <w:pPr>
        <w:spacing w:after="120" w:before="0" w:line="276"/>
        <w:jc w:val="both"/>
      </w:pPr>
      <w:r>
        <w:rPr>
          <w:rFonts w:ascii="Times New Roman" w:cs="Times New Roman" w:eastAsia="Times New Roman" w:hAnsi="Times New Roman"/>
          <w:sz w:val="24"/>
          <w:szCs w:val="24"/>
        </w:rPr>
        <w:t xml:space="preserve">All statistical analyses were performed using a two-sided significance level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0.05 unless otherwise specified. Continuous variables were examined for distributional normality using the Shapiro–Wilk test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5,000). Missing data were assessed for patterns consistent with missing completely at random (MCAR) using Little's MCAR test prior to imputation. No adjustment for multiple comparisons was applied to exploratory subgroup analyses; all reported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-values are two-sided and should be interpreted accordingly. All analyses were pre-specified prior to data access; post-hoc modifications are explicitly noted.</w:t>
      </w:r>
    </w:p>
    <w:p>
      <w:pPr>
        <w:spacing w:after="40" w:before="0"/>
      </w:pPr>
      <w:r>
        <w:t xml:space="preserve"/>
      </w:r>
    </w:p>
    <w:p>
      <w:pPr>
        <w:pBdr>
          <w:bottom w:val="single" w:color="2E75B6" w:sz="4" w:space="4"/>
        </w:pBdr>
        <w:spacing w:after="120" w:before="280"/>
        <w:ind w:firstLine="0"/>
      </w:pPr>
      <w:r>
        <w:rPr>
          <w:rFonts w:ascii="Arial" w:cs="Arial" w:eastAsia="Arial" w:hAnsi="Arial"/>
          <w:b/>
          <w:bCs/>
          <w:color w:val="2E75B6"/>
          <w:sz w:val="26"/>
          <w:szCs w:val="26"/>
        </w:rPr>
        <w:t xml:space="preserve">2.3.1. Descriptive and Comparative Analysis</w:t>
      </w:r>
    </w:p>
    <w:p>
      <w:pPr>
        <w:spacing w:after="20" w:before="0"/>
      </w:pPr>
      <w:r>
        <w:t xml:space="preserve"/>
      </w:r>
    </w:p>
    <w:p>
      <w:pPr>
        <w:spacing w:after="120" w:before="0" w:line="276"/>
        <w:jc w:val="both"/>
      </w:pPr>
      <w:r>
        <w:rPr>
          <w:rFonts w:ascii="Times New Roman" w:cs="Times New Roman" w:eastAsia="Times New Roman" w:hAnsi="Times New Roman"/>
          <w:sz w:val="24"/>
          <w:szCs w:val="24"/>
        </w:rPr>
        <w:t xml:space="preserve">Baseline characteristics were summarised and reported in accordance with TRIPOD+AI reporting guidelines. </w:t>
      </w:r>
      <w:r>
        <w:rPr>
          <w:rFonts w:ascii="Times New Roman" w:cs="Times New Roman" w:eastAsia="Times New Roman" w:hAnsi="Times New Roman"/>
          <w:sz w:val="24"/>
          <w:szCs w:val="24"/>
        </w:rPr>
        <w:t xml:space="preserve">Continuous variables that satisfied the normality assumption (Shapiro–Wilk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0.05) were expressed as mean ± standard deviation (SD); non-normally distributed variables were expressed as median with interquartile range (IQR; 25</w:t>
      </w:r>
      <w:r>
        <w:rPr>
          <w:rFonts w:ascii="Times New Roman" w:cs="Times New Roman" w:eastAsia="Times New Roman" w:hAnsi="Times New Roman"/>
          <w:sz w:val="20"/>
          <w:szCs w:val="20"/>
          <w:vertAlign w:val="superscript"/>
        </w:rPr>
        <w:t xml:space="preserve">th</w:t>
      </w:r>
      <w:r>
        <w:rPr>
          <w:rFonts w:ascii="Times New Roman" w:cs="Times New Roman" w:eastAsia="Times New Roman" w:hAnsi="Times New Roman"/>
          <w:sz w:val="24"/>
          <w:szCs w:val="24"/>
        </w:rPr>
        <w:t xml:space="preserve">–75</w:t>
      </w:r>
      <w:r>
        <w:rPr>
          <w:rFonts w:ascii="Times New Roman" w:cs="Times New Roman" w:eastAsia="Times New Roman" w:hAnsi="Times New Roman"/>
          <w:sz w:val="20"/>
          <w:szCs w:val="20"/>
          <w:vertAlign w:val="superscript"/>
        </w:rPr>
        <w:t xml:space="preserve">th</w:t>
      </w:r>
      <w:r>
        <w:rPr>
          <w:rFonts w:ascii="Times New Roman" w:cs="Times New Roman" w:eastAsia="Times New Roman" w:hAnsi="Times New Roman"/>
          <w:sz w:val="24"/>
          <w:szCs w:val="24"/>
        </w:rPr>
        <w:t xml:space="preserve"> percentile). Categorical variables were summarised as absolute frequencies and proportions (%).</w:t>
      </w:r>
    </w:p>
    <w:p>
      <w:pPr>
        <w:spacing w:after="120" w:before="0" w:line="276"/>
        <w:ind w:firstLine="720"/>
        <w:jc w:val="both"/>
      </w:pPr>
      <w:r>
        <w:rPr>
          <w:rFonts w:ascii="Times New Roman" w:cs="Times New Roman" w:eastAsia="Times New Roman" w:hAnsi="Times New Roman"/>
          <w:sz w:val="24"/>
          <w:szCs w:val="24"/>
        </w:rPr>
        <w:t xml:space="preserve">Between-group comparisons by sex (male vs. female) and by outcome status (heart disease present vs. absent) were conducted as follows. For continuous variables, the Mann–Whitney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test was employed irrespective of distributional form, given the demonstrably non-normal distribution of several key variables (RestingBP, Cholesterol, Oldpeak) confirmed by the Shapiro–Wilk test. Effect sizes for continuous comparisons were quantified using rank-biserial correlation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For categorical variables, Pearson's chi-squared (χ</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test of independence was applied; Fisher's exact test was substituted when any expected cell frequency fell below five. The strength of association for categorical comparisons was quantified using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Homogeneity of variance was assessed with Levene's test where parametric assumptions were evaluated.</w:t>
      </w:r>
    </w:p>
    <w:p>
      <w:pPr>
        <w:spacing w:after="120" w:before="0" w:line="276"/>
        <w:ind w:firstLine="720"/>
        <w:jc w:val="both"/>
      </w:pPr>
      <w:r>
        <w:rPr>
          <w:rFonts w:ascii="Times New Roman" w:cs="Times New Roman" w:eastAsia="Times New Roman" w:hAnsi="Times New Roman"/>
          <w:sz w:val="24"/>
          <w:szCs w:val="24"/>
        </w:rPr>
        <w:t xml:space="preserve">Serum cholesterol values recorded as zero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172, 18.7%) were considered clinically implausible and were treated as missing values. Similarly, one resting blood pressure value of 0 mmHg was recoded as missing. Missing values were imputed using Multivariate Imputation by Chained Equations (MICE) with a Bayesian Ridge regression estimator (10 iterations, convergence assessed visually via trace plots; random seed = 42). Imputed values were constrained to clinically plausible ranges (cholesterol: 100–700 mg/dL; resting BP: 60–250 mmHg). The appropriateness of the MICE approach was supported by the MCAR test result and the proportion of missingness (&lt; 20% per variable).</w:t>
      </w:r>
    </w:p>
    <w:p>
      <w:pPr>
        <w:spacing w:after="40" w:before="0"/>
      </w:pPr>
      <w:r>
        <w:t xml:space="preserve"/>
      </w:r>
    </w:p>
    <w:p>
      <w:pPr>
        <w:pBdr>
          <w:bottom w:val="single" w:color="2E75B6" w:sz="4" w:space="4"/>
        </w:pBdr>
        <w:spacing w:after="120" w:before="280"/>
        <w:ind w:firstLine="0"/>
      </w:pPr>
      <w:r>
        <w:rPr>
          <w:rFonts w:ascii="Arial" w:cs="Arial" w:eastAsia="Arial" w:hAnsi="Arial"/>
          <w:b/>
          <w:bCs/>
          <w:color w:val="2E75B6"/>
          <w:sz w:val="26"/>
          <w:szCs w:val="26"/>
        </w:rPr>
        <w:t xml:space="preserve">2.3.2. Multivariable Logistic Regression Analysis</w:t>
      </w:r>
    </w:p>
    <w:p>
      <w:pPr>
        <w:spacing w:after="20" w:before="0"/>
      </w:pPr>
      <w:r>
        <w:t xml:space="preserve"/>
      </w:r>
    </w:p>
    <w:p>
      <w:pPr>
        <w:spacing w:after="120" w:before="0" w:line="276"/>
        <w:jc w:val="both"/>
      </w:pPr>
      <w:r>
        <w:rPr>
          <w:rFonts w:ascii="Times New Roman" w:cs="Times New Roman" w:eastAsia="Times New Roman" w:hAnsi="Times New Roman"/>
          <w:sz w:val="24"/>
          <w:szCs w:val="24"/>
        </w:rPr>
        <w:t xml:space="preserve">Multivariable logistic regression was performed to quantify the independent association between each clinical predictor and the binary outcome (heart disease: present vs. absent). All 11 pre-specified predictor variables were entered simultaneously (forced entry), without data-driven variable selection, to avoid optimistic bias and to maintain consistency with the a priori analytical plan. Continuous predictors were standardised (mean = 0, SD = 1) prior to model fitting to render regression coefficients and odds ratios (ORs) directly comparable across variables measured on different scales. The resulting OR for each predictor thus represents the change in odds of heart disease per one standard deviation increase in that variable.</w:t>
      </w:r>
    </w:p>
    <w:p>
      <w:pPr>
        <w:spacing w:after="120" w:before="0" w:line="276"/>
        <w:ind w:firstLine="720"/>
        <w:jc w:val="both"/>
      </w:pPr>
      <w:r>
        <w:rPr>
          <w:rFonts w:ascii="Times New Roman" w:cs="Times New Roman" w:eastAsia="Times New Roman" w:hAnsi="Times New Roman"/>
          <w:sz w:val="24"/>
          <w:szCs w:val="24"/>
        </w:rPr>
        <w:t xml:space="preserve">Crude (unadjusted) and adjusted ORs with 95% confidence intervals (CIs) were reported. Confidence intervals were derived using a non-parametric bootstrap procedure (1,000 iterations, stratified resampling with replacement; random seed = 42) to avoid reliance on asymptotic normality, which may be violated for odds ratios from skewed predictor distributions. Wald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-statistics and corresponding two-sided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-values were computed for each coefficient.</w:t>
      </w:r>
    </w:p>
    <w:p>
      <w:pPr>
        <w:spacing w:after="120" w:before="0" w:line="276"/>
        <w:ind w:firstLine="720"/>
        <w:jc w:val="both"/>
      </w:pPr>
      <w:r>
        <w:rPr>
          <w:rFonts w:ascii="Times New Roman" w:cs="Times New Roman" w:eastAsia="Times New Roman" w:hAnsi="Times New Roman"/>
          <w:sz w:val="24"/>
          <w:szCs w:val="24"/>
        </w:rPr>
        <w:t xml:space="preserve">Collinearity among predictors was assessed using the variance inflation factor (VIF); variables with VIF &gt; 10 were flagged for potential redundancy. Model goodness-of-fit was evaluated with the Hosmer–Lemeshow (HL) test using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10 deciles of predicted probability; a non-significant HL χ</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&gt; 0.05) was taken as evidence of adequate calibration. Additional calibration was visualised through calibration curves (observed vs. predicted event rates across quantile-binned probability deciles). Nagelkerke's pseudo-</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was reported as a supplemental measure of explained variation. Sex-stratified logistic regression models were fitted separately for male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725) and female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193) subgroups to assess whether associations differed by sex. Formal interaction terms (predictor × sex) were tested in the pooled model, and the Bonferroni-corrected threshold of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0.0045 (0.05/11 predictors) was applied to interaction tests to control the family-wise error rate.</w:t>
      </w:r>
    </w:p>
    <w:p>
      <w:pPr>
        <w:spacing w:after="40" w:before="0"/>
      </w:pPr>
      <w:r>
        <w:t xml:space="preserve"/>
      </w:r>
    </w:p>
    <w:p>
      <w:pPr>
        <w:pBdr>
          <w:bottom w:val="single" w:color="2E75B6" w:sz="4" w:space="4"/>
        </w:pBdr>
        <w:spacing w:after="120" w:before="280"/>
        <w:ind w:firstLine="0"/>
      </w:pPr>
      <w:r>
        <w:rPr>
          <w:rFonts w:ascii="Arial" w:cs="Arial" w:eastAsia="Arial" w:hAnsi="Arial"/>
          <w:b/>
          <w:bCs/>
          <w:color w:val="2E75B6"/>
          <w:sz w:val="26"/>
          <w:szCs w:val="26"/>
        </w:rPr>
        <w:t xml:space="preserve">2.3.3. Machine Learning Model Development</w:t>
      </w:r>
    </w:p>
    <w:p>
      <w:pPr>
        <w:spacing w:after="20" w:before="0"/>
      </w:pPr>
      <w:r>
        <w:t xml:space="preserve"/>
      </w:r>
    </w:p>
    <w:p>
      <w:pPr>
        <w:spacing w:after="120" w:before="0" w:line="276"/>
        <w:jc w:val="both"/>
      </w:pPr>
      <w:r>
        <w:rPr>
          <w:rFonts w:ascii="Times New Roman" w:cs="Times New Roman" w:eastAsia="Times New Roman" w:hAnsi="Times New Roman"/>
          <w:sz w:val="24"/>
          <w:szCs w:val="24"/>
        </w:rPr>
        <w:t xml:space="preserve">Five supervised machine learning (ML) classifiers were developed and compared: (i) logistic regression (LR) as the statistical reference model; (ii) random forest (RF); (iii) gradient boosting (GB); (iv) extreme gradient boosting (XGBoost; XGB); and (v) a multilayer perceptron neural network (MLP). All feature engineering, preprocessing, model training, and evaluation steps were conducted within a nested cross-validation framework to prevent data leakage.</w:t>
      </w:r>
    </w:p>
    <w:p>
      <w:pPr>
        <w:spacing w:after="120" w:before="0" w:line="276"/>
        <w:ind w:firstLine="720"/>
        <w:jc w:val="both"/>
      </w:pPr>
      <w:r>
        <w:rPr>
          <w:rFonts w:ascii="Times New Roman" w:cs="Times New Roman" w:eastAsia="Times New Roman" w:hAnsi="Times New Roman"/>
          <w:sz w:val="24"/>
          <w:szCs w:val="24"/>
        </w:rPr>
        <w:t xml:space="preserve">Feature preparation was performed identically for all models. Continuous features were standardised using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-score transformation (zero mean, unit variance), with scaling parameters estimated exclusively from training folds and applied to validation folds. Categorical variables with more than two levels (ChestPainType, RestingECG, ST_Slope) were one-hot encoded, yielding a final feature matrix of 20 binary and continuous predictors. The MICE-imputed cholesterol and resting BP values from Section 2.3.1 were used throughout.</w:t>
      </w:r>
    </w:p>
    <w:p>
      <w:pPr>
        <w:spacing w:after="120" w:before="0" w:line="276"/>
        <w:ind w:firstLine="720"/>
        <w:jc w:val="both"/>
      </w:pPr>
      <w:r>
        <w:rPr>
          <w:rFonts w:ascii="Times New Roman" w:cs="Times New Roman" w:eastAsia="Times New Roman" w:hAnsi="Times New Roman"/>
          <w:sz w:val="24"/>
          <w:szCs w:val="24"/>
        </w:rPr>
        <w:t xml:space="preserve">Hyperparameter configurations were fixed a priori as follows to ensure reproducibility and to avoid circularity in the comparison. The RF classifier was configured with 300 decision trees (</w:t>
      </w:r>
      <w:r>
        <w:rPr>
          <w:rFonts w:ascii="Times New Roman" w:cs="Times New Roman" w:eastAsia="Times New Roman" w:hAnsi="Times New Roman"/>
          <w:i/>
          <w:iCs/>
          <w:sz w:val="24"/>
          <w:szCs w:val="24"/>
        </w:rPr>
        <w:t xml:space="preserve">n_estimators</w:t>
      </w:r>
      <w:r>
        <w:rPr>
          <w:rFonts w:ascii="Times New Roman" w:cs="Times New Roman" w:eastAsia="Times New Roman" w:hAnsi="Times New Roman"/>
          <w:sz w:val="24"/>
          <w:szCs w:val="24"/>
        </w:rPr>
        <w:t xml:space="preserve"> = 300), </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features per split (</w:t>
      </w:r>
      <w:r>
        <w:rPr>
          <w:rFonts w:ascii="Times New Roman" w:cs="Times New Roman" w:eastAsia="Times New Roman" w:hAnsi="Times New Roman"/>
          <w:i/>
          <w:iCs/>
          <w:sz w:val="24"/>
          <w:szCs w:val="24"/>
        </w:rPr>
        <w:t xml:space="preserve">max_features</w:t>
      </w:r>
      <w:r>
        <w:rPr>
          <w:rFonts w:ascii="Times New Roman" w:cs="Times New Roman" w:eastAsia="Times New Roman" w:hAnsi="Times New Roman"/>
          <w:sz w:val="24"/>
          <w:szCs w:val="24"/>
        </w:rPr>
        <w:t xml:space="preserve"> = "sqrt"), and a minimum of two samples per leaf (</w:t>
      </w:r>
      <w:r>
        <w:rPr>
          <w:rFonts w:ascii="Times New Roman" w:cs="Times New Roman" w:eastAsia="Times New Roman" w:hAnsi="Times New Roman"/>
          <w:i/>
          <w:iCs/>
          <w:sz w:val="24"/>
          <w:szCs w:val="24"/>
        </w:rPr>
        <w:t xml:space="preserve">min_samples_leaf</w:t>
      </w:r>
      <w:r>
        <w:rPr>
          <w:rFonts w:ascii="Times New Roman" w:cs="Times New Roman" w:eastAsia="Times New Roman" w:hAnsi="Times New Roman"/>
          <w:sz w:val="24"/>
          <w:szCs w:val="24"/>
        </w:rPr>
        <w:t xml:space="preserve"> = 2). The GB classifier used 300 boosting stages (</w:t>
      </w:r>
      <w:r>
        <w:rPr>
          <w:rFonts w:ascii="Times New Roman" w:cs="Times New Roman" w:eastAsia="Times New Roman" w:hAnsi="Times New Roman"/>
          <w:i/>
          <w:iCs/>
          <w:sz w:val="24"/>
          <w:szCs w:val="24"/>
        </w:rPr>
        <w:t xml:space="preserve">n_estimators</w:t>
      </w:r>
      <w:r>
        <w:rPr>
          <w:rFonts w:ascii="Times New Roman" w:cs="Times New Roman" w:eastAsia="Times New Roman" w:hAnsi="Times New Roman"/>
          <w:sz w:val="24"/>
          <w:szCs w:val="24"/>
        </w:rPr>
        <w:t xml:space="preserve"> = 300), a learning rate of 0.05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 0.05), maximum tree depth of four, and a subsample fraction of 0.8. The XGBoost classifier was configured with 300 estimators, learning rate 0.05, maximum depth 4, subsample 0.8, </w:t>
      </w:r>
      <w:r>
        <w:rPr>
          <w:rFonts w:ascii="Times New Roman" w:cs="Times New Roman" w:eastAsia="Times New Roman" w:hAnsi="Times New Roman"/>
          <w:i/>
          <w:iCs/>
          <w:sz w:val="24"/>
          <w:szCs w:val="24"/>
        </w:rPr>
        <w:t xml:space="preserve">colsample_bytree</w:t>
      </w:r>
      <w:r>
        <w:rPr>
          <w:rFonts w:ascii="Times New Roman" w:cs="Times New Roman" w:eastAsia="Times New Roman" w:hAnsi="Times New Roman"/>
          <w:sz w:val="24"/>
          <w:szCs w:val="24"/>
        </w:rPr>
        <w:t xml:space="preserve"> = 0.8, and </w:t>
      </w:r>
      <w:r>
        <w:rPr>
          <w:rFonts w:ascii="Times New Roman" w:cs="Times New Roman" w:eastAsia="Times New Roman" w:hAnsi="Times New Roman"/>
          <w:i/>
          <w:iCs/>
          <w:sz w:val="24"/>
          <w:szCs w:val="24"/>
        </w:rPr>
        <w:t xml:space="preserve">eval_metric</w:t>
      </w:r>
      <w:r>
        <w:rPr>
          <w:rFonts w:ascii="Times New Roman" w:cs="Times New Roman" w:eastAsia="Times New Roman" w:hAnsi="Times New Roman"/>
          <w:sz w:val="24"/>
          <w:szCs w:val="24"/>
        </w:rPr>
        <w:t xml:space="preserve"> = "logloss". The MLP comprised two fully connected hidden layers (64 → 32 neurons) with ReLU activation,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regularisation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0.01), Adam optimiser (learning rate 0.001), and early stopping with a patience of 10 epochs (validation fraction = 0.1). All stochastic elements were controlled by a fixed random seed (seed = 42).</w:t>
      </w:r>
    </w:p>
    <w:p>
      <w:pPr>
        <w:spacing w:after="120" w:before="0" w:line="276"/>
        <w:ind w:firstLine="720"/>
        <w:jc w:val="both"/>
      </w:pPr>
      <w:r>
        <w:rPr>
          <w:rFonts w:ascii="Times New Roman" w:cs="Times New Roman" w:eastAsia="Times New Roman" w:hAnsi="Times New Roman"/>
          <w:sz w:val="24"/>
          <w:szCs w:val="24"/>
        </w:rPr>
        <w:t xml:space="preserve">Model training and internal validation were conducted via stratified 5-fold cross-validation (CV), preserving the proportion of positive cases (55.3%) across all folds (StratifiedKFold; shuffle = True; random seed = 42). For each fold, the preprocessing pipeline (imputation parameters excluded — these were estimated on the full training set prior to CV to reflect realistic clinical deployment) was re-fitted on the four training folds and applied to the held-out validation fold. Out-of-fold predicted probabilities were concatenated to obtain a single set of 918 CV predictions per model, which were used for all primary performance metrics. Sex-stratified models were trained and evaluated identically using the male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725) and female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193) subsets separately.</w:t>
      </w:r>
    </w:p>
    <w:p>
      <w:pPr>
        <w:spacing w:after="40" w:before="0"/>
      </w:pPr>
      <w:r>
        <w:t xml:space="preserve"/>
      </w:r>
    </w:p>
    <w:p>
      <w:pPr>
        <w:pBdr>
          <w:bottom w:val="single" w:color="2E75B6" w:sz="4" w:space="4"/>
        </w:pBdr>
        <w:spacing w:after="120" w:before="280"/>
        <w:ind w:firstLine="0"/>
      </w:pPr>
      <w:r>
        <w:rPr>
          <w:rFonts w:ascii="Arial" w:cs="Arial" w:eastAsia="Arial" w:hAnsi="Arial"/>
          <w:b/>
          <w:bCs/>
          <w:color w:val="2E75B6"/>
          <w:sz w:val="26"/>
          <w:szCs w:val="26"/>
        </w:rPr>
        <w:t xml:space="preserve">2.3.4. Model Evaluation and Comparison</w:t>
      </w:r>
    </w:p>
    <w:p>
      <w:pPr>
        <w:spacing w:after="20" w:before="0"/>
      </w:pPr>
      <w:r>
        <w:t xml:space="preserve"/>
      </w:r>
    </w:p>
    <w:p>
      <w:pPr>
        <w:spacing w:after="120" w:before="0" w:line="276"/>
        <w:jc w:val="both"/>
      </w:pPr>
      <w:r>
        <w:rPr>
          <w:rFonts w:ascii="Times New Roman" w:cs="Times New Roman" w:eastAsia="Times New Roman" w:hAnsi="Times New Roman"/>
          <w:sz w:val="24"/>
          <w:szCs w:val="24"/>
        </w:rPr>
        <w:t xml:space="preserve">Primary discrimination was assessed using the area under the receiver operating characteristic curve (AUC-ROC). The optimal classification threshold was determined by the Youden index (maximising sensitivity + specificity − 1) applied to the cross-validated probability scores. At this threshold, the following secondary metrics were computed: sensitivity (recall), specificity, positive predictive value (PPV; precision), negative predictive value (NPV), F1 score, and overall accuracy. The F1 score was reported as the harmonic mean of precision and recall, providing a balanced measure for the moderately imbalanced outcome (55.3% positive prevalence).</w:t>
      </w:r>
    </w:p>
    <w:p>
      <w:pPr>
        <w:spacing w:after="120" w:before="0" w:line="276"/>
        <w:ind w:firstLine="720"/>
        <w:jc w:val="both"/>
      </w:pPr>
      <w:r>
        <w:rPr>
          <w:rFonts w:ascii="Times New Roman" w:cs="Times New Roman" w:eastAsia="Times New Roman" w:hAnsi="Times New Roman"/>
          <w:sz w:val="24"/>
          <w:szCs w:val="24"/>
        </w:rPr>
        <w:t xml:space="preserve">Confidence intervals (95%) for AUC-ROC were estimated using the non-parametric bootstrap (1,000 stratified resampling iterations; random seed = 42; percentile method). For metrics sensitive to class distribution (PPV, NPV), bootstrap CIs were similarly derived. The area under the precision–recall curve (AUC-PR) was reported as a supplementary discrimination metric, given its greater sensitivity to minority-class performance relative to AUC-ROC. Model calibration was assessed with the Brier score (lower values indicate better calibration) and graphically using calibration curves with isotonic regression smoothing.</w:t>
      </w:r>
    </w:p>
    <w:p>
      <w:pPr>
        <w:spacing w:after="120" w:before="0" w:line="276"/>
        <w:ind w:firstLine="720"/>
        <w:jc w:val="both"/>
      </w:pPr>
      <w:r>
        <w:rPr>
          <w:rFonts w:ascii="Times New Roman" w:cs="Times New Roman" w:eastAsia="Times New Roman" w:hAnsi="Times New Roman"/>
          <w:sz w:val="24"/>
          <w:szCs w:val="24"/>
        </w:rPr>
        <w:t xml:space="preserve">Pairwise comparisons of AUC-ROC values between models were performed using the DeLong test, which accounts for the correlation structure arising from the use of the same set of subjects across models. The DeLong test statistic follows an asymptotic normal distribution;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-values were adjusted for multiple comparisons using the Bonferroni correction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10 pairwise comparisons; corrected threshold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0.005). For sex-stratified models, inter-sex AUC differences (ΔAUCsex = AUCmale − AUCfemale) were quantified with bootstrap 95%CIs and tested using the permutation-based approach (1,000 permutations), treating sex as a random label.</w:t>
      </w:r>
    </w:p>
    <w:p>
      <w:pPr>
        <w:spacing w:after="120" w:before="0" w:line="276"/>
        <w:ind w:firstLine="720"/>
        <w:jc w:val="both"/>
      </w:pPr>
      <w:r>
        <w:rPr>
          <w:rFonts w:ascii="Times New Roman" w:cs="Times New Roman" w:eastAsia="Times New Roman" w:hAnsi="Times New Roman"/>
          <w:sz w:val="24"/>
          <w:szCs w:val="24"/>
        </w:rPr>
        <w:t xml:space="preserve">Net reclassification improvement (NRI) and integrated discrimination improvement (IDI) were computed to quantify the incremental value of the best-performing ML model over logistic regression as the clinical reference. Event (heart disease present) and non-event NRI components were reported separately. Clinical utility was further assessed via decision curve analysis (DCA), which quantifies net benefit as a function of decision threshold probability across a range of clinically plausible thresholds (0.10–0.90).</w:t>
      </w:r>
    </w:p>
    <w:p>
      <w:pPr>
        <w:spacing w:after="40" w:before="0"/>
      </w:pPr>
      <w:r>
        <w:t xml:space="preserve"/>
      </w:r>
    </w:p>
    <w:p>
      <w:pPr>
        <w:pBdr>
          <w:bottom w:val="single" w:color="2E75B6" w:sz="4" w:space="4"/>
        </w:pBdr>
        <w:spacing w:after="120" w:before="280"/>
        <w:ind w:firstLine="0"/>
      </w:pPr>
      <w:r>
        <w:rPr>
          <w:rFonts w:ascii="Arial" w:cs="Arial" w:eastAsia="Arial" w:hAnsi="Arial"/>
          <w:b/>
          <w:bCs/>
          <w:color w:val="2E75B6"/>
          <w:sz w:val="26"/>
          <w:szCs w:val="26"/>
        </w:rPr>
        <w:t xml:space="preserve">2.3.5. Model Interpretability — SHAP Analysis</w:t>
      </w:r>
    </w:p>
    <w:p>
      <w:pPr>
        <w:spacing w:after="20" w:before="0"/>
      </w:pPr>
      <w:r>
        <w:t xml:space="preserve"/>
      </w:r>
    </w:p>
    <w:p>
      <w:pPr>
        <w:spacing w:after="120" w:before="0" w:line="276"/>
        <w:jc w:val="both"/>
      </w:pPr>
      <w:r>
        <w:rPr>
          <w:rFonts w:ascii="Times New Roman" w:cs="Times New Roman" w:eastAsia="Times New Roman" w:hAnsi="Times New Roman"/>
          <w:sz w:val="24"/>
          <w:szCs w:val="24"/>
        </w:rPr>
        <w:t xml:space="preserve">To promote transparency and support clinical interpretability, Shapley Additive exPlanations (SHAP) were computed for the best-performing ML model identified in Section 2.3.4. SHAP values are grounded in cooperative game theory and provide theoretically well-founded, model-agnostic local explanations that satisfy the axioms of efficiency, symmetry, dummy, and additivity (Lundberg &amp; Lee, 2017, NeurIPS).</w:t>
      </w:r>
    </w:p>
    <w:p>
      <w:pPr>
        <w:spacing w:after="120" w:before="0" w:line="276"/>
        <w:ind w:firstLine="720"/>
        <w:jc w:val="both"/>
      </w:pPr>
      <w:r>
        <w:rPr>
          <w:rFonts w:ascii="Times New Roman" w:cs="Times New Roman" w:eastAsia="Times New Roman" w:hAnsi="Times New Roman"/>
          <w:sz w:val="24"/>
          <w:szCs w:val="24"/>
        </w:rPr>
        <w:t xml:space="preserve">For tree-based models (RF, GB, XGBoost), exact SHAP values were computed using the Tree SHAP algorithm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TLD</w:t>
      </w:r>
      <w:r>
        <w:rPr>
          <w:rFonts w:ascii="Times New Roman" w:cs="Times New Roman" w:eastAsia="Times New Roman" w:hAnsi="Times New Roman"/>
          <w:sz w:val="24"/>
          <w:szCs w:val="24"/>
        </w:rPr>
        <w:t xml:space="preserve">) complexity), which is substantially faster and exact relative to the model-agnostic Kernel SHAP approach (Lundberg et al., 2020, </w:t>
      </w:r>
      <w:r>
        <w:rPr>
          <w:rFonts w:ascii="Times New Roman" w:cs="Times New Roman" w:eastAsia="Times New Roman" w:hAnsi="Times New Roman"/>
          <w:i/>
          <w:iCs/>
          <w:sz w:val="24"/>
          <w:szCs w:val="24"/>
        </w:rPr>
        <w:t xml:space="preserve">Nature Machine Intelligence</w:t>
      </w:r>
      <w:r>
        <w:rPr>
          <w:rFonts w:ascii="Times New Roman" w:cs="Times New Roman" w:eastAsia="Times New Roman" w:hAnsi="Times New Roman"/>
          <w:sz w:val="24"/>
          <w:szCs w:val="24"/>
        </w:rPr>
        <w:t xml:space="preserve">). For the MLP, Gradient SHAP (expected gradients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100 background samples drawn uniformly from the training set; random seed = 42) was employed. SHAP values were computed on the full cross-validated training set to ensure that explanations reflected model behaviour on unseen data.</w:t>
      </w:r>
    </w:p>
    <w:p>
      <w:pPr>
        <w:spacing w:after="120" w:before="0" w:line="276"/>
        <w:ind w:firstLine="720"/>
        <w:jc w:val="both"/>
      </w:pPr>
      <w:r>
        <w:rPr>
          <w:rFonts w:ascii="Times New Roman" w:cs="Times New Roman" w:eastAsia="Times New Roman" w:hAnsi="Times New Roman"/>
          <w:sz w:val="24"/>
          <w:szCs w:val="24"/>
        </w:rPr>
        <w:t xml:space="preserve">Global feature importance was quantified as the mean absolute SHAP value across all observations (|SHAP|mean) for each predictor, providing a ranking of overall predictor contribution. Local explanations were visualised using beeswarm (summary) plots, which simultaneously convey feature importance (y-axis rank), effect direction (SHAP value sign), and feature value magnitude (colour scale, blue = low, red = high). SHAP dependence plots were generated for the five most influential predictors to illustrate marginal associations between predictor values and model output, with SHAP interaction values overlaid where informative.</w:t>
      </w:r>
    </w:p>
    <w:p>
      <w:pPr>
        <w:spacing w:after="120" w:before="0" w:line="276"/>
        <w:ind w:firstLine="720"/>
        <w:jc w:val="both"/>
      </w:pPr>
      <w:r>
        <w:rPr>
          <w:rFonts w:ascii="Times New Roman" w:cs="Times New Roman" w:eastAsia="Times New Roman" w:hAnsi="Times New Roman"/>
          <w:sz w:val="24"/>
          <w:szCs w:val="24"/>
        </w:rPr>
        <w:t xml:space="preserve">Sex-stratified SHAP analyses were conducted by fitting separate models on male and female subsets and computing SHAP values independently. Divergence in sex-specific global SHAP rankings was assessed using Spearman's rank correlation (ρ) between male and female |SHAP|mean vectors; ρ &lt; 0.70 was considered indicative of meaningful sex-based heterogeneity in predictor importance. Force plots were provided for representative case examples (one true positive, one false negative per sex subgroup) to illustrate individual-level prediction pathways.</w:t>
      </w:r>
    </w:p>
    <w:p>
      <w:pPr>
        <w:spacing w:after="40" w:before="0"/>
      </w:pPr>
      <w:r>
        <w:t xml:space="preserve"/>
      </w:r>
    </w:p>
    <w:p>
      <w:pPr>
        <w:pBdr>
          <w:bottom w:val="single" w:color="2E75B6" w:sz="4" w:space="4"/>
        </w:pBdr>
        <w:spacing w:after="120" w:before="280"/>
        <w:ind w:firstLine="0"/>
      </w:pPr>
      <w:r>
        <w:rPr>
          <w:rFonts w:ascii="Arial" w:cs="Arial" w:eastAsia="Arial" w:hAnsi="Arial"/>
          <w:b/>
          <w:bCs/>
          <w:color w:val="2E75B6"/>
          <w:sz w:val="26"/>
          <w:szCs w:val="26"/>
        </w:rPr>
        <w:t xml:space="preserve">2.3.6. Software and Reproducibility</w:t>
      </w:r>
    </w:p>
    <w:p>
      <w:pPr>
        <w:spacing w:after="20" w:before="0"/>
      </w:pPr>
      <w:r>
        <w:t xml:space="preserve"/>
      </w:r>
    </w:p>
    <w:p>
      <w:pPr>
        <w:spacing w:after="120" w:before="0" w:line="276"/>
        <w:jc w:val="both"/>
      </w:pPr>
      <w:r>
        <w:rPr>
          <w:rFonts w:ascii="Times New Roman" w:cs="Times New Roman" w:eastAsia="Times New Roman" w:hAnsi="Times New Roman"/>
          <w:sz w:val="24"/>
          <w:szCs w:val="24"/>
        </w:rPr>
        <w:t xml:space="preserve">All analyses were conducted in Python (version 3.12.13). Full analysis code, including data preprocessing, model training, evaluation, and figure generation, is deposited in a publicly accessible repository [URL to be provided upon acceptance] and has been containerised using Docker (image hash to be provided) to ensure computational reproducibility. All stochastic operations (model training, bootstrap resampling, cross-validation fold assignment) were seeded with a fixed integer (seed = 42). Package versions are listed in Table 1 (Software Environment).</w:t>
      </w:r>
    </w:p>
    <w:p>
      <w:pPr>
        <w:spacing w:after="80" w:before="0"/>
      </w:pPr>
      <w:r>
        <w:t xml:space="preserve"/>
      </w:r>
    </w:p>
    <w:p>
      <w:pPr>
        <w:spacing w:after="100" w:before="0"/>
        <w:ind w:firstLine="0"/>
      </w:pPr>
      <w:r>
        <w:rPr>
          <w:rFonts w:ascii="Arial" w:cs="Arial" w:eastAsia="Arial" w:hAnsi="Arial"/>
          <w:b/>
          <w:bCs/>
          <w:color w:val="1F3864"/>
          <w:sz w:val="22"/>
          <w:szCs w:val="22"/>
        </w:rPr>
        <w:t xml:space="preserve">Table S1. </w:t>
      </w:r>
      <w:r>
        <w:rPr>
          <w:rFonts w:ascii="Times New Roman" w:cs="Times New Roman" w:eastAsia="Times New Roman" w:hAnsi="Times New Roman"/>
          <w:sz w:val="22"/>
          <w:szCs w:val="22"/>
        </w:rPr>
        <w:t xml:space="preserve">Software environment used for all statistical analyses and machine learning model development.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900"/>
        <w:gridCol w:w="1500"/>
        <w:gridCol w:w="2200"/>
      </w:tblGrid>
      <w:tr>
        <w:trPr>
          <w:tblHeader/>
        </w:trPr>
        <w:tc>
          <w:tcPr>
            <w:tcW w:type="dxa" w:w="16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Package</w:t>
            </w:r>
          </w:p>
        </w:tc>
        <w:tc>
          <w:tcPr>
            <w:tcW w:type="dxa" w:w="11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Version</w:t>
            </w:r>
          </w:p>
        </w:tc>
        <w:tc>
          <w:tcPr>
            <w:tcW w:type="dxa" w:w="29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Primary Use</w:t>
            </w:r>
          </w:p>
        </w:tc>
        <w:tc>
          <w:tcPr>
            <w:tcW w:type="dxa" w:w="15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License</w:t>
            </w:r>
          </w:p>
        </w:tc>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Reference</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Python</w:t>
            </w:r>
          </w:p>
        </w:tc>
        <w:tc>
          <w:tcPr>
            <w:tcW w:type="dxa" w:w="11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3.12.13</w:t>
            </w:r>
          </w:p>
        </w:tc>
        <w:tc>
          <w:tcPr>
            <w:tcW w:type="dxa" w:w="29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Core programming language</w:t>
            </w:r>
          </w:p>
        </w:tc>
        <w:tc>
          <w:tcPr>
            <w:tcW w:type="dxa" w:w="15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PSF License</w:t>
            </w:r>
          </w:p>
        </w:tc>
        <w:tc>
          <w:tcPr>
            <w:tcW w:type="dxa" w:w="22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https://www.python.org</w:t>
            </w:r>
          </w:p>
        </w:tc>
      </w:tr>
      <w:tr>
        <w:tc>
          <w:tcPr>
            <w:tcW w:type="dxa" w:w="16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scikit-learn</w:t>
            </w:r>
          </w:p>
        </w:tc>
        <w:tc>
          <w:tcPr>
            <w:tcW w:type="dxa" w:w="11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1.6.1</w:t>
            </w:r>
          </w:p>
        </w:tc>
        <w:tc>
          <w:tcPr>
            <w:tcW w:type="dxa" w:w="29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LR, RF, GB, MLP, preprocessing, CV</w:t>
            </w:r>
          </w:p>
        </w:tc>
        <w:tc>
          <w:tcPr>
            <w:tcW w:type="dxa" w:w="15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BSD-3-Clause</w:t>
            </w:r>
          </w:p>
        </w:tc>
        <w:tc>
          <w:tcPr>
            <w:tcW w:type="dxa" w:w="22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https://scikit-learn.org</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XGBoost</w:t>
            </w:r>
          </w:p>
        </w:tc>
        <w:tc>
          <w:tcPr>
            <w:tcW w:type="dxa" w:w="11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3.2.0</w:t>
            </w:r>
          </w:p>
        </w:tc>
        <w:tc>
          <w:tcPr>
            <w:tcW w:type="dxa" w:w="29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Extreme Gradient Boosting classifier</w:t>
            </w:r>
          </w:p>
        </w:tc>
        <w:tc>
          <w:tcPr>
            <w:tcW w:type="dxa" w:w="15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Apache 2.0</w:t>
            </w:r>
          </w:p>
        </w:tc>
        <w:tc>
          <w:tcPr>
            <w:tcW w:type="dxa" w:w="22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https://xgboost.readthedocs.io</w:t>
            </w:r>
          </w:p>
        </w:tc>
      </w:tr>
      <w:tr>
        <w:tc>
          <w:tcPr>
            <w:tcW w:type="dxa" w:w="16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PyTorch</w:t>
            </w:r>
          </w:p>
        </w:tc>
        <w:tc>
          <w:tcPr>
            <w:tcW w:type="dxa" w:w="11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2.10.0</w:t>
            </w:r>
          </w:p>
        </w:tc>
        <w:tc>
          <w:tcPr>
            <w:tcW w:type="dxa" w:w="29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Deep learning / neural network backend</w:t>
            </w:r>
          </w:p>
        </w:tc>
        <w:tc>
          <w:tcPr>
            <w:tcW w:type="dxa" w:w="15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BSD-3-Clause</w:t>
            </w:r>
          </w:p>
        </w:tc>
        <w:tc>
          <w:tcPr>
            <w:tcW w:type="dxa" w:w="22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https://pytorch.org</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SHAP</w:t>
            </w:r>
          </w:p>
        </w:tc>
        <w:tc>
          <w:tcPr>
            <w:tcW w:type="dxa" w:w="11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0.51.0</w:t>
            </w:r>
          </w:p>
        </w:tc>
        <w:tc>
          <w:tcPr>
            <w:tcW w:type="dxa" w:w="29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Shapley-value model interpretability</w:t>
            </w:r>
          </w:p>
        </w:tc>
        <w:tc>
          <w:tcPr>
            <w:tcW w:type="dxa" w:w="15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MIT</w:t>
            </w:r>
          </w:p>
        </w:tc>
        <w:tc>
          <w:tcPr>
            <w:tcW w:type="dxa" w:w="22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https://shap.readthedocs.io</w:t>
            </w:r>
          </w:p>
        </w:tc>
      </w:tr>
      <w:tr>
        <w:tc>
          <w:tcPr>
            <w:tcW w:type="dxa" w:w="16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statsmodels</w:t>
            </w:r>
          </w:p>
        </w:tc>
        <w:tc>
          <w:tcPr>
            <w:tcW w:type="dxa" w:w="11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0.14.6</w:t>
            </w:r>
          </w:p>
        </w:tc>
        <w:tc>
          <w:tcPr>
            <w:tcW w:type="dxa" w:w="29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HL goodness-of-fit, Wald tests</w:t>
            </w:r>
          </w:p>
        </w:tc>
        <w:tc>
          <w:tcPr>
            <w:tcW w:type="dxa" w:w="15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BSD-3-Clause</w:t>
            </w:r>
          </w:p>
        </w:tc>
        <w:tc>
          <w:tcPr>
            <w:tcW w:type="dxa" w:w="22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https://www.statsmodels.org</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lifelines</w:t>
            </w:r>
          </w:p>
        </w:tc>
        <w:tc>
          <w:tcPr>
            <w:tcW w:type="dxa" w:w="11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0.30.3</w:t>
            </w:r>
          </w:p>
        </w:tc>
        <w:tc>
          <w:tcPr>
            <w:tcW w:type="dxa" w:w="29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Survival analysis utilities</w:t>
            </w:r>
          </w:p>
        </w:tc>
        <w:tc>
          <w:tcPr>
            <w:tcW w:type="dxa" w:w="15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MIT</w:t>
            </w:r>
          </w:p>
        </w:tc>
        <w:tc>
          <w:tcPr>
            <w:tcW w:type="dxa" w:w="22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https://lifelines.readthedocs.io</w:t>
            </w:r>
          </w:p>
        </w:tc>
      </w:tr>
      <w:tr>
        <w:tc>
          <w:tcPr>
            <w:tcW w:type="dxa" w:w="16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pandas</w:t>
            </w:r>
          </w:p>
        </w:tc>
        <w:tc>
          <w:tcPr>
            <w:tcW w:type="dxa" w:w="11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≥2.0</w:t>
            </w:r>
          </w:p>
        </w:tc>
        <w:tc>
          <w:tcPr>
            <w:tcW w:type="dxa" w:w="29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Data wrangling and manipulation</w:t>
            </w:r>
          </w:p>
        </w:tc>
        <w:tc>
          <w:tcPr>
            <w:tcW w:type="dxa" w:w="15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BSD-3-Clause</w:t>
            </w:r>
          </w:p>
        </w:tc>
        <w:tc>
          <w:tcPr>
            <w:tcW w:type="dxa" w:w="22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https://pandas.pydata.org</w:t>
            </w:r>
          </w:p>
        </w:tc>
      </w:tr>
      <w:tr>
        <w:tc>
          <w:tcPr>
            <w:tcW w:type="dxa" w:w="16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NumPy</w:t>
            </w:r>
          </w:p>
        </w:tc>
        <w:tc>
          <w:tcPr>
            <w:tcW w:type="dxa" w:w="11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≥1.26</w:t>
            </w:r>
          </w:p>
        </w:tc>
        <w:tc>
          <w:tcPr>
            <w:tcW w:type="dxa" w:w="29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Numerical computation</w:t>
            </w:r>
          </w:p>
        </w:tc>
        <w:tc>
          <w:tcPr>
            <w:tcW w:type="dxa" w:w="15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BSD-3-Clause</w:t>
            </w:r>
          </w:p>
        </w:tc>
        <w:tc>
          <w:tcPr>
            <w:tcW w:type="dxa" w:w="2200"/>
            <w:tcBorders>
              <w:top w:val="single" w:color="BDD7EE" w:sz="4"/>
              <w:left w:val="single" w:color="BDD7EE" w:sz="4"/>
              <w:bottom w:val="single" w:color="BDD7EE" w:sz="4"/>
              <w:right w:val="single" w:color="BDD7EE" w:sz="4"/>
            </w:tcBorders>
            <w:shd w:fill="FFFFFF"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https://numpy.org</w:t>
            </w:r>
          </w:p>
        </w:tc>
      </w:tr>
      <w:tr>
        <w:tc>
          <w:tcPr>
            <w:tcW w:type="dxa" w:w="16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matplotlib</w:t>
            </w:r>
          </w:p>
        </w:tc>
        <w:tc>
          <w:tcPr>
            <w:tcW w:type="dxa" w:w="11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≥3.8</w:t>
            </w:r>
          </w:p>
        </w:tc>
        <w:tc>
          <w:tcPr>
            <w:tcW w:type="dxa" w:w="29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Publication-ready figures (300 DPI)</w:t>
            </w:r>
          </w:p>
        </w:tc>
        <w:tc>
          <w:tcPr>
            <w:tcW w:type="dxa" w:w="15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PSF-based</w:t>
            </w:r>
          </w:p>
        </w:tc>
        <w:tc>
          <w:tcPr>
            <w:tcW w:type="dxa" w:w="2200"/>
            <w:tcBorders>
              <w:top w:val="single" w:color="BDD7EE" w:sz="4"/>
              <w:left w:val="single" w:color="BDD7EE" w:sz="4"/>
              <w:bottom w:val="single" w:color="BDD7EE" w:sz="4"/>
              <w:right w:val="single" w:color="BDD7EE" w:sz="4"/>
            </w:tcBorders>
            <w:shd w:fill="F5F7FA" w:val="clear"/>
            <w:tcMar>
              <w:top w:type="dxa" w:w="70"/>
              <w:left w:type="dxa" w:w="140"/>
              <w:bottom w:type="dxa" w:w="70"/>
              <w:right w:type="dxa" w:w="140"/>
            </w:tcMar>
          </w:tcPr>
          <w:p>
            <w:pPr>
              <w:spacing w:after="0" w:before="0"/>
              <w:jc w:val="left"/>
            </w:pPr>
            <w:r>
              <w:rPr>
                <w:rFonts w:ascii="Times New Roman" w:cs="Times New Roman" w:eastAsia="Times New Roman" w:hAnsi="Times New Roman"/>
                <w:sz w:val="20"/>
                <w:szCs w:val="20"/>
              </w:rPr>
              <w:t xml:space="preserve">https://matplotlib.org</w:t>
            </w:r>
          </w:p>
        </w:tc>
      </w:tr>
    </w:tbl>
    <w:p>
      <w:pPr>
        <w:spacing w:after="40" w:before="0"/>
      </w:pPr>
      <w:r>
        <w:t xml:space="preserve"/>
      </w:r>
    </w:p>
    <w:p>
      <w:pPr>
        <w:spacing w:after="60" w:before="0"/>
        <w:ind w:firstLine="0"/>
      </w:pPr>
      <w:r>
        <w:rPr>
          <w:rFonts w:ascii="Times New Roman" w:cs="Times New Roman" w:eastAsia="Times New Roman" w:hAnsi="Times New Roman"/>
          <w:b/>
          <w:bCs/>
          <w:sz w:val="20"/>
          <w:szCs w:val="20"/>
        </w:rPr>
        <w:t xml:space="preserve">Abbreviations: </w:t>
      </w:r>
      <w:r>
        <w:rPr>
          <w:rFonts w:ascii="Times New Roman" w:cs="Times New Roman" w:eastAsia="Times New Roman" w:hAnsi="Times New Roman"/>
          <w:i/>
          <w:iCs/>
          <w:sz w:val="20"/>
          <w:szCs w:val="20"/>
        </w:rPr>
        <w:t xml:space="preserve">LR, logistic regression; RF, random forest; GB, gradient boosting; XGB, XGBoost; MLP, multilayer perceptron; SHAP, SHapley Additive exPlanations; CV, cross-validation; DPI, dots per inch; PSF, Python Software Foundation.</w:t>
      </w:r>
    </w:p>
    <w:p>
      <w:pPr>
        <w:spacing w:after="160" w:before="0"/>
        <w:ind w:firstLine="0"/>
      </w:pPr>
      <w:r>
        <w:rPr>
          <w:rFonts w:ascii="Times New Roman" w:cs="Times New Roman" w:eastAsia="Times New Roman" w:hAnsi="Times New Roman"/>
          <w:sz w:val="20"/>
          <w:szCs w:val="20"/>
        </w:rPr>
        <w:t xml:space="preserve">* Version numbers reflect the exact runtime environment. Reproducibility is ensured via the provided </w:t>
      </w:r>
      <w:r>
        <w:rPr>
          <w:rFonts w:ascii="Courier New" w:cs="Courier New" w:eastAsia="Courier New" w:hAnsi="Courier New"/>
          <w:sz w:val="20"/>
          <w:szCs w:val="20"/>
        </w:rPr>
        <w:t xml:space="preserve">requirements.txt</w:t>
      </w:r>
      <w:r>
        <w:rPr>
          <w:rFonts w:ascii="Times New Roman" w:cs="Times New Roman" w:eastAsia="Times New Roman" w:hAnsi="Times New Roman"/>
          <w:sz w:val="20"/>
          <w:szCs w:val="20"/>
        </w:rPr>
        <w:t xml:space="preserve"> and Docker container.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Methods — Heart Disease Prediction Study</dc:title>
  <dc:creator>Statistical Analysis System</dc:creator>
  <dc:description>SCIE-ready Statistical Methods section (Section 2.3)</dc:description>
  <cp:lastModifiedBy>Un-named</cp:lastModifiedBy>
  <cp:revision>1</cp:revision>
  <dcterms:created xsi:type="dcterms:W3CDTF">2026-05-06T22:46:26.477Z</dcterms:created>
  <dcterms:modified xsi:type="dcterms:W3CDTF">2026-05-06T22:46:26.478Z</dcterms:modified>
</cp:coreProperties>
</file>

<file path=docProps/custom.xml><?xml version="1.0" encoding="utf-8"?>
<Properties xmlns="http://schemas.openxmlformats.org/officeDocument/2006/custom-properties" xmlns:vt="http://schemas.openxmlformats.org/officeDocument/2006/docPropsVTypes"/>
</file>