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7" w:name="content"/>
    <w:bookmarkStart w:id="56" w:name="국민건강영양조사-기반-한국인-기능성분-섭취평가-연구과제-계획서"/>
    <w:p>
      <w:pPr>
        <w:pStyle w:val="Heading1"/>
      </w:pPr>
      <w:r>
        <w:t xml:space="preserve">국민건강영양조사 기반 한국인 기능성분 섭취평가 연구과제 계획서</w:t>
      </w:r>
    </w:p>
    <w:bookmarkStart w:id="24" w:name="연구과제-개요"/>
    <w:p>
      <w:pPr>
        <w:pStyle w:val="Heading2"/>
      </w:pPr>
      <w:r>
        <w:t xml:space="preserve">연구과제 개요</w:t>
      </w:r>
    </w:p>
    <w:p>
      <w:pPr>
        <w:pStyle w:val="FirstParagraph"/>
      </w:pPr>
      <w:r>
        <w:t xml:space="preserve">본 과제는 국민건강영양조사의 영양부문 24시간 회상자료를 기반으로 한국인의 기능성분, 특히 플라보노이드 섭취를 국가대표성 있게 산출할 수 있는 통합 데이터베이스와 분석체계를 구축하고, 성·연령·사회경제적 수준별 섭취 격차, 주요 급원식품, 만성질환과의 연관성을 체계적으로 평가하기 위한 3개년 연구이다. 국민건강영양조사는 매년 192개 조사구, 약 4,800가구, 1세 이상 약 1만 명을 대상으로 수행되는 국가 대표 건강·영양조사이며, 2024년 원시자료까지 공개되어 최신 주기 자료를 반영한 분석이 가능하다.</w:t>
      </w:r>
      <w:r>
        <w:t xml:space="preserve"> </w:t>
      </w:r>
      <w:hyperlink r:id="rId21">
        <w:r>
          <w:rPr>
            <w:rStyle w:val="Hyperlink"/>
          </w:rPr>
          <w:t xml:space="preserve">[1]</w:t>
        </w:r>
      </w:hyperlink>
    </w:p>
    <w:p>
      <w:pPr>
        <w:pStyle w:val="BodyText"/>
      </w:pPr>
      <w:r>
        <w:rPr>
          <w:b/>
          <w:bCs/>
        </w:rPr>
        <w:t xml:space="preserve">연구과제명(국문)</w:t>
      </w:r>
      <w:r>
        <w:br/>
      </w:r>
      <w:r>
        <w:t xml:space="preserve">국민건강영양조사 기반 한국인의 플라보노이드 등 기능성분 섭취평가 및 건강연관성 분석 체계 구축</w:t>
      </w:r>
    </w:p>
    <w:p>
      <w:pPr>
        <w:pStyle w:val="BodyText"/>
      </w:pPr>
      <w:r>
        <w:rPr>
          <w:b/>
          <w:bCs/>
        </w:rPr>
        <w:t xml:space="preserve">연구과제명(영문)</w:t>
      </w:r>
      <w:r>
        <w:br/>
      </w:r>
      <w:r>
        <w:t xml:space="preserve">Development of a KNHANES-based System for Assessing Dietary Intake of Flavonoids and Other Bioactive Compounds in Koreans and Their Associations With Health Outcomes</w:t>
      </w:r>
    </w:p>
    <w:p>
      <w:pPr>
        <w:pStyle w:val="BodyText"/>
      </w:pPr>
      <w:r>
        <w:t xml:space="preserve">[표 1] 과제 기본 구상</w:t>
      </w:r>
      <w:r>
        <w:br/>
      </w:r>
      <w:r>
        <w:t xml:space="preserve">캡션: 3개년 연구의 기본 범위와 핵심 산출물</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내용</w:t>
            </w:r>
          </w:p>
        </w:tc>
      </w:tr>
      <w:tr>
        <w:tc>
          <w:tcPr/>
          <w:p>
            <w:pPr>
              <w:pStyle w:val="Compact"/>
            </w:pPr>
            <w:r>
              <w:t xml:space="preserve">연구기간</w:t>
            </w:r>
          </w:p>
        </w:tc>
        <w:tc>
          <w:tcPr/>
          <w:p>
            <w:pPr>
              <w:pStyle w:val="Compact"/>
            </w:pPr>
            <w:r>
              <w:t xml:space="preserve">3년</w:t>
            </w:r>
          </w:p>
        </w:tc>
      </w:tr>
      <w:tr>
        <w:tc>
          <w:tcPr/>
          <w:p>
            <w:pPr>
              <w:pStyle w:val="Compact"/>
            </w:pPr>
            <w:r>
              <w:t xml:space="preserve">주 분석자료</w:t>
            </w:r>
          </w:p>
        </w:tc>
        <w:tc>
          <w:tcPr/>
          <w:p>
            <w:pPr>
              <w:pStyle w:val="Compact"/>
            </w:pPr>
            <w:r>
              <w:t xml:space="preserve">국민건강영양조사 제9기 1</w:t>
            </w:r>
            <w:r>
              <w:rPr>
                <w:vertAlign w:val="subscript"/>
              </w:rPr>
              <w:t xml:space="preserve">3차년도(2022</w:t>
            </w:r>
            <w:r>
              <w:t xml:space="preserve">2024) 영양부문 24시간 회상자료 및 건강설문·검진 연계자료</w:t>
            </w:r>
          </w:p>
        </w:tc>
      </w:tr>
      <w:tr>
        <w:tc>
          <w:tcPr/>
          <w:p>
            <w:pPr>
              <w:pStyle w:val="Compact"/>
            </w:pPr>
            <w:r>
              <w:t xml:space="preserve">우선 대상 기능성분</w:t>
            </w:r>
          </w:p>
        </w:tc>
        <w:tc>
          <w:tcPr/>
          <w:p>
            <w:pPr>
              <w:pStyle w:val="Compact"/>
            </w:pPr>
            <w:r>
              <w:t xml:space="preserve">총 플라보노이드 및 6개 서브클래스(플라보놀, 플라본, 플라바논, 플라반-3-올, 안토시아니딘, 이소플라본)</w:t>
            </w:r>
          </w:p>
        </w:tc>
      </w:tr>
      <w:tr>
        <w:tc>
          <w:tcPr/>
          <w:p>
            <w:pPr>
              <w:pStyle w:val="Compact"/>
            </w:pPr>
            <w:r>
              <w:t xml:space="preserve">핵심 산출물</w:t>
            </w:r>
          </w:p>
        </w:tc>
        <w:tc>
          <w:tcPr/>
          <w:p>
            <w:pPr>
              <w:pStyle w:val="Compact"/>
            </w:pPr>
            <w:r>
              <w:t xml:space="preserve">기능성분 DB v1.0, 매칭·대체값 알고리즘 매뉴얼, 한국인 섭취량 통계집, 주요 급원식품 목록, 질환 연관성 분석 논문, 정책 브리프</w:t>
            </w:r>
          </w:p>
        </w:tc>
      </w:tr>
      <w:tr>
        <w:tc>
          <w:tcPr/>
          <w:p>
            <w:pPr>
              <w:pStyle w:val="Compact"/>
            </w:pPr>
            <w:r>
              <w:t xml:space="preserve">확장 가능성</w:t>
            </w:r>
          </w:p>
        </w:tc>
        <w:tc>
          <w:tcPr/>
          <w:p>
            <w:pPr>
              <w:pStyle w:val="Compact"/>
            </w:pPr>
            <w:r>
              <w:t xml:space="preserve">KNHANES-F 추적조사, 국가표준식품성분 DB 개정 근거, 식생활지침 및 건강기능식품 개발 자료</w:t>
            </w:r>
          </w:p>
        </w:tc>
      </w:tr>
    </w:tbl>
    <w:p>
      <w:pPr>
        <w:pStyle w:val="BodyText"/>
      </w:pPr>
      <w:r>
        <w:t xml:space="preserve">주: 분석연도와 공개현황은 질병관리청</w:t>
      </w:r>
      <w:hyperlink r:id="rId22">
        <w:r>
          <w:rPr>
            <w:rStyle w:val="Hyperlink"/>
          </w:rPr>
          <w:t xml:space="preserve">[2]</w:t>
        </w:r>
      </w:hyperlink>
      <w:r>
        <w:t xml:space="preserve">의 국민건강영양조사 및 원시자료 공개 현황을 반영하였다.</w:t>
      </w:r>
      <w:r>
        <w:t xml:space="preserve"> </w:t>
      </w:r>
      <w:hyperlink r:id="rId23">
        <w:r>
          <w:rPr>
            <w:rStyle w:val="Hyperlink"/>
          </w:rPr>
          <w:t xml:space="preserve">[3]</w:t>
        </w:r>
      </w:hyperlink>
    </w:p>
    <w:bookmarkEnd w:id="24"/>
    <w:bookmarkStart w:id="34" w:name="필요성-및-배경"/>
    <w:p>
      <w:pPr>
        <w:pStyle w:val="Heading2"/>
      </w:pPr>
      <w:r>
        <w:t xml:space="preserve">필요성 및 배경</w:t>
      </w:r>
    </w:p>
    <w:p>
      <w:pPr>
        <w:pStyle w:val="FirstParagraph"/>
      </w:pPr>
      <w:r>
        <w:t xml:space="preserve">국민건강영양조사는 우리 국민의 건강행태, 만성질환 유병, 영양섭취 수준을 파악하기 위한 법정조사로서, 국가 건강정책 수립과 평가의 핵심 자료원이다. 2023년 결과 발표 자료와 공식 개요에 따르면 이 조사는 건강행태와 만성질환, 영양섭취를 통합적으로 다루며, 영양영역에는 음식 및 식품섭취 자료가 포함된다. 또한 한국보건산업진흥원</w:t>
      </w:r>
      <w:hyperlink r:id="rId25">
        <w:r>
          <w:rPr>
            <w:rStyle w:val="Hyperlink"/>
          </w:rPr>
          <w:t xml:space="preserve">[4]</w:t>
        </w:r>
      </w:hyperlink>
      <w:r>
        <w:t xml:space="preserve">이 제공하는 국민영양통계는 2023년 24시간 회상 응답자 6,786명을 기준으로 세부 식품·영양 통계를 생산하고 있으며, 복합표본설계에 따라</w:t>
      </w:r>
      <w:r>
        <w:t xml:space="preserve"> </w:t>
      </w:r>
      <w:r>
        <w:rPr>
          <w:rStyle w:val="VerbatimChar"/>
        </w:rPr>
        <w:t xml:space="preserve">wt_ntr</w:t>
      </w:r>
      <w:r>
        <w:t xml:space="preserve">,</w:t>
      </w:r>
      <w:r>
        <w:t xml:space="preserve"> </w:t>
      </w:r>
      <w:r>
        <w:rPr>
          <w:rStyle w:val="VerbatimChar"/>
        </w:rPr>
        <w:t xml:space="preserve">kstrata</w:t>
      </w:r>
      <w:r>
        <w:t xml:space="preserve">,</w:t>
      </w:r>
      <w:r>
        <w:t xml:space="preserve"> </w:t>
      </w:r>
      <w:r>
        <w:rPr>
          <w:rStyle w:val="VerbatimChar"/>
        </w:rPr>
        <w:t xml:space="preserve">psu</w:t>
      </w:r>
      <w:r>
        <w:t xml:space="preserve">를 적용하여 분석하고 있음을 명시한다. 이는 기능성분 섭취량 산출 역시 동일한 복합표본 체계를 따라야 함을 의미한다.</w:t>
      </w:r>
      <w:r>
        <w:t xml:space="preserve"> </w:t>
      </w:r>
      <w:hyperlink r:id="rId26">
        <w:r>
          <w:rPr>
            <w:rStyle w:val="Hyperlink"/>
          </w:rPr>
          <w:t xml:space="preserve">[5]</w:t>
        </w:r>
      </w:hyperlink>
    </w:p>
    <w:p>
      <w:pPr>
        <w:pStyle w:val="BodyText"/>
      </w:pPr>
      <w:r>
        <w:t xml:space="preserve">국외에서는 기능성분 섭취평가를 위한 식품성분 DB가 비교적 정교하게 구축되어 왔다. U.S. Department of Agriculture</w:t>
      </w:r>
      <w:hyperlink r:id="rId27">
        <w:r>
          <w:rPr>
            <w:rStyle w:val="Hyperlink"/>
          </w:rPr>
          <w:t xml:space="preserve">[6]</w:t>
        </w:r>
      </w:hyperlink>
      <w:r>
        <w:t xml:space="preserve">의 Flavonoid Content DB Release 3.3은 506개 식품과 26개 주된 식이 플라보노이드를 제공하고, 별도의 Isoflavone DB Release 2.0은 557개 식품의 다이드제인·제니스테인·글리시테인과 총 이소플라본 값을 제공한다. 더 나아가 USDA의 Expanded Flavonoid Database(FDB-EXP) 1.1은 2,926개 재료에 대해 29개 플라보노이드 값을 구축하였고, 이를 NHANES용 식품코드 DB에 적용하여 2017–2018년 7,083개 survey food code의 플라보노이드 값을 산출하였다. 이는 “전국조사용 식품코드 DB–기능성분–섭취량”을 일관되게 잇는 대표적 사례다.</w:t>
      </w:r>
      <w:r>
        <w:t xml:space="preserve"> </w:t>
      </w:r>
      <w:hyperlink r:id="rId28">
        <w:r>
          <w:rPr>
            <w:rStyle w:val="Hyperlink"/>
          </w:rPr>
          <w:t xml:space="preserve">[7]</w:t>
        </w:r>
      </w:hyperlink>
    </w:p>
    <w:p>
      <w:pPr>
        <w:pStyle w:val="BodyText"/>
      </w:pPr>
      <w:r>
        <w:t xml:space="preserve">폴리페놀 영역에서는 Phenol-Explorer가 37,000건이 넘는 원자료를 638편 논문에서 수집하여 502개 폴리페놀, 452개 식품의 대표값으로 정리하였고, Phenol-Explorer 3.0은 129편 문헌에서 수집한 가공 전후 retention factor를 추가하여 조리·가공 후 노출평가를 가능하게 했다. 또한 EuroFIR</w:t>
      </w:r>
      <w:hyperlink r:id="rId29">
        <w:r>
          <w:rPr>
            <w:rStyle w:val="Hyperlink"/>
          </w:rPr>
          <w:t xml:space="preserve">[8]</w:t>
        </w:r>
      </w:hyperlink>
      <w:r>
        <w:t xml:space="preserve">의 eBASIS는 현재 300종이 넘는 유럽 식물성 식품과 17개 화합물 군에 대한 조성·생리효과 정보를 제공하며, 2017년 논문 기준으로는 267개 식품, 794개 생리활성 화합물, 1,147편의 질 평가 문헌을 포함한다. 국제적으로는 단순 “식품별 평균값”을 넘어, 화합물 형태, 가공보정, 문헌추적성, 품질평가가 포함된 DB 체계가 표준이 되고 있다.</w:t>
      </w:r>
      <w:r>
        <w:t xml:space="preserve"> </w:t>
      </w:r>
      <w:hyperlink r:id="rId30">
        <w:r>
          <w:rPr>
            <w:rStyle w:val="Hyperlink"/>
          </w:rPr>
          <w:t xml:space="preserve">[9]</w:t>
        </w:r>
      </w:hyperlink>
    </w:p>
    <w:p>
      <w:pPr>
        <w:pStyle w:val="BodyText"/>
      </w:pPr>
      <w:r>
        <w:t xml:space="preserve">반면 국내에는 농촌진흥청</w:t>
      </w:r>
      <w:hyperlink r:id="rId31">
        <w:r>
          <w:rPr>
            <w:rStyle w:val="Hyperlink"/>
          </w:rPr>
          <w:t xml:space="preserve">[10]</w:t>
        </w:r>
      </w:hyperlink>
      <w:r>
        <w:t xml:space="preserve">과 국립농업과학원</w:t>
      </w:r>
      <w:hyperlink r:id="rId32">
        <w:r>
          <w:rPr>
            <w:rStyle w:val="Hyperlink"/>
          </w:rPr>
          <w:t xml:space="preserve">[11]</w:t>
        </w:r>
      </w:hyperlink>
      <w:r>
        <w:t xml:space="preserve">이 구축한 국가표준식품성분 DB 10.x, 농식품올바로의 플라보노이드 DB와 기능성분 DB가 존재하지만, 현재 공개체계는 여전히 영양성분 중심의 국가표준 DB와 별도의 기능성분 자료가 병존하는 형태에 가깝다. 2022년 공개된 국가표준식품성분 DB 10.0은 1,228종 식품과 42종 성분을 책자에 수록하고, 다부처 통합영양 정보 DB 및 국민건강통계 작성에 활용되고 있으나, 국민건강영양조사 24시간 회상자료와 직접 연결되는 전국민용 bioactive exposure DB는 충분히 제도화되어 있지 않다. 농식품올바로에는 플라보노이드 DB, 페놀산 DB 등 기능성분 자료가 별도 자원으로 제시되어 있어, 이제 필요한 것은 “분산된 자산의 통합·표준화·섭취평가 연결”이다.</w:t>
      </w:r>
      <w:r>
        <w:t xml:space="preserve"> </w:t>
      </w:r>
      <w:hyperlink r:id="rId32">
        <w:r>
          <w:rPr>
            <w:rStyle w:val="Hyperlink"/>
          </w:rPr>
          <w:t xml:space="preserve">[12]</w:t>
        </w:r>
      </w:hyperlink>
    </w:p>
    <w:p>
      <w:pPr>
        <w:pStyle w:val="BodyText"/>
      </w:pPr>
      <w:r>
        <w:t xml:space="preserve">국내 선행연구는 중요한 출발점을 제공했지만, 최신성·대표성·호환성 측면에서 여전히 공백이 있다. 2012년 한국인 상용식품 플라보노이드 DB는 KNHANES 2008의 식물성 식품 1,549개에 대해 85.0%의 coverage를 보고했으며, 2015~2016년 한국 성인 연구들은 2010–2012년 자료를 이용하여 총 플라보노이드 섭취량과 주요 급원식품을 제시했다. 그러나 최근 자료에 대한 전국민 갱신 분석은 제한적이며, 2022년 연구도 이소플라본에 초점을 두어 2016–2018년 KNHANES 자료의 usual intake를 산출한 수준이다. 2024년 KoGES용 항산화 DB 확장 연구는 48개 항산화성분과 총항산화능을 추가했지만 FFQ 기반이며, 플라보노이드 coverage가 60.6%로 보고되어 여전히 완결성의 과제가 남아 있음을 보여준다. 더욱이 미국에서는 차가 total flavonoid intake의 75%를 차지하는 반면, 한국의 기존 연구에서는 김치·녹차·감·대두 또는 사과·감귤·두부·양파·포도 등이 주요 급원으로 나타나 DB 범위와 화합물 포함범위에 따라 결과가 달라졌다. 이 자체가 한국형 표준 매칭 규칙과 문서화된 DB가 필요하다는 증거다.</w:t>
      </w:r>
      <w:r>
        <w:t xml:space="preserve"> </w:t>
      </w:r>
      <w:hyperlink r:id="rId33">
        <w:r>
          <w:rPr>
            <w:rStyle w:val="Hyperlink"/>
          </w:rPr>
          <w:t xml:space="preserve">[13]</w:t>
        </w:r>
      </w:hyperlink>
    </w:p>
    <w:p>
      <w:pPr>
        <w:pStyle w:val="BodyText"/>
      </w:pPr>
      <w:r>
        <w:t xml:space="preserve">본 연구의 차별성은 네 가지다. 첫째, 2022~2024년 최신 KNHANES를 기본 분석 주기로 삼아 시의성을 확보한다. 둘째, aglycone equivalent 원칙과 가공 retention factor를 포함하여 국제 DB와 비교 가능한 구조를 설계한다. 셋째, exact match–recipe decomposition–processing adjustment–logical zero까지 포함한 표준화 매칭·대체값 알고리즘과 근거 문서를 공개형으로 남긴다. 넷째, 현행 횡단자료의 한계를 인정하되, 2025년 도입된 KNHANES-F 추적조사 체계와 장래 연계를 염두에 두고 확장 가능한 DB 구조를 개발한다. 이러한 체계는 향후 보건복지부</w:t>
      </w:r>
      <w:hyperlink r:id="rId32">
        <w:r>
          <w:rPr>
            <w:rStyle w:val="Hyperlink"/>
          </w:rPr>
          <w:t xml:space="preserve">[14]</w:t>
        </w:r>
      </w:hyperlink>
      <w:r>
        <w:t xml:space="preserve">의 영양정책 근거자료와 한국인을 위한 식생활지침 개정, 나아가 기능성식품 원료·식품산업 R&amp;D에도 활용될 수 있다. 이 중 정책 연계 부분은 현행 KDRIs가 직접적으로 비영양성 기능성분 기준을 제시하지는 않더라도, 국가 식품영양정책과 KNHANES 분석의 근거 체계가 점차 확장될 수 있다는 점에 근거한 연구팀의 정책 활용 시나리오이다.</w:t>
      </w:r>
      <w:r>
        <w:t xml:space="preserve"> </w:t>
      </w:r>
      <w:hyperlink r:id="rId23">
        <w:r>
          <w:rPr>
            <w:rStyle w:val="Hyperlink"/>
          </w:rPr>
          <w:t xml:space="preserve">[15]</w:t>
        </w:r>
      </w:hyperlink>
    </w:p>
    <w:p>
      <w:pPr>
        <w:pStyle w:val="BodyText"/>
      </w:pPr>
      <w:r>
        <w:t xml:space="preserve">[표 2] 국내외 기능성분 DB 구축 현황과 본 연구의 포지셔닝</w:t>
      </w:r>
      <w:r>
        <w:br/>
      </w:r>
      <w:r>
        <w:t xml:space="preserve">캡션: 국제 DB는 문헌추적성과 가공보정이 강점이고, 국내 공공 DB는 한국 식품 대표성과 분석기반이 강점이다. 본 연구는 이 둘을 KNHANES 섭취평가로 연결하는 통합 플랫폼을 지향한다.</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구분</w:t>
            </w:r>
          </w:p>
        </w:tc>
        <w:tc>
          <w:tcPr/>
          <w:p>
            <w:pPr>
              <w:pStyle w:val="Compact"/>
            </w:pPr>
            <w:r>
              <w:t xml:space="preserve">대표 DB</w:t>
            </w:r>
          </w:p>
        </w:tc>
        <w:tc>
          <w:tcPr/>
          <w:p>
            <w:pPr>
              <w:pStyle w:val="Compact"/>
            </w:pPr>
            <w:r>
              <w:t xml:space="preserve">범위</w:t>
            </w:r>
          </w:p>
        </w:tc>
        <w:tc>
          <w:tcPr/>
          <w:p>
            <w:pPr>
              <w:pStyle w:val="Compact"/>
            </w:pPr>
            <w:r>
              <w:t xml:space="preserve">강점</w:t>
            </w:r>
          </w:p>
        </w:tc>
        <w:tc>
          <w:tcPr/>
          <w:p>
            <w:pPr>
              <w:pStyle w:val="Compact"/>
            </w:pPr>
            <w:r>
              <w:t xml:space="preserve">국내 적용 시 한계</w:t>
            </w:r>
          </w:p>
        </w:tc>
      </w:tr>
      <w:tr>
        <w:tc>
          <w:tcPr/>
          <w:p>
            <w:pPr>
              <w:pStyle w:val="Compact"/>
            </w:pPr>
            <w:r>
              <w:t xml:space="preserve">국제</w:t>
            </w:r>
          </w:p>
        </w:tc>
        <w:tc>
          <w:tcPr/>
          <w:p>
            <w:pPr>
              <w:pStyle w:val="Compact"/>
            </w:pPr>
            <w:r>
              <w:t xml:space="preserve">USDA Flavonoid 3.3 / Isoflavone 2.0 / FDB-EXP</w:t>
            </w:r>
          </w:p>
        </w:tc>
        <w:tc>
          <w:tcPr/>
          <w:p>
            <w:pPr>
              <w:pStyle w:val="Compact"/>
            </w:pPr>
            <w:r>
              <w:t xml:space="preserve">식품·재료·survey food code 수준</w:t>
            </w:r>
          </w:p>
        </w:tc>
        <w:tc>
          <w:tcPr/>
          <w:p>
            <w:pPr>
              <w:pStyle w:val="Compact"/>
            </w:pPr>
            <w:r>
              <w:t xml:space="preserve">NHANES 연동, 세부 화합물, 전국조사용 코드체계</w:t>
            </w:r>
          </w:p>
        </w:tc>
        <w:tc>
          <w:tcPr/>
          <w:p>
            <w:pPr>
              <w:pStyle w:val="Compact"/>
            </w:pPr>
            <w:r>
              <w:t xml:space="preserve">한국 음식·조리법 반영 한계</w:t>
            </w:r>
          </w:p>
        </w:tc>
      </w:tr>
      <w:tr>
        <w:tc>
          <w:tcPr/>
          <w:p>
            <w:pPr>
              <w:pStyle w:val="Compact"/>
            </w:pPr>
            <w:r>
              <w:t xml:space="preserve">국제</w:t>
            </w:r>
          </w:p>
        </w:tc>
        <w:tc>
          <w:tcPr/>
          <w:p>
            <w:pPr>
              <w:pStyle w:val="Compact"/>
            </w:pPr>
            <w:r>
              <w:t xml:space="preserve">Phenol-Explorer / 3.0</w:t>
            </w:r>
          </w:p>
        </w:tc>
        <w:tc>
          <w:tcPr/>
          <w:p>
            <w:pPr>
              <w:pStyle w:val="Compact"/>
            </w:pPr>
            <w:r>
              <w:t xml:space="preserve">광범위 폴리페놀과 retention factor</w:t>
            </w:r>
          </w:p>
        </w:tc>
        <w:tc>
          <w:tcPr/>
          <w:p>
            <w:pPr>
              <w:pStyle w:val="Compact"/>
            </w:pPr>
            <w:r>
              <w:t xml:space="preserve">가공 전후 보정, 원논문 추적 가능</w:t>
            </w:r>
          </w:p>
        </w:tc>
        <w:tc>
          <w:tcPr/>
          <w:p>
            <w:pPr>
              <w:pStyle w:val="Compact"/>
            </w:pPr>
            <w:r>
              <w:t xml:space="preserve">한국 상용·복합음식 직접 매칭 어려움</w:t>
            </w:r>
          </w:p>
        </w:tc>
      </w:tr>
      <w:tr>
        <w:tc>
          <w:tcPr/>
          <w:p>
            <w:pPr>
              <w:pStyle w:val="Compact"/>
            </w:pPr>
            <w:r>
              <w:t xml:space="preserve">국제</w:t>
            </w:r>
          </w:p>
        </w:tc>
        <w:tc>
          <w:tcPr/>
          <w:p>
            <w:pPr>
              <w:pStyle w:val="Compact"/>
            </w:pPr>
            <w:r>
              <w:t xml:space="preserve">eBASIS</w:t>
            </w:r>
          </w:p>
        </w:tc>
        <w:tc>
          <w:tcPr/>
          <w:p>
            <w:pPr>
              <w:pStyle w:val="Compact"/>
            </w:pPr>
            <w:r>
              <w:t xml:space="preserve">조성 + 생리효과</w:t>
            </w:r>
          </w:p>
        </w:tc>
        <w:tc>
          <w:tcPr/>
          <w:p>
            <w:pPr>
              <w:pStyle w:val="Compact"/>
            </w:pPr>
            <w:r>
              <w:t xml:space="preserve">품질평가, 유럽 식물성 식품 정보</w:t>
            </w:r>
          </w:p>
        </w:tc>
        <w:tc>
          <w:tcPr/>
          <w:p>
            <w:pPr>
              <w:pStyle w:val="Compact"/>
            </w:pPr>
            <w:r>
              <w:t xml:space="preserve">유럽 중심</w:t>
            </w:r>
          </w:p>
        </w:tc>
      </w:tr>
      <w:tr>
        <w:tc>
          <w:tcPr/>
          <w:p>
            <w:pPr>
              <w:pStyle w:val="Compact"/>
            </w:pPr>
            <w:r>
              <w:t xml:space="preserve">국내</w:t>
            </w:r>
          </w:p>
        </w:tc>
        <w:tc>
          <w:tcPr/>
          <w:p>
            <w:pPr>
              <w:pStyle w:val="Compact"/>
            </w:pPr>
            <w:r>
              <w:t xml:space="preserve">국가표준식품성분 DB 10.x</w:t>
            </w:r>
          </w:p>
        </w:tc>
        <w:tc>
          <w:tcPr/>
          <w:p>
            <w:pPr>
              <w:pStyle w:val="Compact"/>
            </w:pPr>
            <w:r>
              <w:t xml:space="preserve">국가 표준 영양성분</w:t>
            </w:r>
          </w:p>
        </w:tc>
        <w:tc>
          <w:tcPr/>
          <w:p>
            <w:pPr>
              <w:pStyle w:val="Compact"/>
            </w:pPr>
            <w:r>
              <w:t xml:space="preserve">한국 식품 대표성, 공공 DB, 다부처 활용</w:t>
            </w:r>
          </w:p>
        </w:tc>
        <w:tc>
          <w:tcPr/>
          <w:p>
            <w:pPr>
              <w:pStyle w:val="Compact"/>
            </w:pPr>
            <w:r>
              <w:t xml:space="preserve">기능성분 전국민 섭취평가 체계는 미흡</w:t>
            </w:r>
          </w:p>
        </w:tc>
      </w:tr>
      <w:tr>
        <w:tc>
          <w:tcPr/>
          <w:p>
            <w:pPr>
              <w:pStyle w:val="Compact"/>
            </w:pPr>
            <w:r>
              <w:t xml:space="preserve">국내</w:t>
            </w:r>
          </w:p>
        </w:tc>
        <w:tc>
          <w:tcPr/>
          <w:p>
            <w:pPr>
              <w:pStyle w:val="Compact"/>
            </w:pPr>
            <w:r>
              <w:t xml:space="preserve">농식품올바로 기능성분 DB</w:t>
            </w:r>
          </w:p>
        </w:tc>
        <w:tc>
          <w:tcPr/>
          <w:p>
            <w:pPr>
              <w:pStyle w:val="Compact"/>
            </w:pPr>
            <w:r>
              <w:t xml:space="preserve">플라보노이드·페놀산 등</w:t>
            </w:r>
          </w:p>
        </w:tc>
        <w:tc>
          <w:tcPr/>
          <w:p>
            <w:pPr>
              <w:pStyle w:val="Compact"/>
            </w:pPr>
            <w:r>
              <w:t xml:space="preserve">한국 농식품 중심, 실측 기반 자원</w:t>
            </w:r>
          </w:p>
        </w:tc>
        <w:tc>
          <w:tcPr/>
          <w:p>
            <w:pPr>
              <w:pStyle w:val="Compact"/>
            </w:pPr>
            <w:r>
              <w:t xml:space="preserve">KNHANES와 직접 연결되는 통합 알고리즘·공개형 매칭 체계 부족</w:t>
            </w:r>
          </w:p>
        </w:tc>
      </w:tr>
    </w:tbl>
    <w:p>
      <w:pPr>
        <w:pStyle w:val="BodyText"/>
      </w:pPr>
      <w:r>
        <w:t xml:space="preserve">주: [표 2]는 공식 DB 문서와 웹페이지, 국내외 선행연구를 종합해 정리하였다.</w:t>
      </w:r>
      <w:r>
        <w:t xml:space="preserve"> </w:t>
      </w:r>
      <w:hyperlink r:id="rId28">
        <w:r>
          <w:rPr>
            <w:rStyle w:val="Hyperlink"/>
          </w:rPr>
          <w:t xml:space="preserve">[16]</w:t>
        </w:r>
      </w:hyperlink>
    </w:p>
    <w:bookmarkEnd w:id="34"/>
    <w:bookmarkStart w:id="35" w:name="연구-목표"/>
    <w:p>
      <w:pPr>
        <w:pStyle w:val="Heading2"/>
      </w:pPr>
      <w:r>
        <w:t xml:space="preserve">연구 목표</w:t>
      </w:r>
    </w:p>
    <w:p>
      <w:pPr>
        <w:pStyle w:val="FirstParagraph"/>
      </w:pPr>
      <w:r>
        <w:t xml:space="preserve">최종목표는 “국민건강영양조사 기반 한국인 기능성분 섭취평가 표준체계”를 구축하는 것이다. 구체적으로는 최신 KNHANES 24시간 회상자료와 한국형 기능성분 DB를 정합적으로 연결하여 총 플라보노이드 및 6개 서브클래스의 섭취량을 국가대표성 있게 산출하고, 주요 급원식품과 사회인구학적 격차를 규명하며, 비만·고혈압·당뇨병·이상지질혈증·대사증후군 등 주요 만성질환과의 연관성을 복합표본 분석으로 평가하는 데 있다. 아울러 향후 KNHANES-F 및 국가표준식품성분 DB 개정에 재사용 가능한 DB 버전관리, 매칭 로그, 품질지표를 함께 남기는 것을 목표로 한다.</w:t>
      </w:r>
      <w:r>
        <w:t xml:space="preserve"> </w:t>
      </w:r>
      <w:hyperlink r:id="rId23">
        <w:r>
          <w:rPr>
            <w:rStyle w:val="Hyperlink"/>
          </w:rPr>
          <w:t xml:space="preserve">[17]</w:t>
        </w:r>
      </w:hyperlink>
    </w:p>
    <w:p>
      <w:pPr>
        <w:pStyle w:val="BodyText"/>
      </w:pPr>
      <w:r>
        <w:t xml:space="preserve">[표 3] 최종목표 및 연차별 목표</w:t>
      </w:r>
      <w:r>
        <w:br/>
      </w:r>
      <w:r>
        <w:t xml:space="preserve">캡션: 3개년 단계별 연구목표</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구분</w:t>
            </w:r>
          </w:p>
        </w:tc>
        <w:tc>
          <w:tcPr/>
          <w:p>
            <w:pPr>
              <w:pStyle w:val="Compact"/>
            </w:pPr>
            <w:r>
              <w:t xml:space="preserve">목표</w:t>
            </w:r>
          </w:p>
        </w:tc>
      </w:tr>
      <w:tr>
        <w:tc>
          <w:tcPr/>
          <w:p>
            <w:pPr>
              <w:pStyle w:val="Compact"/>
            </w:pPr>
            <w:r>
              <w:t xml:space="preserve">최종목표</w:t>
            </w:r>
          </w:p>
        </w:tc>
        <w:tc>
          <w:tcPr/>
          <w:p>
            <w:pPr>
              <w:pStyle w:val="Compact"/>
            </w:pPr>
            <w:r>
              <w:t xml:space="preserve">KNHANES 기반 한국인 플라보노이드 등 기능성분 섭취평가 DB 및 분석체계 구축</w:t>
            </w:r>
          </w:p>
        </w:tc>
      </w:tr>
      <w:tr>
        <w:tc>
          <w:tcPr/>
          <w:p>
            <w:pPr>
              <w:pStyle w:val="Compact"/>
            </w:pPr>
            <w:r>
              <w:t xml:space="preserve">1차년도</w:t>
            </w:r>
          </w:p>
        </w:tc>
        <w:tc>
          <w:tcPr/>
          <w:p>
            <w:pPr>
              <w:pStyle w:val="Compact"/>
            </w:pPr>
            <w:r>
              <w:t xml:space="preserve">대상 기능성분 확정, 식품 마스터리스트 구축, 국내외 source DB 수집·정규화, 1차 매칭 알고리즘 개발, 2022~2023년 예비 섭취량 산출</w:t>
            </w:r>
          </w:p>
        </w:tc>
      </w:tr>
      <w:tr>
        <w:tc>
          <w:tcPr/>
          <w:p>
            <w:pPr>
              <w:pStyle w:val="Compact"/>
            </w:pPr>
            <w:r>
              <w:t xml:space="preserve">2차년도</w:t>
            </w:r>
          </w:p>
        </w:tc>
        <w:tc>
          <w:tcPr/>
          <w:p>
            <w:pPr>
              <w:pStyle w:val="Compact"/>
            </w:pPr>
            <w:r>
              <w:t xml:space="preserve">2024년 자료 통합, 결측 식품 우선순위 분석, 우선 식품 실측분석(HPLC-DAD/LC-MS/MS) 보강, DB v1.0 확정, 주요 급원식품 및 계층별 섭취 통계 작성</w:t>
            </w:r>
          </w:p>
        </w:tc>
      </w:tr>
      <w:tr>
        <w:tc>
          <w:tcPr/>
          <w:p>
            <w:pPr>
              <w:pStyle w:val="Compact"/>
            </w:pPr>
            <w:r>
              <w:t xml:space="preserve">3차년도</w:t>
            </w:r>
          </w:p>
        </w:tc>
        <w:tc>
          <w:tcPr/>
          <w:p>
            <w:pPr>
              <w:pStyle w:val="Compact"/>
            </w:pPr>
            <w:r>
              <w:t xml:space="preserve">usual intake 민감도 분석, 만성질환 연관성 분석, 정책 브리프·학술논문 작성, 매칭 로그·사용자 매뉴얼·표준코드 공개형 산출물 정리</w:t>
            </w:r>
          </w:p>
        </w:tc>
      </w:tr>
    </w:tbl>
    <w:bookmarkEnd w:id="35"/>
    <w:bookmarkStart w:id="42" w:name="연구-내용-및-방법"/>
    <w:p>
      <w:pPr>
        <w:pStyle w:val="Heading2"/>
      </w:pPr>
      <w:r>
        <w:t xml:space="preserve">연구 내용 및 방법</w:t>
      </w:r>
    </w:p>
    <w:p>
      <w:pPr>
        <w:pStyle w:val="FirstParagraph"/>
      </w:pPr>
      <w:r>
        <w:rPr>
          <w:b/>
          <w:bCs/>
        </w:rPr>
        <w:t xml:space="preserve">분석 대상 기능성분 선정</w:t>
      </w:r>
      <w:r>
        <w:br/>
      </w:r>
      <w:r>
        <w:t xml:space="preserve">본 과제의 1차 분석대상은 총 플라보노이드와 6개 서브클래스인 플라보놀, 플라본, 플라바논, 플라반-3-올, 안토시아니딘, 이소플라본으로 설정한다. 이는 USDA의 NHANES 연계 체계와 미국 성인 플라보노이드 통계 브리프가 채택한 분류와 직접 비교 가능하며, 국내 기존 연구와도 연속성을 가진다. 다만 한국 식생활의 차 소비 특성과 국제 DB 구조를 함께 반영하기 위해, 플라반-3-올 영역에서는 catechin류 외 theaflavin/thearubigin 계열을 보조 모듈로 별도 저장하여 민감도 분석을 수행한다. 또한 비교 가능성을 위해 최종 섭취량 표시는 aglycone equivalent를 기본으로 하되, 원자료 층에서는 glycoside·actual form 정보를 병행 저장한다. 최근 한국형 항산화 DB 연구도 플라보노이드 섭취 추정 시 aglycone equivalent 문제를 핵심 과제로 지적한 바 있다.</w:t>
      </w:r>
      <w:r>
        <w:t xml:space="preserve"> </w:t>
      </w:r>
      <w:hyperlink r:id="rId22">
        <w:r>
          <w:rPr>
            <w:rStyle w:val="Hyperlink"/>
          </w:rPr>
          <w:t xml:space="preserve">[18]</w:t>
        </w:r>
      </w:hyperlink>
    </w:p>
    <w:p>
      <w:pPr>
        <w:pStyle w:val="BodyText"/>
      </w:pPr>
      <w:r>
        <w:t xml:space="preserve">[표 4] 우선 분석 대상 기능성분</w:t>
      </w:r>
      <w:r>
        <w:br/>
      </w:r>
      <w:r>
        <w:t xml:space="preserve">캡션: 국제 비교가능성과 한국 식품섭취 특성을 함께 고려한 우선 대상군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서브클래스</w:t>
            </w:r>
          </w:p>
        </w:tc>
        <w:tc>
          <w:tcPr/>
          <w:p>
            <w:pPr>
              <w:pStyle w:val="Compact"/>
            </w:pPr>
            <w:r>
              <w:t xml:space="preserve">대표 화합물 예시</w:t>
            </w:r>
          </w:p>
        </w:tc>
        <w:tc>
          <w:tcPr/>
          <w:p>
            <w:pPr>
              <w:pStyle w:val="Compact"/>
            </w:pPr>
            <w:r>
              <w:t xml:space="preserve">비고</w:t>
            </w:r>
          </w:p>
        </w:tc>
      </w:tr>
      <w:tr>
        <w:tc>
          <w:tcPr/>
          <w:p>
            <w:pPr>
              <w:pStyle w:val="Compact"/>
            </w:pPr>
            <w:r>
              <w:t xml:space="preserve">플라보놀</w:t>
            </w:r>
          </w:p>
        </w:tc>
        <w:tc>
          <w:tcPr/>
          <w:p>
            <w:pPr>
              <w:pStyle w:val="Compact"/>
            </w:pPr>
            <w:r>
              <w:t xml:space="preserve">quercetin, kaempferol, myricetin, isorhamnetin</w:t>
            </w:r>
          </w:p>
        </w:tc>
        <w:tc>
          <w:tcPr/>
          <w:p>
            <w:pPr>
              <w:pStyle w:val="Compact"/>
            </w:pPr>
            <w:r>
              <w:t xml:space="preserve">채소·과일 기여도 큼</w:t>
            </w:r>
          </w:p>
        </w:tc>
      </w:tr>
      <w:tr>
        <w:tc>
          <w:tcPr/>
          <w:p>
            <w:pPr>
              <w:pStyle w:val="Compact"/>
            </w:pPr>
            <w:r>
              <w:t xml:space="preserve">플라본</w:t>
            </w:r>
          </w:p>
        </w:tc>
        <w:tc>
          <w:tcPr/>
          <w:p>
            <w:pPr>
              <w:pStyle w:val="Compact"/>
            </w:pPr>
            <w:r>
              <w:t xml:space="preserve">apigenin, luteolin</w:t>
            </w:r>
          </w:p>
        </w:tc>
        <w:tc>
          <w:tcPr/>
          <w:p>
            <w:pPr>
              <w:pStyle w:val="Compact"/>
            </w:pPr>
            <w:r>
              <w:t xml:space="preserve">채소·향신채 중심</w:t>
            </w:r>
          </w:p>
        </w:tc>
      </w:tr>
      <w:tr>
        <w:tc>
          <w:tcPr/>
          <w:p>
            <w:pPr>
              <w:pStyle w:val="Compact"/>
            </w:pPr>
            <w:r>
              <w:t xml:space="preserve">플라바논</w:t>
            </w:r>
          </w:p>
        </w:tc>
        <w:tc>
          <w:tcPr/>
          <w:p>
            <w:pPr>
              <w:pStyle w:val="Compact"/>
            </w:pPr>
            <w:r>
              <w:t xml:space="preserve">hesperetin, naringenin, eriodictyol</w:t>
            </w:r>
          </w:p>
        </w:tc>
        <w:tc>
          <w:tcPr/>
          <w:p>
            <w:pPr>
              <w:pStyle w:val="Compact"/>
            </w:pPr>
            <w:r>
              <w:t xml:space="preserve">감귤류 중심</w:t>
            </w:r>
          </w:p>
        </w:tc>
      </w:tr>
      <w:tr>
        <w:tc>
          <w:tcPr/>
          <w:p>
            <w:pPr>
              <w:pStyle w:val="Compact"/>
            </w:pPr>
            <w:r>
              <w:t xml:space="preserve">플라반-3-올</w:t>
            </w:r>
          </w:p>
        </w:tc>
        <w:tc>
          <w:tcPr/>
          <w:p>
            <w:pPr>
              <w:pStyle w:val="Compact"/>
            </w:pPr>
            <w:r>
              <w:t xml:space="preserve">catechin, epicatechin, epigallocatechin, EGCG 등</w:t>
            </w:r>
          </w:p>
        </w:tc>
        <w:tc>
          <w:tcPr/>
          <w:p>
            <w:pPr>
              <w:pStyle w:val="Compact"/>
            </w:pPr>
            <w:r>
              <w:t xml:space="preserve">차·과실·가공식품 반영 필요</w:t>
            </w:r>
          </w:p>
        </w:tc>
      </w:tr>
      <w:tr>
        <w:tc>
          <w:tcPr/>
          <w:p>
            <w:pPr>
              <w:pStyle w:val="Compact"/>
            </w:pPr>
            <w:r>
              <w:t xml:space="preserve">안토시아니딘</w:t>
            </w:r>
          </w:p>
        </w:tc>
        <w:tc>
          <w:tcPr/>
          <w:p>
            <w:pPr>
              <w:pStyle w:val="Compact"/>
            </w:pPr>
            <w:r>
              <w:t xml:space="preserve">cyanidin, delphinidin, malvidin, pelargonidin, peonidin, petunidin</w:t>
            </w:r>
          </w:p>
        </w:tc>
        <w:tc>
          <w:tcPr/>
          <w:p>
            <w:pPr>
              <w:pStyle w:val="Compact"/>
            </w:pPr>
            <w:r>
              <w:t xml:space="preserve">유색 과일·채소</w:t>
            </w:r>
          </w:p>
        </w:tc>
      </w:tr>
      <w:tr>
        <w:tc>
          <w:tcPr/>
          <w:p>
            <w:pPr>
              <w:pStyle w:val="Compact"/>
            </w:pPr>
            <w:r>
              <w:t xml:space="preserve">이소플라본</w:t>
            </w:r>
          </w:p>
        </w:tc>
        <w:tc>
          <w:tcPr/>
          <w:p>
            <w:pPr>
              <w:pStyle w:val="Compact"/>
            </w:pPr>
            <w:r>
              <w:t xml:space="preserve">daidzein, genistein, glycitein</w:t>
            </w:r>
          </w:p>
        </w:tc>
        <w:tc>
          <w:tcPr/>
          <w:p>
            <w:pPr>
              <w:pStyle w:val="Compact"/>
            </w:pPr>
            <w:r>
              <w:t xml:space="preserve">대두·대두가공품 중심</w:t>
            </w:r>
          </w:p>
        </w:tc>
      </w:tr>
    </w:tbl>
    <w:p>
      <w:pPr>
        <w:pStyle w:val="BodyText"/>
      </w:pPr>
      <w:r>
        <w:t xml:space="preserve">주: 분류체계는 USDA survey-food 기반 플라보노이드 분류와 한국 선행연구, 국내 항산화 DB 연구를 종합해 설정하였다.</w:t>
      </w:r>
      <w:r>
        <w:t xml:space="preserve"> </w:t>
      </w:r>
      <w:hyperlink r:id="rId22">
        <w:r>
          <w:rPr>
            <w:rStyle w:val="Hyperlink"/>
          </w:rPr>
          <w:t xml:space="preserve">[19]</w:t>
        </w:r>
      </w:hyperlink>
    </w:p>
    <w:p>
      <w:pPr>
        <w:pStyle w:val="BodyText"/>
      </w:pPr>
      <w:r>
        <w:rPr>
          <w:b/>
          <w:bCs/>
        </w:rPr>
        <w:t xml:space="preserve">KNHANES 자료 활용 방안</w:t>
      </w:r>
      <w:r>
        <w:br/>
      </w:r>
      <w:r>
        <w:t xml:space="preserve">분석연도는 원칙적으로 제9기 1</w:t>
      </w:r>
      <w:r>
        <w:rPr>
          <w:vertAlign w:val="subscript"/>
        </w:rPr>
        <w:t xml:space="preserve">3차년도(2022</w:t>
      </w:r>
      <w:r>
        <w:t xml:space="preserve">2024)로 한다. 공개가 확인된 2022년 영양조사 참여자는 5,944명, 2023년은 6,786명이며, 2024년 원시자료도 2025년 말 공개되어 과제 착수 시점 기준 최근 3개년 통합분석이 가능하다. 1차년도에는 2022~2023년 자료를 활용한 DB 구축과 예비 통계를 우선 산출하고, 2차년도에 2024년을 포함한 제9기 통합분석으로 확장한다. 섭취량 평가는 1세 이상 전체를 대상으로 수행하되, 만성질환 연관성 분석은 19세 이상 성인을 기본 모집단으로 설정한다. 분석 시에는 KNHANES의 복합표본 설계를 반영하여 영양조사 가중치(</w:t>
      </w:r>
      <w:r>
        <w:rPr>
          <w:rStyle w:val="VerbatimChar"/>
        </w:rPr>
        <w:t xml:space="preserve">wt_ntr</w:t>
      </w:r>
      <w:r>
        <w:t xml:space="preserve">), 층화변수(</w:t>
      </w:r>
      <w:r>
        <w:rPr>
          <w:rStyle w:val="VerbatimChar"/>
        </w:rPr>
        <w:t xml:space="preserve">kstrata</w:t>
      </w:r>
      <w:r>
        <w:t xml:space="preserve">), 집락변수(</w:t>
      </w:r>
      <w:r>
        <w:rPr>
          <w:rStyle w:val="VerbatimChar"/>
        </w:rPr>
        <w:t xml:space="preserve">psu</w:t>
      </w:r>
      <w:r>
        <w:t xml:space="preserve">)를 적용하고, 다년도 통합분석은 원시자료 이용지침서 원칙에 따라 통합가중치를 산출한다.</w:t>
      </w:r>
      <w:r>
        <w:t xml:space="preserve"> </w:t>
      </w:r>
      <w:hyperlink r:id="rId36">
        <w:r>
          <w:rPr>
            <w:rStyle w:val="Hyperlink"/>
          </w:rPr>
          <w:t xml:space="preserve">[20]</w:t>
        </w:r>
      </w:hyperlink>
    </w:p>
    <w:p>
      <w:pPr>
        <w:pStyle w:val="BodyText"/>
      </w:pPr>
      <w:r>
        <w:rPr>
          <w:b/>
          <w:bCs/>
        </w:rPr>
        <w:t xml:space="preserve">24시간 회상법 식품섭취 자료와 기능성분 DB 매칭 알고리즘</w:t>
      </w:r>
      <w:r>
        <w:br/>
      </w:r>
      <w:r>
        <w:t xml:space="preserve">매칭 절차는 FAO/INFOODS food matching guideline을 준용하여, “식품 식별–형태/조리상태 표준화–직접값 탐색–가공보정–레시피 분해–대체값 부여–문서화”의 7단계로 설계한다. 우선 KNHANES 24시간 회상 식품항목을 식품코드, 식품명, 조리상태, 음식명, 섭취량, 음식/식품 수준 구분으로 정리한 뒤, 한국형 식품 마스터리스트를 구축한다. 이후 1순위로 국내 실측값(농식품올바로 기능성분 DB, 국가표준식품성분 DB, 국내 분석문헌)을 exact match하고, 2순위로 동일 식품·동일 가공상태의 국제 DB(USDA, Phenol-Explorer, eBASIS)를 배정한다. 3순위는 동일 원재료의 가공 전후 관계를 retention factor로 보정하고, 4순위는 표준레시피 또는 KNHANES 조리재료량 자료를 활용한 ingredient-weighted recipe calculation을 적용한다. 미국 USDA survey-food DB도 FDB-EXP를 바탕으로 새 식품코드에 대해 imputation과 literature-derived values를 결합하여 NHANES용 플라보노이드 DB를 확장하였다.</w:t>
      </w:r>
      <w:r>
        <w:t xml:space="preserve"> </w:t>
      </w:r>
      <w:hyperlink r:id="rId37">
        <w:r>
          <w:rPr>
            <w:rStyle w:val="Hyperlink"/>
          </w:rPr>
          <w:t xml:space="preserve">[21]</w:t>
        </w:r>
      </w:hyperlink>
    </w:p>
    <w:p>
      <w:pPr>
        <w:pStyle w:val="BodyText"/>
      </w:pPr>
      <w:r>
        <w:t xml:space="preserve">본 과제의 매칭 알고리즘에서 핵심은 “단순 결측대체”가 아니라 “문서화된 근거기반 배정”이다. 따라서 각 식품-화합물 값마다 source DB, 버전, 국가, 식품상태(생/삶음/볶음/발효/가공), 화합물표현형(aglycone/actual form), 배정유형(exact/recipe/imputed/logical zero), 가공보정 여부, confidence score를 저장한다. 이는 국제 DB와의 비교가능성뿐 아니라 향후 국가표준식품성분 DB 개정 또는 외부 연구자가 DB를 재사용할 때 재현가능성을 담보하기 위한 구조다. 최근 데이터 품질 연구도 FCDB의 실질적 활용도를 좌우하는 가장 중요한 요소로 completeness와 FAIRness, 그리고 고유 식별자·인용표준의 부재 문제를 지적하고 있다.</w:t>
      </w:r>
      <w:r>
        <w:t xml:space="preserve"> </w:t>
      </w:r>
      <w:hyperlink r:id="rId38">
        <w:r>
          <w:rPr>
            <w:rStyle w:val="Hyperlink"/>
          </w:rPr>
          <w:t xml:space="preserve">[22]</w:t>
        </w:r>
      </w:hyperlink>
    </w:p>
    <w:p>
      <w:pPr>
        <w:pStyle w:val="BodyText"/>
      </w:pPr>
      <w:r>
        <w:t xml:space="preserve">[표 5] 기능성분 값 매칭 및 대체값 적용 우선순위</w:t>
      </w:r>
      <w:r>
        <w:br/>
      </w:r>
      <w:r>
        <w:t xml:space="preserve">캡션: exact match를 최우선으로 하되, 가공보정과 레시피 분해를 단계적으로 적용하는 구조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단계</w:t>
            </w:r>
          </w:p>
        </w:tc>
        <w:tc>
          <w:tcPr/>
          <w:p>
            <w:pPr>
              <w:pStyle w:val="Compact"/>
            </w:pPr>
            <w:r>
              <w:t xml:space="preserve">적용 원칙</w:t>
            </w:r>
          </w:p>
        </w:tc>
        <w:tc>
          <w:tcPr/>
          <w:p>
            <w:pPr>
              <w:pStyle w:val="Compact"/>
            </w:pPr>
            <w:r>
              <w:t xml:space="preserve">예시</w:t>
            </w:r>
          </w:p>
        </w:tc>
      </w:tr>
      <w:tr>
        <w:tc>
          <w:tcPr/>
          <w:p>
            <w:pPr>
              <w:pStyle w:val="Compact"/>
            </w:pPr>
            <w:r>
              <w:t xml:space="preserve">1단계</w:t>
            </w:r>
          </w:p>
        </w:tc>
        <w:tc>
          <w:tcPr/>
          <w:p>
            <w:pPr>
              <w:pStyle w:val="Compact"/>
            </w:pPr>
            <w:r>
              <w:t xml:space="preserve">동일 식품·동일 상태의 국내 실측값 exact match</w:t>
            </w:r>
          </w:p>
        </w:tc>
        <w:tc>
          <w:tcPr/>
          <w:p>
            <w:pPr>
              <w:pStyle w:val="Compact"/>
            </w:pPr>
            <w:r>
              <w:t xml:space="preserve">국산 생양파–quercetin</w:t>
            </w:r>
          </w:p>
        </w:tc>
      </w:tr>
      <w:tr>
        <w:tc>
          <w:tcPr/>
          <w:p>
            <w:pPr>
              <w:pStyle w:val="Compact"/>
            </w:pPr>
            <w:r>
              <w:t xml:space="preserve">2단계</w:t>
            </w:r>
          </w:p>
        </w:tc>
        <w:tc>
          <w:tcPr/>
          <w:p>
            <w:pPr>
              <w:pStyle w:val="Compact"/>
            </w:pPr>
            <w:r>
              <w:t xml:space="preserve">동일 식품·동일 상태의 국제 DB match</w:t>
            </w:r>
          </w:p>
        </w:tc>
        <w:tc>
          <w:tcPr/>
          <w:p>
            <w:pPr>
              <w:pStyle w:val="Compact"/>
            </w:pPr>
            <w:r>
              <w:t xml:space="preserve">orange juice–hesperetin</w:t>
            </w:r>
          </w:p>
        </w:tc>
      </w:tr>
      <w:tr>
        <w:tc>
          <w:tcPr/>
          <w:p>
            <w:pPr>
              <w:pStyle w:val="Compact"/>
            </w:pPr>
            <w:r>
              <w:t xml:space="preserve">3단계</w:t>
            </w:r>
          </w:p>
        </w:tc>
        <w:tc>
          <w:tcPr/>
          <w:p>
            <w:pPr>
              <w:pStyle w:val="Compact"/>
            </w:pPr>
            <w:r>
              <w:t xml:space="preserve">동일 식품의 다른 조리상태를 retention factor로 보정</w:t>
            </w:r>
          </w:p>
        </w:tc>
        <w:tc>
          <w:tcPr/>
          <w:p>
            <w:pPr>
              <w:pStyle w:val="Compact"/>
            </w:pPr>
            <w:r>
              <w:t xml:space="preserve">생시금치 → 데친시금치</w:t>
            </w:r>
          </w:p>
        </w:tc>
      </w:tr>
      <w:tr>
        <w:tc>
          <w:tcPr/>
          <w:p>
            <w:pPr>
              <w:pStyle w:val="Compact"/>
            </w:pPr>
            <w:r>
              <w:t xml:space="preserve">4단계</w:t>
            </w:r>
          </w:p>
        </w:tc>
        <w:tc>
          <w:tcPr/>
          <w:p>
            <w:pPr>
              <w:pStyle w:val="Compact"/>
            </w:pPr>
            <w:r>
              <w:t xml:space="preserve">복합음식 recipe decomposition</w:t>
            </w:r>
          </w:p>
        </w:tc>
        <w:tc>
          <w:tcPr/>
          <w:p>
            <w:pPr>
              <w:pStyle w:val="Compact"/>
            </w:pPr>
            <w:r>
              <w:t xml:space="preserve">김밥, 비빔밥, 된장찌개</w:t>
            </w:r>
          </w:p>
        </w:tc>
      </w:tr>
      <w:tr>
        <w:tc>
          <w:tcPr/>
          <w:p>
            <w:pPr>
              <w:pStyle w:val="Compact"/>
            </w:pPr>
            <w:r>
              <w:t xml:space="preserve">5단계</w:t>
            </w:r>
          </w:p>
        </w:tc>
        <w:tc>
          <w:tcPr/>
          <w:p>
            <w:pPr>
              <w:pStyle w:val="Compact"/>
            </w:pPr>
            <w:r>
              <w:t xml:space="preserve">동일 종/유사 품종/유사 가공품 대체</w:t>
            </w:r>
          </w:p>
        </w:tc>
        <w:tc>
          <w:tcPr/>
          <w:p>
            <w:pPr>
              <w:pStyle w:val="Compact"/>
            </w:pPr>
            <w:r>
              <w:t xml:space="preserve">국산 감귤 ↔ 일본 satsuma mandarin</w:t>
            </w:r>
          </w:p>
        </w:tc>
      </w:tr>
      <w:tr>
        <w:tc>
          <w:tcPr/>
          <w:p>
            <w:pPr>
              <w:pStyle w:val="Compact"/>
            </w:pPr>
            <w:r>
              <w:t xml:space="preserve">6단계</w:t>
            </w:r>
          </w:p>
        </w:tc>
        <w:tc>
          <w:tcPr/>
          <w:p>
            <w:pPr>
              <w:pStyle w:val="Compact"/>
            </w:pPr>
            <w:r>
              <w:t xml:space="preserve">합리적 논리적 0(logical zero) 부여</w:t>
            </w:r>
          </w:p>
        </w:tc>
        <w:tc>
          <w:tcPr/>
          <w:p>
            <w:pPr>
              <w:pStyle w:val="Compact"/>
            </w:pPr>
            <w:r>
              <w:t xml:space="preserve">식물성 기능성분이 사실상 없는 식품군</w:t>
            </w:r>
          </w:p>
        </w:tc>
      </w:tr>
      <w:tr>
        <w:tc>
          <w:tcPr/>
          <w:p>
            <w:pPr>
              <w:pStyle w:val="Compact"/>
            </w:pPr>
            <w:r>
              <w:t xml:space="preserve">7단계</w:t>
            </w:r>
          </w:p>
        </w:tc>
        <w:tc>
          <w:tcPr/>
          <w:p>
            <w:pPr>
              <w:pStyle w:val="Compact"/>
            </w:pPr>
            <w:r>
              <w:t xml:space="preserve">분석 우선순위 식품에 대한 실측분석 보강</w:t>
            </w:r>
          </w:p>
        </w:tc>
        <w:tc>
          <w:tcPr/>
          <w:p>
            <w:pPr>
              <w:pStyle w:val="Compact"/>
            </w:pPr>
            <w:r>
              <w:t xml:space="preserve">상위 기여 결측식품 HPLC/LC-MS 분석</w:t>
            </w:r>
          </w:p>
        </w:tc>
      </w:tr>
    </w:tbl>
    <w:p>
      <w:pPr>
        <w:pStyle w:val="BodyText"/>
      </w:pPr>
      <w:r>
        <w:rPr>
          <w:b/>
          <w:bCs/>
        </w:rPr>
        <w:t xml:space="preserve">결측 식품에 대한 대체값(imputation) 처리 방법</w:t>
      </w:r>
      <w:r>
        <w:br/>
      </w:r>
      <w:r>
        <w:t xml:space="preserve">결측 처리의 기본 원칙은 “coverage를 높이되, 불확실성도 함께 기록한다”이다. 1차적으로는 섭취량 기여도가 높은 결측 식품을 우선순위화하여 상위 누적기여 80% 식품군부터 보강한다. 2차적으로 동일 종·동일 부위·유사 가공수준의 값으로 대체하고, 3차적으로는 레시피 분해값을 사용한다. 4차적으로 식물성 기능성분이 본질적으로 기대되지 않는 식품군에는 logical zero를 부여한다. 최근 한국형 항산화 DB 연구도 logical zero를 활용한 food-group coverage 관리와 coverage 지표 보고의 중요성을 보여주었으며, USDA survey-food flavonoid DB 역시 새 식품코드에 대해 imputation과 literature values를 병행하여 완전성을 확보하였다. 본 연구는 food-level coverage뿐 아니라 intake-weighted coverage를 함께 제시해 “섭취량의 몇 %가 직접 실측값 기반인지”를 동시에 보고한다.</w:t>
      </w:r>
      <w:r>
        <w:t xml:space="preserve"> </w:t>
      </w:r>
      <w:hyperlink r:id="rId29">
        <w:r>
          <w:rPr>
            <w:rStyle w:val="Hyperlink"/>
          </w:rPr>
          <w:t xml:space="preserve">[23]</w:t>
        </w:r>
      </w:hyperlink>
    </w:p>
    <w:p>
      <w:pPr>
        <w:pStyle w:val="BodyText"/>
      </w:pPr>
      <w:r>
        <w:t xml:space="preserve">이와 함께 1차년도 말에 “고기여 결측식품 우선분석 리스트”를 작성하고, 2차년도에는 그중 정책·산업 활용도가 높은 상위 식품을 대상으로 HPLC-DAD 또는 LC-MS/MS 실측분석을 수행한다. 이 보강분석은 전국민 식이노출 추정의 오차를 낮추기 위한 최소 필수 보정으로 위치시킨다. 구체적으로는 차류, 두류가공품, 김치류, 장류, 전통 음료류, 과채가공품 등 한국 식생활에서 기여도가 높지만 국제 DB로 대체하기 어려운 식품을 우선 대상으로 선정한다. 이는 단순 이차자료 분석을 넘어 “대표성 있는 한국형 기능성분 노출 DB”를 구축하기 위한 핵심 차별점이다.</w:t>
      </w:r>
      <w:r>
        <w:t xml:space="preserve"> </w:t>
      </w:r>
      <w:hyperlink r:id="rId39">
        <w:r>
          <w:rPr>
            <w:rStyle w:val="Hyperlink"/>
          </w:rPr>
          <w:t xml:space="preserve">[24]</w:t>
        </w:r>
      </w:hyperlink>
    </w:p>
    <w:p>
      <w:pPr>
        <w:pStyle w:val="BodyText"/>
      </w:pPr>
      <w:r>
        <w:rPr>
          <w:b/>
          <w:bCs/>
        </w:rPr>
        <w:t xml:space="preserve">통계분석 계획</w:t>
      </w:r>
      <w:r>
        <w:br/>
      </w:r>
      <w:r>
        <w:t xml:space="preserve">섭취량 통계는 복합표본설계를 반영한 가중 평균, 중앙값, 분위수(P5, P25, P50, P75, P95), 표준오차를 산출한다. 기본 층화 변수는 성별, 연령, 가구소득, 교육수준, 지역(대도시/중소도시/읍면), 식품안정성으로 설정한다. 총 플라보노이드와 각 서브클래스별 1일 섭취량(mg/day) 및 에너지 보정 섭취량(mg/1,000 kcal)을 동시에 제시하고, 주요 급원식품은 개별 식품과 식품군 수준에서 백분기여율(% contribution)과 섭취빈도(weighted frequency)로 도출한다. 미국 FSRG도 NHANES 자료에서 동일 방식으로 total/subclass intake와 top food contributors를 보고하고 있으며, 국내 기존 연구는 데이터베이스 범위 차이에 따라 주요 급원식품이 다르게 산출될 수 있음을 보여준다. 따라서 본 과제는 food code별 기여도 산식과 food-group 매핑 규칙을 사용자 매뉴얼에 명시할 예정이다.</w:t>
      </w:r>
      <w:r>
        <w:t xml:space="preserve"> </w:t>
      </w:r>
      <w:hyperlink r:id="rId22">
        <w:r>
          <w:rPr>
            <w:rStyle w:val="Hyperlink"/>
          </w:rPr>
          <w:t xml:space="preserve">[25]</w:t>
        </w:r>
      </w:hyperlink>
    </w:p>
    <w:p>
      <w:pPr>
        <w:pStyle w:val="BodyText"/>
      </w:pPr>
      <w:r>
        <w:t xml:space="preserve">usual intake는 1일 회상자료의 개인 내 변동을 고려해야 하므로, 본 과제에서는 두 단계 접근을 취한다. 공식 통계용 1차 분석은 KNHANES 관행에 맞게 1일 평균 섭취량을 산출하고, 민감도 분석으로 NCI 또는 MIXTRAN 계열 모형을 이용한 usual intake를 추정한다. 국내 이소플라본 연구는 KNHANES 2016–2018 자료에 대해 2009년 2일 조사자료에서 얻은 within-/between-person variance ratio를 적용하여 usual intake를 추정한 바 있으며, 평균 섭취량이 usual intake보다 상당히 높게 나타날 수 있음을 보여주었다. 플라보노이드도 차류·과일·두류처럼 간헐 섭취가 많은 식품기반 화합물이므로, usual intake 민감도 분석은 필수적이다.</w:t>
      </w:r>
      <w:r>
        <w:t xml:space="preserve"> </w:t>
      </w:r>
      <w:hyperlink r:id="rId40">
        <w:r>
          <w:rPr>
            <w:rStyle w:val="Hyperlink"/>
          </w:rPr>
          <w:t xml:space="preserve">[26]</w:t>
        </w:r>
      </w:hyperlink>
    </w:p>
    <w:p>
      <w:pPr>
        <w:pStyle w:val="BodyText"/>
      </w:pPr>
      <w:r>
        <w:t xml:space="preserve">만성질환과의 연관성 평가는 19세 이상 성인을 대상으로 수행한다. 주요 결과지표는 비만(BMI 25 kg/m² 이상), 복부비만, 고혈압, 당뇨병, 고콜레스테롤혈증, 대사증후군으로 설정한다. 비만·고혈압·당뇨병·고콜레스테롤혈증 정의는 국민건강영양조사 결과발표의 표준 정의를 따르고, 대사증후군은 한국인 허리둘레 기준을 포함한 5개 요소 중 3개 이상 충족 기준을 적용한다. 분석모형은 survey-weighted logistic regression과 generalized linear model을 기본으로 하고, 총 섭취량과 서브클래스 섭취량의 dose-response는 restricted cubic spline으로 점검한다. 공변량은 연령, 성별, 총에너지, BMI(비만분석 제외), 교육수준, 소득수준, 흡연, 음주, 신체활동, 식이보충제 사용, 만성질환 기왕력 등을 포함한다. 최근 연구들은 플라보노이드 풍부 식사의 치매위험 감소, 섭취 다양성과 사망·주요 만성질환 감소, 플라보노이드 풍부 식품과 제2형 당뇨 위험 감소를 보고하고 있어, 한국 자료에서도 단순 총량뿐 아니라 서브클래스별·다양성 기반 분석이 필요하다.</w:t>
      </w:r>
      <w:r>
        <w:t xml:space="preserve"> </w:t>
      </w:r>
      <w:hyperlink r:id="rId26">
        <w:r>
          <w:rPr>
            <w:rStyle w:val="Hyperlink"/>
          </w:rPr>
          <w:t xml:space="preserve">[27]</w:t>
        </w:r>
      </w:hyperlink>
    </w:p>
    <w:p>
      <w:pPr>
        <w:pStyle w:val="BodyText"/>
      </w:pPr>
      <w:r>
        <w:t xml:space="preserve">다만 KNHANES는 기본적으로 횡단조사이므로 인과추론에는 한계가 있다. 따라서 본 연구는 질환 “연관성” 분석임을 명확히 하고, 진단 후 식이변화에 따른 reverse causation 가능성을 줄이기 위해 추가 민감도 분석을 수행한다. 예를 들어 진단자 제외, 약물복용자 분리, 극단적 섭취자 제외, 에너지 과소·과대보고자 제외 등의 보조분석을 설계한다. 이후 장래에는 2025년 시작된 KNHANES-F와의 연계를 통해 prospective analysis로의 확장을 도모한다.</w:t>
      </w:r>
      <w:r>
        <w:t xml:space="preserve"> </w:t>
      </w:r>
      <w:hyperlink r:id="rId27">
        <w:r>
          <w:rPr>
            <w:rStyle w:val="Hyperlink"/>
          </w:rPr>
          <w:t xml:space="preserve">[28]</w:t>
        </w:r>
      </w:hyperlink>
    </w:p>
    <w:p>
      <w:pPr>
        <w:pStyle w:val="BodyText"/>
      </w:pPr>
      <w:r>
        <w:rPr>
          <w:b/>
          <w:bCs/>
        </w:rPr>
        <w:t xml:space="preserve">연구 윤리(IRB) 및 품질관리</w:t>
      </w:r>
      <w:r>
        <w:br/>
      </w:r>
      <w:r>
        <w:t xml:space="preserve">원자료 분석은 비식별화되어 공개된 KNHANES 자료를 사용하므로, 최근 KNHANES 2차 분석 연구들처럼 추가 IRB 면제 대상이 될 가능성이 높다. 다만 본 과제는 기관별 생명윤리위원회에 심의면제 또는 심의 여부를 사전 확인하고, 연구계획서·데이터관리계획서·분석 코드 버전관리 계획을 함께 제출한다. KNHANES 원조사는 KDCA IRB 승인을 거쳐 수행되며, 공개자료 이용 연구는 추가 IRB 면제가 가능하다는 최신 논문 기술도 이를 뒷받침한다. 실측분석이 수행되는 식품시료 부분은 인체연구가 아니므로 별도의 식품분석 QA/QC 체계로 관리한다. 분석재현성 확보를 위해 DB 버전 고정, 파이프라인 로그 저장, 매칭근거 파일 보존, 가공보정 계수 기록, 소스별 citation table을 필수 산출물로 남긴다.</w:t>
      </w:r>
      <w:r>
        <w:t xml:space="preserve"> </w:t>
      </w:r>
      <w:hyperlink r:id="rId41">
        <w:r>
          <w:rPr>
            <w:rStyle w:val="Hyperlink"/>
          </w:rPr>
          <w:t xml:space="preserve">[29]</w:t>
        </w:r>
      </w:hyperlink>
    </w:p>
    <w:bookmarkEnd w:id="42"/>
    <w:bookmarkStart w:id="43" w:name="추진-체계-및-일정"/>
    <w:p>
      <w:pPr>
        <w:pStyle w:val="Heading2"/>
      </w:pPr>
      <w:r>
        <w:t xml:space="preserve">추진 체계 및 일정</w:t>
      </w:r>
    </w:p>
    <w:p>
      <w:pPr>
        <w:pStyle w:val="FirstParagraph"/>
      </w:pPr>
      <w:r>
        <w:t xml:space="preserve">본 과제는 “DB 구축–실측보강–섭취통계–질환연계–정책확산”의 다섯 축으로 운영한다. 연구책임자는 기능성분 DB 총괄 및 식품분석 전략을 담당하고, 공동연구자는 영양역학·복합표본 통계·식품성분 데이터 엔지니어링·분석화학을 분담한다. 실무적으로는 식품성분팀, KNHANES 분석팀, 통계모델링팀, 정책확산팀의 4개 워킹그룹을 두고, 반기별 외부자문회의를 통해 DB 호환성, 정책수요 적합성, 결과표준화를 점검한다. 특히 2차년도부터는 고기여 결측식품 실측분석과 질환분석이 동시에 진행되므로, 데이터엔지니어링과 실험실 분석 간 피드백 체계를 모듈화하는 것이 중요하다. 이는 최종적으로 “기능성분 DB–섭취량–질환연계–정책브리프”가 하나의 흐름으로 이어지도록 하기 위한 추진체계다.</w:t>
      </w:r>
    </w:p>
    <w:p>
      <w:pPr>
        <w:pStyle w:val="BodyText"/>
      </w:pPr>
      <w:r>
        <w:t xml:space="preserve">[그림 1] 3개년 추진 일정(간트차트)</w:t>
      </w:r>
      <w:r>
        <w:br/>
      </w:r>
      <w:r>
        <w:t xml:space="preserve">캡션: DB 구축, 실측 보강, 섭취통계, 질환연계, 성과확산의 연차별 추진 흐름</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세부과업</w:t>
            </w:r>
          </w:p>
        </w:tc>
        <w:tc>
          <w:tcPr/>
          <w:p>
            <w:pPr>
              <w:pStyle w:val="Compact"/>
            </w:pPr>
            <w:r>
              <w:t xml:space="preserve">1차년도 상반기</w:t>
            </w:r>
          </w:p>
        </w:tc>
        <w:tc>
          <w:tcPr/>
          <w:p>
            <w:pPr>
              <w:pStyle w:val="Compact"/>
            </w:pPr>
            <w:r>
              <w:t xml:space="preserve">1차년도 하반기</w:t>
            </w:r>
          </w:p>
        </w:tc>
        <w:tc>
          <w:tcPr/>
          <w:p>
            <w:pPr>
              <w:pStyle w:val="Compact"/>
            </w:pPr>
            <w:r>
              <w:t xml:space="preserve">2차년도 상반기</w:t>
            </w:r>
          </w:p>
        </w:tc>
        <w:tc>
          <w:tcPr/>
          <w:p>
            <w:pPr>
              <w:pStyle w:val="Compact"/>
            </w:pPr>
            <w:r>
              <w:t xml:space="preserve">2차년도 하반기</w:t>
            </w:r>
          </w:p>
        </w:tc>
        <w:tc>
          <w:tcPr/>
          <w:p>
            <w:pPr>
              <w:pStyle w:val="Compact"/>
            </w:pPr>
            <w:r>
              <w:t xml:space="preserve">3차년도 상반기</w:t>
            </w:r>
          </w:p>
        </w:tc>
        <w:tc>
          <w:tcPr/>
          <w:p>
            <w:pPr>
              <w:pStyle w:val="Compact"/>
            </w:pPr>
            <w:r>
              <w:t xml:space="preserve">3차년도 하반기</w:t>
            </w:r>
          </w:p>
        </w:tc>
      </w:tr>
      <w:tr>
        <w:tc>
          <w:tcPr/>
          <w:p>
            <w:pPr>
              <w:pStyle w:val="Compact"/>
            </w:pPr>
            <w:r>
              <w:t xml:space="preserve">대상 기능성분·코드체계 확정</w:t>
            </w:r>
          </w:p>
        </w:tc>
        <w:tc>
          <w:tcPr/>
          <w:p>
            <w:pPr>
              <w:pStyle w:val="Compact"/>
            </w:pPr>
            <w:r>
              <w:t xml:space="preserve">■</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KNHANES 식품 마스터리스트 구축</w:t>
            </w:r>
          </w:p>
        </w:tc>
        <w:tc>
          <w:tcPr/>
          <w:p>
            <w:pPr>
              <w:pStyle w:val="Compact"/>
            </w:pPr>
            <w:r>
              <w:t xml:space="preserve">■</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국내외 source DB 수집·정규화</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c>
          <w:tcPr/>
          <w:p>
            <w:pPr>
              <w:pStyle w:val="Compact"/>
            </w:pPr>
          </w:p>
        </w:tc>
        <w:tc>
          <w:tcPr/>
          <w:p>
            <w:pPr>
              <w:pStyle w:val="Compact"/>
            </w:pPr>
          </w:p>
        </w:tc>
      </w:tr>
      <w:tr>
        <w:tc>
          <w:tcPr/>
          <w:p>
            <w:pPr>
              <w:pStyle w:val="Compact"/>
            </w:pPr>
            <w:r>
              <w:t xml:space="preserve">1차 매칭 알고리즘 개발</w:t>
            </w:r>
          </w:p>
        </w:tc>
        <w:tc>
          <w:tcPr/>
          <w:p>
            <w:pPr>
              <w:pStyle w:val="Compact"/>
            </w:pPr>
            <w:r>
              <w:t xml:space="preserve">■</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고기여 결측식품 우선순위 도출</w:t>
            </w:r>
          </w:p>
        </w:tc>
        <w:tc>
          <w:tcPr/>
          <w:p>
            <w:pPr>
              <w:pStyle w:val="Compact"/>
            </w:pPr>
          </w:p>
        </w:tc>
        <w:tc>
          <w:tcPr/>
          <w:p>
            <w:pPr>
              <w:pStyle w:val="Compact"/>
            </w:pPr>
            <w:r>
              <w:t xml:space="preserve">■</w:t>
            </w:r>
          </w:p>
        </w:tc>
        <w:tc>
          <w:tcPr/>
          <w:p>
            <w:pPr>
              <w:pStyle w:val="Compact"/>
            </w:pPr>
            <w:r>
              <w:t xml:space="preserve">■</w:t>
            </w:r>
          </w:p>
        </w:tc>
        <w:tc>
          <w:tcPr/>
          <w:p>
            <w:pPr>
              <w:pStyle w:val="Compact"/>
            </w:pPr>
          </w:p>
        </w:tc>
        <w:tc>
          <w:tcPr/>
          <w:p>
            <w:pPr>
              <w:pStyle w:val="Compact"/>
            </w:pPr>
          </w:p>
        </w:tc>
        <w:tc>
          <w:tcPr/>
          <w:p>
            <w:pPr>
              <w:pStyle w:val="Compact"/>
            </w:pPr>
          </w:p>
        </w:tc>
      </w:tr>
      <w:tr>
        <w:tc>
          <w:tcPr/>
          <w:p>
            <w:pPr>
              <w:pStyle w:val="Compact"/>
            </w:pPr>
            <w:r>
              <w:t xml:space="preserve">HPLC-DAD/LC-MS/MS 실측 보강</w:t>
            </w:r>
          </w:p>
        </w:tc>
        <w:tc>
          <w:tcPr/>
          <w:p>
            <w:pPr>
              <w:pStyle w:val="Compact"/>
            </w:pPr>
          </w:p>
        </w:tc>
        <w:tc>
          <w:tcPr/>
          <w:p>
            <w:pPr>
              <w:pStyle w:val="Compact"/>
            </w:pP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DB v1.0 확정 및 품질평가</w:t>
            </w:r>
          </w:p>
        </w:tc>
        <w:tc>
          <w:tcPr/>
          <w:p>
            <w:pPr>
              <w:pStyle w:val="Compact"/>
            </w:pPr>
          </w:p>
        </w:tc>
        <w:tc>
          <w:tcPr/>
          <w:p>
            <w:pPr>
              <w:pStyle w:val="Compact"/>
            </w:pPr>
          </w:p>
        </w:tc>
        <w:tc>
          <w:tcPr/>
          <w:p>
            <w:pPr>
              <w:pStyle w:val="Compact"/>
            </w:pPr>
            <w:r>
              <w:t xml:space="preserve">■</w:t>
            </w:r>
          </w:p>
        </w:tc>
        <w:tc>
          <w:tcPr/>
          <w:p>
            <w:pPr>
              <w:pStyle w:val="Compact"/>
            </w:pPr>
            <w:r>
              <w:t xml:space="preserve">■</w:t>
            </w:r>
          </w:p>
        </w:tc>
        <w:tc>
          <w:tcPr/>
          <w:p>
            <w:pPr>
              <w:pStyle w:val="Compact"/>
            </w:pPr>
          </w:p>
        </w:tc>
        <w:tc>
          <w:tcPr/>
          <w:p>
            <w:pPr>
              <w:pStyle w:val="Compact"/>
            </w:pPr>
          </w:p>
        </w:tc>
      </w:tr>
      <w:tr>
        <w:tc>
          <w:tcPr/>
          <w:p>
            <w:pPr>
              <w:pStyle w:val="Compact"/>
            </w:pPr>
            <w:r>
              <w:t xml:space="preserve">계층별 섭취량·주요 급원식품 산출</w:t>
            </w:r>
          </w:p>
        </w:tc>
        <w:tc>
          <w:tcPr/>
          <w:p>
            <w:pPr>
              <w:pStyle w:val="Compact"/>
            </w:pP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c>
          <w:tcPr/>
          <w:p>
            <w:pPr>
              <w:pStyle w:val="Compact"/>
            </w:pPr>
          </w:p>
        </w:tc>
      </w:tr>
      <w:tr>
        <w:tc>
          <w:tcPr/>
          <w:p>
            <w:pPr>
              <w:pStyle w:val="Compact"/>
            </w:pPr>
            <w:r>
              <w:t xml:space="preserve">usual intake 민감도 분석</w:t>
            </w:r>
          </w:p>
        </w:tc>
        <w:tc>
          <w:tcPr/>
          <w:p>
            <w:pPr>
              <w:pStyle w:val="Compact"/>
            </w:pPr>
          </w:p>
        </w:tc>
        <w:tc>
          <w:tcPr/>
          <w:p>
            <w:pPr>
              <w:pStyle w:val="Compact"/>
            </w:pPr>
          </w:p>
        </w:tc>
        <w:tc>
          <w:tcPr/>
          <w:p>
            <w:pPr>
              <w:pStyle w:val="Compact"/>
            </w:pP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만성질환 연관성 분석</w:t>
            </w:r>
          </w:p>
        </w:tc>
        <w:tc>
          <w:tcPr/>
          <w:p>
            <w:pPr>
              <w:pStyle w:val="Compact"/>
            </w:pPr>
          </w:p>
        </w:tc>
        <w:tc>
          <w:tcPr/>
          <w:p>
            <w:pPr>
              <w:pStyle w:val="Compact"/>
            </w:pPr>
          </w:p>
        </w:tc>
        <w:tc>
          <w:tcPr/>
          <w:p>
            <w:pPr>
              <w:pStyle w:val="Compact"/>
            </w:pP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정책 브리프·SCI 논문 작성</w:t>
            </w:r>
          </w:p>
        </w:tc>
        <w:tc>
          <w:tcPr/>
          <w:p>
            <w:pPr>
              <w:pStyle w:val="Compact"/>
            </w:pPr>
          </w:p>
        </w:tc>
        <w:tc>
          <w:tcPr/>
          <w:p>
            <w:pPr>
              <w:pStyle w:val="Compact"/>
            </w:pPr>
          </w:p>
        </w:tc>
        <w:tc>
          <w:tcPr/>
          <w:p>
            <w:pPr>
              <w:pStyle w:val="Compact"/>
            </w:pPr>
          </w:p>
        </w:tc>
        <w:tc>
          <w:tcPr/>
          <w:p>
            <w:pPr>
              <w:pStyle w:val="Compact"/>
            </w:pPr>
          </w:p>
        </w:tc>
        <w:tc>
          <w:tcPr/>
          <w:p>
            <w:pPr>
              <w:pStyle w:val="Compact"/>
            </w:pPr>
            <w:r>
              <w:t xml:space="preserve">■</w:t>
            </w:r>
          </w:p>
        </w:tc>
        <w:tc>
          <w:tcPr/>
          <w:p>
            <w:pPr>
              <w:pStyle w:val="Compact"/>
            </w:pPr>
            <w:r>
              <w:t xml:space="preserve">■</w:t>
            </w:r>
          </w:p>
        </w:tc>
      </w:tr>
      <w:tr>
        <w:tc>
          <w:tcPr/>
          <w:p>
            <w:pPr>
              <w:pStyle w:val="Compact"/>
            </w:pPr>
            <w:r>
              <w:t xml:space="preserve">사용자 매뉴얼·성과확산</w:t>
            </w:r>
          </w:p>
        </w:tc>
        <w:tc>
          <w:tcPr/>
          <w:p>
            <w:pPr>
              <w:pStyle w:val="Compact"/>
            </w:pPr>
          </w:p>
        </w:tc>
        <w:tc>
          <w:tcPr/>
          <w:p>
            <w:pPr>
              <w:pStyle w:val="Compact"/>
            </w:pPr>
          </w:p>
        </w:tc>
        <w:tc>
          <w:tcPr/>
          <w:p>
            <w:pPr>
              <w:pStyle w:val="Compact"/>
            </w:pPr>
          </w:p>
        </w:tc>
        <w:tc>
          <w:tcPr/>
          <w:p>
            <w:pPr>
              <w:pStyle w:val="Compact"/>
            </w:pPr>
          </w:p>
        </w:tc>
        <w:tc>
          <w:tcPr/>
          <w:p>
            <w:pPr>
              <w:pStyle w:val="Compact"/>
            </w:pPr>
            <w:r>
              <w:t xml:space="preserve">■</w:t>
            </w:r>
          </w:p>
        </w:tc>
        <w:tc>
          <w:tcPr/>
          <w:p>
            <w:pPr>
              <w:pStyle w:val="Compact"/>
            </w:pPr>
            <w:r>
              <w:t xml:space="preserve">■</w:t>
            </w:r>
          </w:p>
        </w:tc>
      </w:tr>
    </w:tbl>
    <w:bookmarkEnd w:id="43"/>
    <w:bookmarkStart w:id="44" w:name="소요-예산"/>
    <w:p>
      <w:pPr>
        <w:pStyle w:val="Heading2"/>
      </w:pPr>
      <w:r>
        <w:t xml:space="preserve">소요 예산</w:t>
      </w:r>
    </w:p>
    <w:p>
      <w:pPr>
        <w:pStyle w:val="FirstParagraph"/>
      </w:pPr>
      <w:r>
        <w:t xml:space="preserve">본 과제는 이차자료 기반 연구이지만, 기능성분 DB의 완결성을 높이기 위해 결측 고기여 식품의 실측보강과 품질관리 문서화가 필요하므로 순수 통계연구보다 분석비 비중이 높다. 예산은 3년 총 900백만원 규모의 개략(안)으로 제시하며, 세부 단가는 기관 내 인건비 기준과 시험분석 단가에 따라 조정 가능하다. 인건비는 식품성분 DB 구축, 복합표본 통계, 데이터 엔지니어링, 행정지원 인력을 포함하고, 재료비는 표준품·전처리 재료·시료구입비, 분석비는 외부검증·장비사용료·품질관리 시험, 회의비는 자문회의 및 정책확산 워크숍 운영비를 포함한다.</w:t>
      </w:r>
    </w:p>
    <w:p>
      <w:pPr>
        <w:pStyle w:val="BodyText"/>
      </w:pPr>
      <w:r>
        <w:t xml:space="preserve">[표 6] 소요 예산 개략(안)</w:t>
      </w:r>
      <w:r>
        <w:br/>
      </w:r>
      <w:r>
        <w:t xml:space="preserve">캡션: 3개년 총괄 예산안(단위: 백만원)</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비목</w:t>
            </w:r>
          </w:p>
        </w:tc>
        <w:tc>
          <w:tcPr/>
          <w:p>
            <w:pPr>
              <w:pStyle w:val="Compact"/>
              <w:jc w:val="right"/>
            </w:pPr>
            <w:r>
              <w:t xml:space="preserve">1차년도</w:t>
            </w:r>
          </w:p>
        </w:tc>
        <w:tc>
          <w:tcPr/>
          <w:p>
            <w:pPr>
              <w:pStyle w:val="Compact"/>
              <w:jc w:val="right"/>
            </w:pPr>
            <w:r>
              <w:t xml:space="preserve">2차년도</w:t>
            </w:r>
          </w:p>
        </w:tc>
        <w:tc>
          <w:tcPr/>
          <w:p>
            <w:pPr>
              <w:pStyle w:val="Compact"/>
              <w:jc w:val="right"/>
            </w:pPr>
            <w:r>
              <w:t xml:space="preserve">3차년도</w:t>
            </w:r>
          </w:p>
        </w:tc>
        <w:tc>
          <w:tcPr/>
          <w:p>
            <w:pPr>
              <w:pStyle w:val="Compact"/>
              <w:jc w:val="right"/>
            </w:pPr>
            <w:r>
              <w:t xml:space="preserve">합계</w:t>
            </w:r>
          </w:p>
        </w:tc>
      </w:tr>
      <w:tr>
        <w:tc>
          <w:tcPr/>
          <w:p>
            <w:pPr>
              <w:pStyle w:val="Compact"/>
            </w:pPr>
            <w:r>
              <w:t xml:space="preserve">인건비</w:t>
            </w:r>
          </w:p>
        </w:tc>
        <w:tc>
          <w:tcPr/>
          <w:p>
            <w:pPr>
              <w:pStyle w:val="Compact"/>
              <w:jc w:val="right"/>
            </w:pPr>
            <w:r>
              <w:t xml:space="preserve">160</w:t>
            </w:r>
          </w:p>
        </w:tc>
        <w:tc>
          <w:tcPr/>
          <w:p>
            <w:pPr>
              <w:pStyle w:val="Compact"/>
              <w:jc w:val="right"/>
            </w:pPr>
            <w:r>
              <w:t xml:space="preserve">175</w:t>
            </w:r>
          </w:p>
        </w:tc>
        <w:tc>
          <w:tcPr/>
          <w:p>
            <w:pPr>
              <w:pStyle w:val="Compact"/>
              <w:jc w:val="right"/>
            </w:pPr>
            <w:r>
              <w:t xml:space="preserve">175</w:t>
            </w:r>
          </w:p>
        </w:tc>
        <w:tc>
          <w:tcPr/>
          <w:p>
            <w:pPr>
              <w:pStyle w:val="Compact"/>
              <w:jc w:val="right"/>
            </w:pPr>
            <w:r>
              <w:t xml:space="preserve">510</w:t>
            </w:r>
          </w:p>
        </w:tc>
      </w:tr>
      <w:tr>
        <w:tc>
          <w:tcPr/>
          <w:p>
            <w:pPr>
              <w:pStyle w:val="Compact"/>
            </w:pPr>
            <w:r>
              <w:t xml:space="preserve">재료비</w:t>
            </w:r>
          </w:p>
        </w:tc>
        <w:tc>
          <w:tcPr/>
          <w:p>
            <w:pPr>
              <w:pStyle w:val="Compact"/>
              <w:jc w:val="right"/>
            </w:pPr>
            <w:r>
              <w:t xml:space="preserve">30</w:t>
            </w:r>
          </w:p>
        </w:tc>
        <w:tc>
          <w:tcPr/>
          <w:p>
            <w:pPr>
              <w:pStyle w:val="Compact"/>
              <w:jc w:val="right"/>
            </w:pPr>
            <w:r>
              <w:t xml:space="preserve">35</w:t>
            </w:r>
          </w:p>
        </w:tc>
        <w:tc>
          <w:tcPr/>
          <w:p>
            <w:pPr>
              <w:pStyle w:val="Compact"/>
              <w:jc w:val="right"/>
            </w:pPr>
            <w:r>
              <w:t xml:space="preserve">35</w:t>
            </w:r>
          </w:p>
        </w:tc>
        <w:tc>
          <w:tcPr/>
          <w:p>
            <w:pPr>
              <w:pStyle w:val="Compact"/>
              <w:jc w:val="right"/>
            </w:pPr>
            <w:r>
              <w:t xml:space="preserve">100</w:t>
            </w:r>
          </w:p>
        </w:tc>
      </w:tr>
      <w:tr>
        <w:tc>
          <w:tcPr/>
          <w:p>
            <w:pPr>
              <w:pStyle w:val="Compact"/>
            </w:pPr>
            <w:r>
              <w:t xml:space="preserve">분석비</w:t>
            </w:r>
          </w:p>
        </w:tc>
        <w:tc>
          <w:tcPr/>
          <w:p>
            <w:pPr>
              <w:pStyle w:val="Compact"/>
              <w:jc w:val="right"/>
            </w:pPr>
            <w:r>
              <w:t xml:space="preserve">80</w:t>
            </w:r>
          </w:p>
        </w:tc>
        <w:tc>
          <w:tcPr/>
          <w:p>
            <w:pPr>
              <w:pStyle w:val="Compact"/>
              <w:jc w:val="right"/>
            </w:pPr>
            <w:r>
              <w:t xml:space="preserve">90</w:t>
            </w:r>
          </w:p>
        </w:tc>
        <w:tc>
          <w:tcPr/>
          <w:p>
            <w:pPr>
              <w:pStyle w:val="Compact"/>
              <w:jc w:val="right"/>
            </w:pPr>
            <w:r>
              <w:t xml:space="preserve">90</w:t>
            </w:r>
          </w:p>
        </w:tc>
        <w:tc>
          <w:tcPr/>
          <w:p>
            <w:pPr>
              <w:pStyle w:val="Compact"/>
              <w:jc w:val="right"/>
            </w:pPr>
            <w:r>
              <w:t xml:space="preserve">260</w:t>
            </w:r>
          </w:p>
        </w:tc>
      </w:tr>
      <w:tr>
        <w:tc>
          <w:tcPr/>
          <w:p>
            <w:pPr>
              <w:pStyle w:val="Compact"/>
            </w:pPr>
            <w:r>
              <w:t xml:space="preserve">회의비</w:t>
            </w:r>
          </w:p>
        </w:tc>
        <w:tc>
          <w:tcPr/>
          <w:p>
            <w:pPr>
              <w:pStyle w:val="Compact"/>
              <w:jc w:val="right"/>
            </w:pPr>
            <w:r>
              <w:t xml:space="preserve">10</w:t>
            </w:r>
          </w:p>
        </w:tc>
        <w:tc>
          <w:tcPr/>
          <w:p>
            <w:pPr>
              <w:pStyle w:val="Compact"/>
              <w:jc w:val="right"/>
            </w:pPr>
            <w:r>
              <w:t xml:space="preserve">10</w:t>
            </w:r>
          </w:p>
        </w:tc>
        <w:tc>
          <w:tcPr/>
          <w:p>
            <w:pPr>
              <w:pStyle w:val="Compact"/>
              <w:jc w:val="right"/>
            </w:pPr>
            <w:r>
              <w:t xml:space="preserve">10</w:t>
            </w:r>
          </w:p>
        </w:tc>
        <w:tc>
          <w:tcPr/>
          <w:p>
            <w:pPr>
              <w:pStyle w:val="Compact"/>
              <w:jc w:val="right"/>
            </w:pPr>
            <w:r>
              <w:t xml:space="preserve">30</w:t>
            </w:r>
          </w:p>
        </w:tc>
      </w:tr>
      <w:tr>
        <w:tc>
          <w:tcPr/>
          <w:p>
            <w:pPr>
              <w:pStyle w:val="Compact"/>
            </w:pPr>
            <w:r>
              <w:t xml:space="preserve">합계</w:t>
            </w:r>
          </w:p>
        </w:tc>
        <w:tc>
          <w:tcPr/>
          <w:p>
            <w:pPr>
              <w:pStyle w:val="Compact"/>
              <w:jc w:val="right"/>
            </w:pPr>
            <w:r>
              <w:t xml:space="preserve">280</w:t>
            </w:r>
          </w:p>
        </w:tc>
        <w:tc>
          <w:tcPr/>
          <w:p>
            <w:pPr>
              <w:pStyle w:val="Compact"/>
              <w:jc w:val="right"/>
            </w:pPr>
            <w:r>
              <w:t xml:space="preserve">310</w:t>
            </w:r>
          </w:p>
        </w:tc>
        <w:tc>
          <w:tcPr/>
          <w:p>
            <w:pPr>
              <w:pStyle w:val="Compact"/>
              <w:jc w:val="right"/>
            </w:pPr>
            <w:r>
              <w:t xml:space="preserve">310</w:t>
            </w:r>
          </w:p>
        </w:tc>
        <w:tc>
          <w:tcPr/>
          <w:p>
            <w:pPr>
              <w:pStyle w:val="Compact"/>
              <w:jc w:val="right"/>
            </w:pPr>
            <w:r>
              <w:t xml:space="preserve">900</w:t>
            </w:r>
          </w:p>
        </w:tc>
      </w:tr>
    </w:tbl>
    <w:p>
      <w:pPr>
        <w:pStyle w:val="BodyText"/>
      </w:pPr>
      <w:r>
        <w:t xml:space="preserve">예산의 상대적 우선순위는 2차년도와 3차년도의 분석비에 있다. 1차년도가 설계와 정규화 중심이라면, 2차년도는 실측보강과 DB 확정, 3차년도는 질환연계와 성과확산이 중심이기 때문이다. 특히 플라보노이드의 경우 식품상태와 조리법에 따라 값의 변동 폭이 크기 때문에, 상위 기여 결측식품에 대한 목표지향형 실측보강은 DB 신뢰도 향상에 비용 대비 효과가 크다.</w:t>
      </w:r>
    </w:p>
    <w:bookmarkEnd w:id="44"/>
    <w:bookmarkStart w:id="46" w:name="기대효과-및-활용방안"/>
    <w:p>
      <w:pPr>
        <w:pStyle w:val="Heading2"/>
      </w:pPr>
      <w:r>
        <w:t xml:space="preserve">기대효과 및 활용방안</w:t>
      </w:r>
    </w:p>
    <w:p>
      <w:pPr>
        <w:pStyle w:val="FirstParagraph"/>
      </w:pPr>
      <w:r>
        <w:t xml:space="preserve">학술적으로 본 과제는 최신 KNHANES를 이용한 한국형 기능성분 섭취평가 체계를 제시함으로써, 기존의 제한된 연도·제한된 화합물·제한된 식품군 분석을 넘어서는 대표성 있는 근거를 제공한다. 이는 총 플라보노이드, 서브클래스, 주요 화합물별 한국인 노출수준을 표준화된 방식으로 제시하는 최초의 최신 갱신형 틀이라는 점에서 가치가 있다. 또한 DB 버전, 매칭 로그, coverage, uncertainty flag를 함께 제공하면 향후 SCI 논문 생산성뿐 아니라 식품성분 연구의 방법론적 재현성도 크게 높아질 것이다. 최근 영양·기능성 DB 연구는 completeness와 FAIRness를 핵심 품질지표로 제시하고 있으며, 국내에서도 KoGES 항산화 DB 확장이 이러한 방향의 유용성을 보여주었다.</w:t>
      </w:r>
      <w:r>
        <w:t xml:space="preserve"> </w:t>
      </w:r>
      <w:hyperlink r:id="rId38">
        <w:r>
          <w:rPr>
            <w:rStyle w:val="Hyperlink"/>
          </w:rPr>
          <w:t xml:space="preserve">[30]</w:t>
        </w:r>
      </w:hyperlink>
    </w:p>
    <w:p>
      <w:pPr>
        <w:pStyle w:val="BodyText"/>
      </w:pPr>
      <w:r>
        <w:t xml:space="preserve">국가표준식품성분표 개정과의 연계성도 크다. 국가표준식품성분 DB 10.0은 이미 국민건강통계와 다부처 통합영양 DB 구축에 활용되고 있으며, 본 과제가 생성하는 고기여 기능성분 값과 식품 우선순위 정보는 기능성분 항목의 단계적 표준화와 차기 개정판 반영을 위한 객관적 근거가 될 수 있다. 특히 “한국인이 실제로 많이 섭취하는데 값이 없는 식품”을 도출하는 기능은 분석 우선순위 설정에 직접 활용 가능하다.</w:t>
      </w:r>
      <w:r>
        <w:t xml:space="preserve"> </w:t>
      </w:r>
      <w:hyperlink r:id="rId32">
        <w:r>
          <w:rPr>
            <w:rStyle w:val="Hyperlink"/>
          </w:rPr>
          <w:t xml:space="preserve">[31]</w:t>
        </w:r>
      </w:hyperlink>
    </w:p>
    <w:p>
      <w:pPr>
        <w:pStyle w:val="BodyText"/>
      </w:pPr>
      <w:r>
        <w:t xml:space="preserve">정책적으로는 영양소 중심의 기존 정책 프레임에 “식생활 기반 기능성분 노출”이라는 보완 축을 추가할 수 있다. 현행 영양소 섭취기준은 학교급식, 영양표시, 식생활 교육, 국민건강영양조사 등 다양한 정책 영역에 활용되고 있고, 한국인을 위한 식생활지침 역시 KNHANES와 문헌근거를 바탕으로 작성된다. 따라서 본 과제의 결과는 즉시 새로운 기준치를 만드는 데 사용되기보다, 우선은 과일·채소·두류·차류 등 실제 식품군 중심의 건강메시지를 정교화하고, 소득·연령계층별 생리활성물질 섭취 불균형을 드러내는 정책근거로 활용될 가능성이 크다. 이는 KDRIs 개정이나 식생활 가이드라인 개선 과정에서 비영양성 식이성분에 대한 근거 범위를 넓히는 사전 근거축으로 작동할 수 있다는 연구팀의 정책적 판단이다.</w:t>
      </w:r>
      <w:r>
        <w:t xml:space="preserve"> </w:t>
      </w:r>
      <w:hyperlink r:id="rId45">
        <w:r>
          <w:rPr>
            <w:rStyle w:val="Hyperlink"/>
          </w:rPr>
          <w:t xml:space="preserve">[32]</w:t>
        </w:r>
      </w:hyperlink>
    </w:p>
    <w:p>
      <w:pPr>
        <w:pStyle w:val="BodyText"/>
      </w:pPr>
      <w:r>
        <w:t xml:space="preserve">산업적으로는 기능성식품 개발, 원료농산물의 차별화, 국산 농산물의 부가가치 제고에 활용될 수 있다. Phenol-Explorer와 eBASIS가 식품 제조업체의 healthy food design과 bioactive evidence 활용에 기여한다고 제시하는 것처럼, 한국형 DB가 구축되면 국산 대두·양파·감귤·차류·김치소재·베리류 등 고기여 식품군의 기능성 포지셔닝이 더 정밀해질 수 있다. 특히 국내 실측보강 자료가 축적되면, 기능성표시·원료개발·지역특화작목 육성에도 활용성이 높다.</w:t>
      </w:r>
      <w:r>
        <w:t xml:space="preserve"> </w:t>
      </w:r>
      <w:hyperlink r:id="rId30">
        <w:r>
          <w:rPr>
            <w:rStyle w:val="Hyperlink"/>
          </w:rPr>
          <w:t xml:space="preserve">[33]</w:t>
        </w:r>
      </w:hyperlink>
    </w:p>
    <w:p>
      <w:pPr>
        <w:pStyle w:val="BodyText"/>
      </w:pPr>
      <w:r>
        <w:t xml:space="preserve">또한 2025년부터 시작된 KNHANES-F 추적조사와의 장래 연계를 고려하면, 본 과제는 단순 횡단면 섭취평가를 넘어 향후 발생·중증화 분석으로 확장 가능한 기반사업의 성격을 가진다. 즉, 이번 과제가 “현재의 노출평가 표준화”를 담당한다면, 이후 후속연구는 “시간경과에 따른 노출-질환 연계”로 이어질 수 있다. 이 점에서 본 과제는 단년성 통계산출물이 아니라 국가 건강·영양 빅데이터의 기능성분 확장 기반으로 이해하는 것이 타당하다.</w:t>
      </w:r>
      <w:r>
        <w:t xml:space="preserve"> </w:t>
      </w:r>
      <w:hyperlink r:id="rId21">
        <w:r>
          <w:rPr>
            <w:rStyle w:val="Hyperlink"/>
          </w:rPr>
          <w:t xml:space="preserve">[34]</w:t>
        </w:r>
      </w:hyperlink>
    </w:p>
    <w:bookmarkEnd w:id="46"/>
    <w:bookmarkStart w:id="55" w:name="참고문헌-및-자체-점검"/>
    <w:p>
      <w:pPr>
        <w:pStyle w:val="Heading2"/>
      </w:pPr>
      <w:r>
        <w:t xml:space="preserve">참고문헌 및 자체 점검</w:t>
      </w:r>
    </w:p>
    <w:p>
      <w:pPr>
        <w:pStyle w:val="FirstParagraph"/>
      </w:pPr>
      <w:r>
        <w:rPr>
          <w:b/>
          <w:bCs/>
        </w:rPr>
        <w:t xml:space="preserve">참고문헌</w:t>
      </w:r>
    </w:p>
    <w:p>
      <w:pPr>
        <w:pStyle w:val="BodyText"/>
      </w:pPr>
      <w:r>
        <w:t xml:space="preserve">최근 문헌을 우선 배치하되, 기능성분 DB의 원전 성격을 갖는 기반 문헌은 필수 참고문헌으로 함께 제시한다.</w:t>
      </w:r>
    </w:p>
    <w:p>
      <w:pPr>
        <w:pStyle w:val="Compact"/>
        <w:numPr>
          <w:ilvl w:val="0"/>
          <w:numId w:val="1001"/>
        </w:numPr>
      </w:pPr>
      <w:r>
        <w:t xml:space="preserve">Park SJ 등.</w:t>
      </w:r>
      <w:r>
        <w:t xml:space="preserve"> </w:t>
      </w:r>
      <w:r>
        <w:rPr>
          <w:i/>
          <w:iCs/>
        </w:rPr>
        <w:t xml:space="preserve">Nutrition survey methods and food composition database update of the Korean Genome and Epidemiology Study</w:t>
      </w:r>
      <w:r>
        <w:t xml:space="preserve">. Epidemiology and Health. 2024.</w:t>
      </w:r>
      <w:r>
        <w:t xml:space="preserve"> </w:t>
      </w:r>
      <w:hyperlink r:id="rId31">
        <w:r>
          <w:rPr>
            <w:rStyle w:val="Hyperlink"/>
          </w:rPr>
          <w:t xml:space="preserve">[35]</w:t>
        </w:r>
      </w:hyperlink>
    </w:p>
    <w:p>
      <w:pPr>
        <w:pStyle w:val="Compact"/>
        <w:numPr>
          <w:ilvl w:val="0"/>
          <w:numId w:val="1001"/>
        </w:numPr>
      </w:pPr>
      <w:r>
        <w:t xml:space="preserve">Lee J, Kong JS, Woo HW, Kim MK.</w:t>
      </w:r>
      <w:r>
        <w:t xml:space="preserve"> </w:t>
      </w:r>
      <w:r>
        <w:rPr>
          <w:i/>
          <w:iCs/>
        </w:rPr>
        <w:t xml:space="preserve">Expansion of a food composition database for the food frequency questionnaire in the Korean Genome and Epidemiology Study: a comprehensive database of dietary antioxidants and total antioxidant capacity</w:t>
      </w:r>
      <w:r>
        <w:t xml:space="preserve">. Epidemiology and Health. 2024.</w:t>
      </w:r>
      <w:r>
        <w:t xml:space="preserve"> </w:t>
      </w:r>
      <w:hyperlink r:id="rId29">
        <w:r>
          <w:rPr>
            <w:rStyle w:val="Hyperlink"/>
          </w:rPr>
          <w:t xml:space="preserve">[36]</w:t>
        </w:r>
      </w:hyperlink>
    </w:p>
    <w:p>
      <w:pPr>
        <w:pStyle w:val="Compact"/>
        <w:numPr>
          <w:ilvl w:val="0"/>
          <w:numId w:val="1001"/>
        </w:numPr>
      </w:pPr>
      <w:r>
        <w:t xml:space="preserve">Kim YA, Kim DW, Kim KJ, Choe JS, Lee HJ.</w:t>
      </w:r>
      <w:r>
        <w:t xml:space="preserve"> </w:t>
      </w:r>
      <w:r>
        <w:rPr>
          <w:i/>
          <w:iCs/>
        </w:rPr>
        <w:t xml:space="preserve">Usual intake of dietary isoflavone and its major food sources in Koreans: Korea National Health and Nutrition Examination Survey 2016–2018 data</w:t>
      </w:r>
      <w:r>
        <w:t xml:space="preserve">. Nutrition Research and Practice. 2022.</w:t>
      </w:r>
      <w:r>
        <w:t xml:space="preserve"> </w:t>
      </w:r>
      <w:hyperlink r:id="rId40">
        <w:r>
          <w:rPr>
            <w:rStyle w:val="Hyperlink"/>
          </w:rPr>
          <w:t xml:space="preserve">[26]</w:t>
        </w:r>
      </w:hyperlink>
    </w:p>
    <w:p>
      <w:pPr>
        <w:pStyle w:val="Compact"/>
        <w:numPr>
          <w:ilvl w:val="0"/>
          <w:numId w:val="1001"/>
        </w:numPr>
      </w:pPr>
      <w:r>
        <w:t xml:space="preserve">Li Z, Forester S, Jennings-Dobbs E, Heber D.</w:t>
      </w:r>
      <w:r>
        <w:t xml:space="preserve"> </w:t>
      </w:r>
      <w:r>
        <w:rPr>
          <w:i/>
          <w:iCs/>
        </w:rPr>
        <w:t xml:space="preserve">Perspective: A Comprehensive Evaluation of Data Quality in Nutrient Databases</w:t>
      </w:r>
      <w:r>
        <w:t xml:space="preserve">. Advances in Nutrition. 2023.</w:t>
      </w:r>
      <w:r>
        <w:t xml:space="preserve"> </w:t>
      </w:r>
      <w:hyperlink r:id="rId38">
        <w:r>
          <w:rPr>
            <w:rStyle w:val="Hyperlink"/>
          </w:rPr>
          <w:t xml:space="preserve">[37]</w:t>
        </w:r>
      </w:hyperlink>
    </w:p>
    <w:p>
      <w:pPr>
        <w:pStyle w:val="Compact"/>
        <w:numPr>
          <w:ilvl w:val="0"/>
          <w:numId w:val="1001"/>
        </w:numPr>
      </w:pPr>
      <w:r>
        <w:t xml:space="preserve">Jennings A 등.</w:t>
      </w:r>
      <w:r>
        <w:t xml:space="preserve"> </w:t>
      </w:r>
      <w:r>
        <w:rPr>
          <w:i/>
          <w:iCs/>
        </w:rPr>
        <w:t xml:space="preserve">Flavonoid-Rich Foods, Dementia Risk, and Interactions With Genetic Risk, Hypertension, and Depression</w:t>
      </w:r>
      <w:r>
        <w:t xml:space="preserve">. JAMA Network Open. 2024.</w:t>
      </w:r>
      <w:r>
        <w:t xml:space="preserve"> </w:t>
      </w:r>
      <w:hyperlink r:id="rId47">
        <w:r>
          <w:rPr>
            <w:rStyle w:val="Hyperlink"/>
          </w:rPr>
          <w:t xml:space="preserve">[38]</w:t>
        </w:r>
      </w:hyperlink>
    </w:p>
    <w:p>
      <w:pPr>
        <w:pStyle w:val="Compact"/>
        <w:numPr>
          <w:ilvl w:val="0"/>
          <w:numId w:val="1001"/>
        </w:numPr>
      </w:pPr>
      <w:r>
        <w:t xml:space="preserve">Parmenter BH 등.</w:t>
      </w:r>
      <w:r>
        <w:t xml:space="preserve"> </w:t>
      </w:r>
      <w:r>
        <w:rPr>
          <w:i/>
          <w:iCs/>
        </w:rPr>
        <w:t xml:space="preserve">High diversity of dietary flavonoid intake is associated with a lower risk of all-cause mortality and major chronic diseases</w:t>
      </w:r>
      <w:r>
        <w:t xml:space="preserve">. Nature Food. 2025.</w:t>
      </w:r>
      <w:r>
        <w:t xml:space="preserve"> </w:t>
      </w:r>
      <w:hyperlink r:id="rId48">
        <w:r>
          <w:rPr>
            <w:rStyle w:val="Hyperlink"/>
          </w:rPr>
          <w:t xml:space="preserve">[39]</w:t>
        </w:r>
      </w:hyperlink>
    </w:p>
    <w:p>
      <w:pPr>
        <w:pStyle w:val="Compact"/>
        <w:numPr>
          <w:ilvl w:val="0"/>
          <w:numId w:val="1001"/>
        </w:numPr>
      </w:pPr>
      <w:r>
        <w:t xml:space="preserve">Brinkley S 등.</w:t>
      </w:r>
      <w:r>
        <w:t xml:space="preserve"> </w:t>
      </w:r>
      <w:r>
        <w:rPr>
          <w:i/>
          <w:iCs/>
        </w:rPr>
        <w:t xml:space="preserve">The state of food composition databases: data attributes, limitations, and opportunities</w:t>
      </w:r>
      <w:r>
        <w:t xml:space="preserve">. Frontiers in Nutrition. 2025.</w:t>
      </w:r>
      <w:r>
        <w:t xml:space="preserve"> </w:t>
      </w:r>
      <w:hyperlink r:id="rId49">
        <w:r>
          <w:rPr>
            <w:rStyle w:val="Hyperlink"/>
          </w:rPr>
          <w:t xml:space="preserve">[40]</w:t>
        </w:r>
      </w:hyperlink>
    </w:p>
    <w:p>
      <w:pPr>
        <w:pStyle w:val="Compact"/>
        <w:numPr>
          <w:ilvl w:val="0"/>
          <w:numId w:val="1001"/>
        </w:numPr>
      </w:pPr>
      <w:r>
        <w:t xml:space="preserve">Thompson AS 등.</w:t>
      </w:r>
      <w:r>
        <w:t xml:space="preserve"> </w:t>
      </w:r>
      <w:r>
        <w:rPr>
          <w:i/>
          <w:iCs/>
        </w:rPr>
        <w:t xml:space="preserve">Higher habitual intakes of flavonoids and flavonoid-rich foods are associated with lower risk of type 2 diabetes</w:t>
      </w:r>
      <w:r>
        <w:t xml:space="preserve">. 2024.</w:t>
      </w:r>
      <w:r>
        <w:t xml:space="preserve"> </w:t>
      </w:r>
      <w:hyperlink r:id="rId50">
        <w:r>
          <w:rPr>
            <w:rStyle w:val="Hyperlink"/>
          </w:rPr>
          <w:t xml:space="preserve">[41]</w:t>
        </w:r>
      </w:hyperlink>
    </w:p>
    <w:p>
      <w:pPr>
        <w:pStyle w:val="Compact"/>
        <w:numPr>
          <w:ilvl w:val="0"/>
          <w:numId w:val="1001"/>
        </w:numPr>
      </w:pPr>
      <w:r>
        <w:t xml:space="preserve">Kweon S 등.</w:t>
      </w:r>
      <w:r>
        <w:t xml:space="preserve"> </w:t>
      </w:r>
      <w:r>
        <w:rPr>
          <w:i/>
          <w:iCs/>
        </w:rPr>
        <w:t xml:space="preserve">Data Resource Profile: The Korea National Health and Nutrition Examination Survey</w:t>
      </w:r>
      <w:r>
        <w:t xml:space="preserve">. 2021.</w:t>
      </w:r>
      <w:r>
        <w:t xml:space="preserve"> </w:t>
      </w:r>
      <w:hyperlink r:id="rId25">
        <w:r>
          <w:rPr>
            <w:rStyle w:val="Hyperlink"/>
          </w:rPr>
          <w:t xml:space="preserve">[42]</w:t>
        </w:r>
      </w:hyperlink>
    </w:p>
    <w:p>
      <w:pPr>
        <w:pStyle w:val="Compact"/>
        <w:numPr>
          <w:ilvl w:val="0"/>
          <w:numId w:val="1001"/>
        </w:numPr>
      </w:pPr>
      <w:r>
        <w:t xml:space="preserve">Neveu V 등.</w:t>
      </w:r>
      <w:r>
        <w:t xml:space="preserve"> </w:t>
      </w:r>
      <w:r>
        <w:rPr>
          <w:i/>
          <w:iCs/>
        </w:rPr>
        <w:t xml:space="preserve">Phenol-Explorer: an online comprehensive database on polyphenol contents in foods</w:t>
      </w:r>
      <w:r>
        <w:t xml:space="preserve">. Database (Oxford). 2010.</w:t>
      </w:r>
      <w:r>
        <w:t xml:space="preserve"> </w:t>
      </w:r>
      <w:hyperlink r:id="rId30">
        <w:r>
          <w:rPr>
            <w:rStyle w:val="Hyperlink"/>
          </w:rPr>
          <w:t xml:space="preserve">[43]</w:t>
        </w:r>
      </w:hyperlink>
    </w:p>
    <w:p>
      <w:pPr>
        <w:pStyle w:val="Compact"/>
        <w:numPr>
          <w:ilvl w:val="0"/>
          <w:numId w:val="1001"/>
        </w:numPr>
      </w:pPr>
      <w:r>
        <w:t xml:space="preserve">Rothwell JA 등.</w:t>
      </w:r>
      <w:r>
        <w:t xml:space="preserve"> </w:t>
      </w:r>
      <w:r>
        <w:rPr>
          <w:i/>
          <w:iCs/>
        </w:rPr>
        <w:t xml:space="preserve">Phenol-Explorer 3.0: a major update of the Phenol-Explorer database to incorporate data on the effects of food processing on polyphenol content</w:t>
      </w:r>
      <w:r>
        <w:t xml:space="preserve">. Database (Oxford). 2013.</w:t>
      </w:r>
      <w:r>
        <w:t xml:space="preserve"> </w:t>
      </w:r>
      <w:hyperlink r:id="rId51">
        <w:r>
          <w:rPr>
            <w:rStyle w:val="Hyperlink"/>
          </w:rPr>
          <w:t xml:space="preserve">[44]</w:t>
        </w:r>
      </w:hyperlink>
    </w:p>
    <w:p>
      <w:pPr>
        <w:pStyle w:val="Compact"/>
        <w:numPr>
          <w:ilvl w:val="0"/>
          <w:numId w:val="1001"/>
        </w:numPr>
      </w:pPr>
      <w:r>
        <w:t xml:space="preserve">Plumb J 등.</w:t>
      </w:r>
      <w:r>
        <w:t xml:space="preserve"> </w:t>
      </w:r>
      <w:r>
        <w:rPr>
          <w:i/>
          <w:iCs/>
        </w:rPr>
        <w:t xml:space="preserve">eBASIS (Bioactive Substances in Food Information Systems) and bioactive intakes</w:t>
      </w:r>
      <w:r>
        <w:t xml:space="preserve">. 2017.</w:t>
      </w:r>
      <w:r>
        <w:t xml:space="preserve"> </w:t>
      </w:r>
      <w:hyperlink r:id="rId52">
        <w:r>
          <w:rPr>
            <w:rStyle w:val="Hyperlink"/>
          </w:rPr>
          <w:t xml:space="preserve">[45]</w:t>
        </w:r>
      </w:hyperlink>
    </w:p>
    <w:p>
      <w:pPr>
        <w:pStyle w:val="Compact"/>
        <w:numPr>
          <w:ilvl w:val="0"/>
          <w:numId w:val="1001"/>
        </w:numPr>
      </w:pPr>
      <w:r>
        <w:t xml:space="preserve">Jun S 등.</w:t>
      </w:r>
      <w:r>
        <w:t xml:space="preserve"> </w:t>
      </w:r>
      <w:r>
        <w:rPr>
          <w:i/>
          <w:iCs/>
        </w:rPr>
        <w:t xml:space="preserve">Estimation of dietary flavonoid intake and major food sources of Korean adults</w:t>
      </w:r>
      <w:r>
        <w:t xml:space="preserve">. British Journal of Nutrition. 2016.</w:t>
      </w:r>
      <w:r>
        <w:t xml:space="preserve"> </w:t>
      </w:r>
      <w:hyperlink r:id="rId53">
        <w:r>
          <w:rPr>
            <w:rStyle w:val="Hyperlink"/>
          </w:rPr>
          <w:t xml:space="preserve">[46]</w:t>
        </w:r>
      </w:hyperlink>
    </w:p>
    <w:p>
      <w:pPr>
        <w:pStyle w:val="Compact"/>
        <w:numPr>
          <w:ilvl w:val="0"/>
          <w:numId w:val="1001"/>
        </w:numPr>
      </w:pPr>
      <w:r>
        <w:t xml:space="preserve">Kim YJ 등.</w:t>
      </w:r>
      <w:r>
        <w:t xml:space="preserve"> </w:t>
      </w:r>
      <w:r>
        <w:rPr>
          <w:i/>
          <w:iCs/>
        </w:rPr>
        <w:t xml:space="preserve">Intake and major sources of dietary flavonoid in Korean adults</w:t>
      </w:r>
      <w:r>
        <w:t xml:space="preserve">. Asia Pacific Journal of Clinical Nutrition. 2015.</w:t>
      </w:r>
      <w:r>
        <w:t xml:space="preserve"> </w:t>
      </w:r>
      <w:hyperlink r:id="rId54">
        <w:r>
          <w:rPr>
            <w:rStyle w:val="Hyperlink"/>
          </w:rPr>
          <w:t xml:space="preserve">[47]</w:t>
        </w:r>
      </w:hyperlink>
    </w:p>
    <w:p>
      <w:pPr>
        <w:pStyle w:val="Compact"/>
        <w:numPr>
          <w:ilvl w:val="0"/>
          <w:numId w:val="1001"/>
        </w:numPr>
      </w:pPr>
      <w:r>
        <w:t xml:space="preserve">Yang YK 등.</w:t>
      </w:r>
      <w:r>
        <w:t xml:space="preserve"> </w:t>
      </w:r>
      <w:r>
        <w:rPr>
          <w:i/>
          <w:iCs/>
        </w:rPr>
        <w:t xml:space="preserve">Development of flavonoid database for commonly consumed foods by Koreans</w:t>
      </w:r>
      <w:r>
        <w:t xml:space="preserve">. 2012.</w:t>
      </w:r>
      <w:r>
        <w:t xml:space="preserve"> </w:t>
      </w:r>
      <w:hyperlink r:id="rId33">
        <w:r>
          <w:rPr>
            <w:rStyle w:val="Hyperlink"/>
          </w:rPr>
          <w:t xml:space="preserve">[48]</w:t>
        </w:r>
      </w:hyperlink>
    </w:p>
    <w:p>
      <w:pPr>
        <w:pStyle w:val="FirstParagraph"/>
      </w:pPr>
      <w:r>
        <w:rPr>
          <w:b/>
          <w:bCs/>
        </w:rPr>
        <w:t xml:space="preserve">공식 자료원</w:t>
      </w:r>
    </w:p>
    <w:p>
      <w:pPr>
        <w:pStyle w:val="Compact"/>
        <w:numPr>
          <w:ilvl w:val="0"/>
          <w:numId w:val="1002"/>
        </w:numPr>
      </w:pPr>
      <w:r>
        <w:t xml:space="preserve">국민건강영양조사 2023년 결과 발표 및 개요 자료.</w:t>
      </w:r>
      <w:r>
        <w:t xml:space="preserve"> </w:t>
      </w:r>
      <w:hyperlink r:id="rId26">
        <w:r>
          <w:rPr>
            <w:rStyle w:val="Hyperlink"/>
          </w:rPr>
          <w:t xml:space="preserve">[49]</w:t>
        </w:r>
      </w:hyperlink>
    </w:p>
    <w:p>
      <w:pPr>
        <w:pStyle w:val="Compact"/>
        <w:numPr>
          <w:ilvl w:val="0"/>
          <w:numId w:val="1002"/>
        </w:numPr>
      </w:pPr>
      <w:r>
        <w:t xml:space="preserve">국민건강영양조사 2024년 원시자료 공개 보도자료.</w:t>
      </w:r>
      <w:r>
        <w:t xml:space="preserve"> </w:t>
      </w:r>
      <w:hyperlink r:id="rId23">
        <w:r>
          <w:rPr>
            <w:rStyle w:val="Hyperlink"/>
          </w:rPr>
          <w:t xml:space="preserve">[50]</w:t>
        </w:r>
      </w:hyperlink>
    </w:p>
    <w:p>
      <w:pPr>
        <w:pStyle w:val="Compact"/>
        <w:numPr>
          <w:ilvl w:val="0"/>
          <w:numId w:val="1002"/>
        </w:numPr>
      </w:pPr>
      <w:r>
        <w:t xml:space="preserve">국민영양통계 2022·2023 개요 및 분석방법.</w:t>
      </w:r>
      <w:r>
        <w:t xml:space="preserve"> </w:t>
      </w:r>
      <w:hyperlink r:id="rId36">
        <w:r>
          <w:rPr>
            <w:rStyle w:val="Hyperlink"/>
          </w:rPr>
          <w:t xml:space="preserve">[51]</w:t>
        </w:r>
      </w:hyperlink>
    </w:p>
    <w:p>
      <w:pPr>
        <w:pStyle w:val="Compact"/>
        <w:numPr>
          <w:ilvl w:val="0"/>
          <w:numId w:val="1002"/>
        </w:numPr>
      </w:pPr>
      <w:r>
        <w:t xml:space="preserve">국가표준식품성분 DB 10.0 공개 자료와 농식품올바로 기능성분 자원 현황.</w:t>
      </w:r>
      <w:r>
        <w:t xml:space="preserve"> </w:t>
      </w:r>
      <w:hyperlink r:id="rId32">
        <w:r>
          <w:rPr>
            <w:rStyle w:val="Hyperlink"/>
          </w:rPr>
          <w:t xml:space="preserve">[31]</w:t>
        </w:r>
      </w:hyperlink>
    </w:p>
    <w:p>
      <w:pPr>
        <w:pStyle w:val="Compact"/>
        <w:numPr>
          <w:ilvl w:val="0"/>
          <w:numId w:val="1002"/>
        </w:numPr>
      </w:pPr>
      <w:r>
        <w:t xml:space="preserve">영양소 섭취기준 개정 및 식생활지침 관련 보건복지부 자료.</w:t>
      </w:r>
      <w:r>
        <w:t xml:space="preserve"> </w:t>
      </w:r>
      <w:hyperlink r:id="rId45">
        <w:r>
          <w:rPr>
            <w:rStyle w:val="Hyperlink"/>
          </w:rPr>
          <w:t xml:space="preserve">[32]</w:t>
        </w:r>
      </w:hyperlink>
    </w:p>
    <w:p>
      <w:pPr>
        <w:pStyle w:val="Compact"/>
        <w:numPr>
          <w:ilvl w:val="0"/>
          <w:numId w:val="1002"/>
        </w:numPr>
      </w:pPr>
      <w:r>
        <w:t xml:space="preserve">FAO/INFOODS Guidelines for Food Matching.</w:t>
      </w:r>
      <w:r>
        <w:t xml:space="preserve"> </w:t>
      </w:r>
      <w:hyperlink r:id="rId37">
        <w:r>
          <w:rPr>
            <w:rStyle w:val="Hyperlink"/>
          </w:rPr>
          <w:t xml:space="preserve">[52]</w:t>
        </w:r>
      </w:hyperlink>
    </w:p>
    <w:p>
      <w:pPr>
        <w:pStyle w:val="FirstParagraph"/>
      </w:pPr>
      <w:r>
        <w:rPr>
          <w:b/>
          <w:bCs/>
        </w:rPr>
        <w:t xml:space="preserve">자체 점검 및 보완점</w:t>
      </w:r>
    </w:p>
    <w:p>
      <w:pPr>
        <w:pStyle w:val="BodyText"/>
      </w:pPr>
      <w:r>
        <w:t xml:space="preserve">[표 7] 연구계획 자체 점검</w:t>
      </w:r>
      <w:r>
        <w:br/>
      </w:r>
      <w:r>
        <w:t xml:space="preserve">캡션: 재현가능성, 국제 호환성, 정책 활용성 관점의 보완 과제</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점검 영역</w:t>
            </w:r>
          </w:p>
        </w:tc>
        <w:tc>
          <w:tcPr/>
          <w:p>
            <w:pPr>
              <w:pStyle w:val="Compact"/>
            </w:pPr>
            <w:r>
              <w:t xml:space="preserve">현재 계획의 강점</w:t>
            </w:r>
          </w:p>
        </w:tc>
        <w:tc>
          <w:tcPr/>
          <w:p>
            <w:pPr>
              <w:pStyle w:val="Compact"/>
            </w:pPr>
            <w:r>
              <w:t xml:space="preserve">보완 필요점</w:t>
            </w:r>
          </w:p>
        </w:tc>
        <w:tc>
          <w:tcPr/>
          <w:p>
            <w:pPr>
              <w:pStyle w:val="Compact"/>
            </w:pPr>
            <w:r>
              <w:t xml:space="preserve">보완 방안</w:t>
            </w:r>
          </w:p>
        </w:tc>
      </w:tr>
      <w:tr>
        <w:tc>
          <w:tcPr/>
          <w:p>
            <w:pPr>
              <w:pStyle w:val="Compact"/>
            </w:pPr>
            <w:r>
              <w:t xml:space="preserve">재현가능성</w:t>
            </w:r>
          </w:p>
        </w:tc>
        <w:tc>
          <w:tcPr/>
          <w:p>
            <w:pPr>
              <w:pStyle w:val="Compact"/>
            </w:pPr>
            <w:r>
              <w:t xml:space="preserve">매칭 알고리즘, imputation 계층, source DB 우선순위를 명시하였음</w:t>
            </w:r>
          </w:p>
        </w:tc>
        <w:tc>
          <w:tcPr/>
          <w:p>
            <w:pPr>
              <w:pStyle w:val="Compact"/>
            </w:pPr>
            <w:r>
              <w:t xml:space="preserve">연구자가 바뀌면 동일 결과 재현이 어렵지 않도록 코드·로그 수준 문서화가 더 필요함</w:t>
            </w:r>
          </w:p>
        </w:tc>
        <w:tc>
          <w:tcPr/>
          <w:p>
            <w:pPr>
              <w:pStyle w:val="Compact"/>
            </w:pPr>
            <w:r>
              <w:t xml:space="preserve">데이터 전처리–매칭–통계분석 전 과정을 스크립트화하고, DB 버전 번호·변경이력·매칭 사유코드·품질플래그를 별도 저장한다. 논문 부록에는 최소한 식품코드 매칭 규칙과 confidence score 정의를 공개한다.</w:t>
            </w:r>
          </w:p>
        </w:tc>
      </w:tr>
      <w:tr>
        <w:tc>
          <w:tcPr/>
          <w:p>
            <w:pPr>
              <w:pStyle w:val="Compact"/>
            </w:pPr>
            <w:r>
              <w:t xml:space="preserve">국제 DB 호환성·비교가능성</w:t>
            </w:r>
          </w:p>
        </w:tc>
        <w:tc>
          <w:tcPr/>
          <w:p>
            <w:pPr>
              <w:pStyle w:val="Compact"/>
            </w:pPr>
            <w:r>
              <w:t xml:space="preserve">USDA, Phenol-Explorer, eBASIS, INFOODS를 동시에 준용하도록 설계하였음</w:t>
            </w:r>
          </w:p>
        </w:tc>
        <w:tc>
          <w:tcPr/>
          <w:p>
            <w:pPr>
              <w:pStyle w:val="Compact"/>
            </w:pPr>
            <w:r>
              <w:t xml:space="preserve">aglycone/actual form, 식품상태, 품종·조리법 메타데이터가 불완전하면 국제비교가 왜곡될 수 있음</w:t>
            </w:r>
          </w:p>
        </w:tc>
        <w:tc>
          <w:tcPr/>
          <w:p>
            <w:pPr>
              <w:pStyle w:val="Compact"/>
            </w:pPr>
            <w:r>
              <w:t xml:space="preserve">화합물 표기는 aglycone equivalent를 기본 출력값으로 통일하고, 원 DB의 화합물 형태를 별도 필드로 보존한다. 식품명은 국문 표준명–영문명–학명–국제 DB ID를 병기하고, 조리상태/수분보정/retention factor를 개별 변수로 저장한다.</w:t>
            </w:r>
          </w:p>
        </w:tc>
      </w:tr>
      <w:tr>
        <w:tc>
          <w:tcPr/>
          <w:p>
            <w:pPr>
              <w:pStyle w:val="Compact"/>
            </w:pPr>
            <w:r>
              <w:t xml:space="preserve">정책 수요자 활용도</w:t>
            </w:r>
          </w:p>
        </w:tc>
        <w:tc>
          <w:tcPr/>
          <w:p>
            <w:pPr>
              <w:pStyle w:val="Compact"/>
            </w:pPr>
            <w:r>
              <w:t xml:space="preserve">섭취량 통계, 급원식품, 질환연관 결과까지 제시하도록 설계함</w:t>
            </w:r>
          </w:p>
        </w:tc>
        <w:tc>
          <w:tcPr/>
          <w:p>
            <w:pPr>
              <w:pStyle w:val="Compact"/>
            </w:pPr>
            <w:r>
              <w:t xml:space="preserve">정책 담당자는 화합물명보다 “어떤 식품군을 누구에게 어떻게 관리할 것인가”에 더 관심이 큼</w:t>
            </w:r>
          </w:p>
        </w:tc>
        <w:tc>
          <w:tcPr/>
          <w:p>
            <w:pPr>
              <w:pStyle w:val="Compact"/>
            </w:pPr>
            <w:r>
              <w:t xml:space="preserve">결과표를 ‘총량’ 중심이 아니라 연령·소득·식품군별 정책표로 재가공한다. 예를 들어 청년층·저소득층·고령층별 저섭취군 분포, 10대 기여 식품군, 식품섭취빈도 기반 개선 시나리오를 별도 브리프로 생성한다.</w:t>
            </w:r>
          </w:p>
        </w:tc>
      </w:tr>
      <w:tr>
        <w:tc>
          <w:tcPr/>
          <w:p>
            <w:pPr>
              <w:pStyle w:val="Compact"/>
            </w:pPr>
            <w:r>
              <w:t xml:space="preserve">정책 지속가능성</w:t>
            </w:r>
          </w:p>
        </w:tc>
        <w:tc>
          <w:tcPr/>
          <w:p>
            <w:pPr>
              <w:pStyle w:val="Compact"/>
            </w:pPr>
            <w:r>
              <w:t xml:space="preserve">KNHANES-F 연계를 고려한 확장 구조를 제안함</w:t>
            </w:r>
          </w:p>
        </w:tc>
        <w:tc>
          <w:tcPr/>
          <w:p>
            <w:pPr>
              <w:pStyle w:val="Compact"/>
            </w:pPr>
            <w:r>
              <w:t xml:space="preserve">현 단계는 횡단면 분석 중심이어서 인과해석과 추적평가가 제한됨</w:t>
            </w:r>
          </w:p>
        </w:tc>
        <w:tc>
          <w:tcPr/>
          <w:p>
            <w:pPr>
              <w:pStyle w:val="Compact"/>
            </w:pPr>
            <w:r>
              <w:t xml:space="preserve">과제 종료 시점에 KNHANES-F 또는 타 건강자료 연계를 위한 후속 RFP 초안을 함께 제안하고, 본 과제 DB 구조를 longitudinal linkage-friendly schema로 설계한다.</w:t>
            </w:r>
          </w:p>
        </w:tc>
      </w:tr>
      <w:tr>
        <w:tc>
          <w:tcPr/>
          <w:p>
            <w:pPr>
              <w:pStyle w:val="Compact"/>
            </w:pPr>
            <w:r>
              <w:t xml:space="preserve">데이터 품질관리</w:t>
            </w:r>
          </w:p>
        </w:tc>
        <w:tc>
          <w:tcPr/>
          <w:p>
            <w:pPr>
              <w:pStyle w:val="Compact"/>
            </w:pPr>
            <w:r>
              <w:t xml:space="preserve">coverage와 logical zero, 실측보강을 함께 고려함</w:t>
            </w:r>
          </w:p>
        </w:tc>
        <w:tc>
          <w:tcPr/>
          <w:p>
            <w:pPr>
              <w:pStyle w:val="Compact"/>
            </w:pPr>
            <w:r>
              <w:t xml:space="preserve">coverage만 높이고 직접분석 비율이 낮으면 정책 신뢰성이 떨어질 수 있음</w:t>
            </w:r>
          </w:p>
        </w:tc>
        <w:tc>
          <w:tcPr/>
          <w:p>
            <w:pPr>
              <w:pStyle w:val="Compact"/>
            </w:pPr>
            <w:r>
              <w:t xml:space="preserve">food-level coverage, intake-weighted coverage, direct-analytic share를 동시에 보고하고, 상위 기여식품의 직접분석 비율을 연차별 KPI로 관리한다.</w:t>
            </w:r>
          </w:p>
        </w:tc>
      </w:tr>
    </w:tbl>
    <w:p>
      <w:pPr>
        <w:pStyle w:val="BodyText"/>
      </w:pPr>
      <w:r>
        <w:t xml:space="preserve">종합하면, 본 계획서는 최신 KNHANES 자료의 활용성, 국내 공공 식품성분 자원의 대표성, 국제 bioactive DB의 호환성을 묶어 한국형 기능성분 섭취평가의 표준체계를 제시한다는 점에서 타당성이 높다. 다만 최종 성과의 수준은 “얼마나 투명하게 매칭하고, 얼마나 정확하게 결측을 다루며, 얼마나 정책수요자가 바로 쓸 수 있는 형태로 결과를 번역하느냐”에 달려 있으므로, 1차년도부터 코드 공개 수준의 문서화와 정책표 산출 포맷을 동시에 설계하는 것이 가장 중요한 보완 포인트다.</w:t>
      </w:r>
    </w:p>
    <w:bookmarkEnd w:id="55"/>
    <w:bookmarkEnd w:id="56"/>
    <w:bookmarkEnd w:id="57"/>
    <w:p>
      <w:r>
        <w:pict>
          <v:rect style="width:0;height:1.5pt" o:hralign="center" o:hrstd="t" o:hr="t"/>
        </w:pict>
      </w:r>
    </w:p>
    <w:bookmarkStart w:id="58" w:name="citations"/>
    <w:p>
      <w:pPr>
        <w:pStyle w:val="FirstParagraph"/>
      </w:pPr>
      <w:hyperlink r:id="rId21">
        <w:r>
          <w:rPr>
            <w:rStyle w:val="Hyperlink"/>
          </w:rPr>
          <w:t xml:space="preserve">[1]</w:t>
        </w:r>
      </w:hyperlink>
      <w:r>
        <w:t xml:space="preserve"> </w:t>
      </w:r>
      <w:hyperlink r:id="rId21">
        <w:r>
          <w:rPr>
            <w:rStyle w:val="Hyperlink"/>
          </w:rPr>
          <w:t xml:space="preserve">[34]</w:t>
        </w:r>
      </w:hyperlink>
      <w:r>
        <w:t xml:space="preserve"> </w:t>
      </w:r>
      <w:r>
        <w:t xml:space="preserve">https://www.kdca.go.kr/kdca/3367/subview.do</w:t>
      </w:r>
    </w:p>
    <w:p>
      <w:pPr>
        <w:pStyle w:val="BodyText"/>
      </w:pPr>
      <w:hyperlink r:id="rId21">
        <w:r>
          <w:rPr>
            <w:rStyle w:val="Hyperlink"/>
          </w:rPr>
          <w:t xml:space="preserve">https://www.kdca.go.kr/kdca/3367/subview.do</w:t>
        </w:r>
      </w:hyperlink>
    </w:p>
    <w:p>
      <w:pPr>
        <w:pStyle w:val="BodyText"/>
      </w:pPr>
      <w:hyperlink r:id="rId22">
        <w:r>
          <w:rPr>
            <w:rStyle w:val="Hyperlink"/>
          </w:rPr>
          <w:t xml:space="preserve">[2]</w:t>
        </w:r>
      </w:hyperlink>
      <w:r>
        <w:t xml:space="preserve"> </w:t>
      </w:r>
      <w:hyperlink r:id="rId22">
        <w:r>
          <w:rPr>
            <w:rStyle w:val="Hyperlink"/>
          </w:rPr>
          <w:t xml:space="preserve">[18]</w:t>
        </w:r>
      </w:hyperlink>
      <w:r>
        <w:t xml:space="preserve"> </w:t>
      </w:r>
      <w:hyperlink r:id="rId22">
        <w:r>
          <w:rPr>
            <w:rStyle w:val="Hyperlink"/>
          </w:rPr>
          <w:t xml:space="preserve">[19]</w:t>
        </w:r>
      </w:hyperlink>
      <w:r>
        <w:t xml:space="preserve"> </w:t>
      </w:r>
      <w:hyperlink r:id="rId22">
        <w:r>
          <w:rPr>
            <w:rStyle w:val="Hyperlink"/>
          </w:rPr>
          <w:t xml:space="preserve">[25]</w:t>
        </w:r>
      </w:hyperlink>
      <w:r>
        <w:t xml:space="preserve"> </w:t>
      </w:r>
      <w:r>
        <w:t xml:space="preserve">https://www.ncbi.nlm.nih.gov/books/NBK603802/</w:t>
      </w:r>
    </w:p>
    <w:p>
      <w:pPr>
        <w:pStyle w:val="BodyText"/>
      </w:pPr>
      <w:hyperlink r:id="rId22">
        <w:r>
          <w:rPr>
            <w:rStyle w:val="Hyperlink"/>
          </w:rPr>
          <w:t xml:space="preserve">https://www.ncbi.nlm.nih.gov/books/NBK603802/</w:t>
        </w:r>
      </w:hyperlink>
    </w:p>
    <w:p>
      <w:pPr>
        <w:pStyle w:val="BodyText"/>
      </w:pPr>
      <w:hyperlink r:id="rId23">
        <w:r>
          <w:rPr>
            <w:rStyle w:val="Hyperlink"/>
          </w:rPr>
          <w:t xml:space="preserve">[3]</w:t>
        </w:r>
      </w:hyperlink>
      <w:r>
        <w:t xml:space="preserve"> </w:t>
      </w:r>
      <w:hyperlink r:id="rId23">
        <w:r>
          <w:rPr>
            <w:rStyle w:val="Hyperlink"/>
          </w:rPr>
          <w:t xml:space="preserve">[15]</w:t>
        </w:r>
      </w:hyperlink>
      <w:r>
        <w:t xml:space="preserve"> </w:t>
      </w:r>
      <w:hyperlink r:id="rId23">
        <w:r>
          <w:rPr>
            <w:rStyle w:val="Hyperlink"/>
          </w:rPr>
          <w:t xml:space="preserve">[17]</w:t>
        </w:r>
      </w:hyperlink>
      <w:r>
        <w:t xml:space="preserve"> </w:t>
      </w:r>
      <w:hyperlink r:id="rId23">
        <w:r>
          <w:rPr>
            <w:rStyle w:val="Hyperlink"/>
          </w:rPr>
          <w:t xml:space="preserve">[50]</w:t>
        </w:r>
      </w:hyperlink>
      <w:r>
        <w:t xml:space="preserve"> </w:t>
      </w:r>
      <w:r>
        <w:t xml:space="preserve">https://www.kdca.go.kr/kdca/2847/subview.do?enc=Zm5jdDF8QEB8JTJGYmJzJTJGa2RjYSUyRjQxJTJGMzA5NTMxJTJGYXJ0Y2xWaWV3LmRvJTNGcGFzc3dvcmQlM0QlMjZyZ3NCZ25kZVN0ciUzRCUyNmZpbmRPcG53cmQlM0QlMjZmaW5kV29yZCUzRCUyNnJnc0VuZGRlU3RyJTNEJTI2ZmluZFR5cGUlM0QlMjZmaW5kQ2xTZXElM0QlMjZwYWdlJTNEMSUyNg%3D%3D</w:t>
      </w:r>
    </w:p>
    <w:p>
      <w:pPr>
        <w:pStyle w:val="BodyText"/>
      </w:pPr>
      <w:hyperlink r:id="rId23">
        <w:r>
          <w:rPr>
            <w:rStyle w:val="Hyperlink"/>
          </w:rPr>
          <w:t xml:space="preserve">https://www.kdca.go.kr/kdca/2847/subview.do?enc=Zm5jdDF8QEB8JTJGYmJzJTJGa2RjYSUyRjQxJTJGMzA5NTMxJTJGYXJ0Y2xWaWV3LmRvJTNGcGFzc3dvcmQlM0QlMjZyZ3NCZ25kZVN0ciUzRCUyNmZpbmRPcG53cmQlM0QlMjZmaW5kV29yZCUzRCUyNnJnc0VuZGRlU3RyJTNEJTI2ZmluZFR5cGUlM0QlMjZmaW5kQ2xTZXElM0QlMjZwYWdlJTNEMSUyNg%3D%3D</w:t>
        </w:r>
      </w:hyperlink>
    </w:p>
    <w:p>
      <w:pPr>
        <w:pStyle w:val="BodyText"/>
      </w:pPr>
      <w:hyperlink r:id="rId25">
        <w:r>
          <w:rPr>
            <w:rStyle w:val="Hyperlink"/>
          </w:rPr>
          <w:t xml:space="preserve">[4]</w:t>
        </w:r>
      </w:hyperlink>
      <w:r>
        <w:t xml:space="preserve"> </w:t>
      </w:r>
      <w:hyperlink r:id="rId25">
        <w:r>
          <w:rPr>
            <w:rStyle w:val="Hyperlink"/>
          </w:rPr>
          <w:t xml:space="preserve">[42]</w:t>
        </w:r>
      </w:hyperlink>
      <w:r>
        <w:t xml:space="preserve"> </w:t>
      </w:r>
      <w:r>
        <w:t xml:space="preserve">https://stacks.cdc.gov/view/cdc/27858</w:t>
      </w:r>
    </w:p>
    <w:p>
      <w:pPr>
        <w:pStyle w:val="BodyText"/>
      </w:pPr>
      <w:hyperlink r:id="rId25">
        <w:r>
          <w:rPr>
            <w:rStyle w:val="Hyperlink"/>
          </w:rPr>
          <w:t xml:space="preserve">https://stacks.cdc.gov/view/cdc/27858</w:t>
        </w:r>
      </w:hyperlink>
    </w:p>
    <w:p>
      <w:pPr>
        <w:pStyle w:val="BodyText"/>
      </w:pPr>
      <w:hyperlink r:id="rId26">
        <w:r>
          <w:rPr>
            <w:rStyle w:val="Hyperlink"/>
          </w:rPr>
          <w:t xml:space="preserve">[5]</w:t>
        </w:r>
      </w:hyperlink>
      <w:r>
        <w:t xml:space="preserve"> </w:t>
      </w:r>
      <w:hyperlink r:id="rId26">
        <w:r>
          <w:rPr>
            <w:rStyle w:val="Hyperlink"/>
          </w:rPr>
          <w:t xml:space="preserve">[27]</w:t>
        </w:r>
      </w:hyperlink>
      <w:r>
        <w:t xml:space="preserve"> </w:t>
      </w:r>
      <w:hyperlink r:id="rId26">
        <w:r>
          <w:rPr>
            <w:rStyle w:val="Hyperlink"/>
          </w:rPr>
          <w:t xml:space="preserve">[49]</w:t>
        </w:r>
      </w:hyperlink>
      <w:r>
        <w:t xml:space="preserve"> </w:t>
      </w:r>
      <w:r>
        <w:t xml:space="preserve">https://www.kdca.go.kr/bbs/eng/189/225905/download.do</w:t>
      </w:r>
    </w:p>
    <w:p>
      <w:pPr>
        <w:pStyle w:val="BodyText"/>
      </w:pPr>
      <w:hyperlink r:id="rId26">
        <w:r>
          <w:rPr>
            <w:rStyle w:val="Hyperlink"/>
          </w:rPr>
          <w:t xml:space="preserve">https://www.kdca.go.kr/bbs/eng/189/225905/download.do</w:t>
        </w:r>
      </w:hyperlink>
    </w:p>
    <w:p>
      <w:pPr>
        <w:pStyle w:val="BodyText"/>
      </w:pPr>
      <w:hyperlink r:id="rId27">
        <w:r>
          <w:rPr>
            <w:rStyle w:val="Hyperlink"/>
          </w:rPr>
          <w:t xml:space="preserve">[6]</w:t>
        </w:r>
      </w:hyperlink>
      <w:r>
        <w:t xml:space="preserve"> </w:t>
      </w:r>
      <w:hyperlink r:id="rId27">
        <w:r>
          <w:rPr>
            <w:rStyle w:val="Hyperlink"/>
          </w:rPr>
          <w:t xml:space="preserve">[28]</w:t>
        </w:r>
      </w:hyperlink>
      <w:r>
        <w:t xml:space="preserve"> </w:t>
      </w:r>
      <w:r>
        <w:t xml:space="preserve">https://www.jkms.org/DOIx.php?id=10.3346%2Fjkms.2025.40.e189</w:t>
      </w:r>
    </w:p>
    <w:p>
      <w:pPr>
        <w:pStyle w:val="BodyText"/>
      </w:pPr>
      <w:hyperlink r:id="rId27">
        <w:r>
          <w:rPr>
            <w:rStyle w:val="Hyperlink"/>
          </w:rPr>
          <w:t xml:space="preserve">https://www.jkms.org/DOIx.php?id=10.3346%2Fjkms.2025.40.e189</w:t>
        </w:r>
      </w:hyperlink>
    </w:p>
    <w:p>
      <w:pPr>
        <w:pStyle w:val="BodyText"/>
      </w:pPr>
      <w:hyperlink r:id="rId28">
        <w:r>
          <w:rPr>
            <w:rStyle w:val="Hyperlink"/>
          </w:rPr>
          <w:t xml:space="preserve">[7]</w:t>
        </w:r>
      </w:hyperlink>
      <w:r>
        <w:t xml:space="preserve"> </w:t>
      </w:r>
      <w:hyperlink r:id="rId28">
        <w:r>
          <w:rPr>
            <w:rStyle w:val="Hyperlink"/>
          </w:rPr>
          <w:t xml:space="preserve">[16]</w:t>
        </w:r>
      </w:hyperlink>
      <w:r>
        <w:t xml:space="preserve"> </w:t>
      </w:r>
      <w:r>
        <w:t xml:space="preserve">https://www.ars.usda.gov/ARSUserFiles/80400535/Data/Flav/Flav3.3.pdf</w:t>
      </w:r>
    </w:p>
    <w:p>
      <w:pPr>
        <w:pStyle w:val="BodyText"/>
      </w:pPr>
      <w:hyperlink r:id="rId28">
        <w:r>
          <w:rPr>
            <w:rStyle w:val="Hyperlink"/>
          </w:rPr>
          <w:t xml:space="preserve">https://www.ars.usda.gov/ARSUserFiles/80400535/Data/Flav/Flav3.3.pdf</w:t>
        </w:r>
      </w:hyperlink>
    </w:p>
    <w:p>
      <w:pPr>
        <w:pStyle w:val="BodyText"/>
      </w:pPr>
      <w:hyperlink r:id="rId29">
        <w:r>
          <w:rPr>
            <w:rStyle w:val="Hyperlink"/>
          </w:rPr>
          <w:t xml:space="preserve">[8]</w:t>
        </w:r>
      </w:hyperlink>
      <w:r>
        <w:t xml:space="preserve"> </w:t>
      </w:r>
      <w:hyperlink r:id="rId29">
        <w:r>
          <w:rPr>
            <w:rStyle w:val="Hyperlink"/>
          </w:rPr>
          <w:t xml:space="preserve">[23]</w:t>
        </w:r>
      </w:hyperlink>
      <w:r>
        <w:t xml:space="preserve"> </w:t>
      </w:r>
      <w:hyperlink r:id="rId29">
        <w:r>
          <w:rPr>
            <w:rStyle w:val="Hyperlink"/>
          </w:rPr>
          <w:t xml:space="preserve">[36]</w:t>
        </w:r>
      </w:hyperlink>
      <w:r>
        <w:t xml:space="preserve"> </w:t>
      </w:r>
      <w:r>
        <w:t xml:space="preserve">https://www.e-epih.org/journal/view.php?number=1516</w:t>
      </w:r>
    </w:p>
    <w:p>
      <w:pPr>
        <w:pStyle w:val="BodyText"/>
      </w:pPr>
      <w:hyperlink r:id="rId29">
        <w:r>
          <w:rPr>
            <w:rStyle w:val="Hyperlink"/>
          </w:rPr>
          <w:t xml:space="preserve">https://www.e-epih.org/journal/view.php?number=1516</w:t>
        </w:r>
      </w:hyperlink>
    </w:p>
    <w:p>
      <w:pPr>
        <w:pStyle w:val="BodyText"/>
      </w:pPr>
      <w:hyperlink r:id="rId30">
        <w:r>
          <w:rPr>
            <w:rStyle w:val="Hyperlink"/>
          </w:rPr>
          <w:t xml:space="preserve">[9]</w:t>
        </w:r>
      </w:hyperlink>
      <w:r>
        <w:t xml:space="preserve"> </w:t>
      </w:r>
      <w:hyperlink r:id="rId30">
        <w:r>
          <w:rPr>
            <w:rStyle w:val="Hyperlink"/>
          </w:rPr>
          <w:t xml:space="preserve">[33]</w:t>
        </w:r>
      </w:hyperlink>
      <w:r>
        <w:t xml:space="preserve"> </w:t>
      </w:r>
      <w:hyperlink r:id="rId30">
        <w:r>
          <w:rPr>
            <w:rStyle w:val="Hyperlink"/>
          </w:rPr>
          <w:t xml:space="preserve">[43]</w:t>
        </w:r>
      </w:hyperlink>
      <w:r>
        <w:t xml:space="preserve"> </w:t>
      </w:r>
      <w:r>
        <w:t xml:space="preserve">https://pubmed.ncbi.nlm.nih.gov/20428313/</w:t>
      </w:r>
    </w:p>
    <w:p>
      <w:pPr>
        <w:pStyle w:val="BodyText"/>
      </w:pPr>
      <w:hyperlink r:id="rId30">
        <w:r>
          <w:rPr>
            <w:rStyle w:val="Hyperlink"/>
          </w:rPr>
          <w:t xml:space="preserve">https://pubmed.ncbi.nlm.nih.gov/20428313/</w:t>
        </w:r>
      </w:hyperlink>
    </w:p>
    <w:p>
      <w:pPr>
        <w:pStyle w:val="BodyText"/>
      </w:pPr>
      <w:hyperlink r:id="rId31">
        <w:r>
          <w:rPr>
            <w:rStyle w:val="Hyperlink"/>
          </w:rPr>
          <w:t xml:space="preserve">[10]</w:t>
        </w:r>
      </w:hyperlink>
      <w:r>
        <w:t xml:space="preserve"> </w:t>
      </w:r>
      <w:hyperlink r:id="rId31">
        <w:r>
          <w:rPr>
            <w:rStyle w:val="Hyperlink"/>
          </w:rPr>
          <w:t xml:space="preserve">[35]</w:t>
        </w:r>
      </w:hyperlink>
      <w:r>
        <w:t xml:space="preserve"> </w:t>
      </w:r>
      <w:r>
        <w:t xml:space="preserve">https://www.e-epih.org/journal/view.php?number=1508</w:t>
      </w:r>
    </w:p>
    <w:p>
      <w:pPr>
        <w:pStyle w:val="BodyText"/>
      </w:pPr>
      <w:hyperlink r:id="rId31">
        <w:r>
          <w:rPr>
            <w:rStyle w:val="Hyperlink"/>
          </w:rPr>
          <w:t xml:space="preserve">https://www.e-epih.org/journal/view.php?number=1508</w:t>
        </w:r>
      </w:hyperlink>
    </w:p>
    <w:p>
      <w:pPr>
        <w:pStyle w:val="BodyText"/>
      </w:pPr>
      <w:hyperlink r:id="rId32">
        <w:r>
          <w:rPr>
            <w:rStyle w:val="Hyperlink"/>
          </w:rPr>
          <w:t xml:space="preserve">[11]</w:t>
        </w:r>
      </w:hyperlink>
      <w:r>
        <w:t xml:space="preserve"> </w:t>
      </w:r>
      <w:hyperlink r:id="rId32">
        <w:r>
          <w:rPr>
            <w:rStyle w:val="Hyperlink"/>
          </w:rPr>
          <w:t xml:space="preserve">[12]</w:t>
        </w:r>
      </w:hyperlink>
      <w:r>
        <w:t xml:space="preserve"> </w:t>
      </w:r>
      <w:hyperlink r:id="rId32">
        <w:r>
          <w:rPr>
            <w:rStyle w:val="Hyperlink"/>
          </w:rPr>
          <w:t xml:space="preserve">[14]</w:t>
        </w:r>
      </w:hyperlink>
      <w:r>
        <w:t xml:space="preserve"> </w:t>
      </w:r>
      <w:hyperlink r:id="rId32">
        <w:r>
          <w:rPr>
            <w:rStyle w:val="Hyperlink"/>
          </w:rPr>
          <w:t xml:space="preserve">[31]</w:t>
        </w:r>
      </w:hyperlink>
      <w:r>
        <w:t xml:space="preserve"> </w:t>
      </w:r>
      <w:r>
        <w:t xml:space="preserve">https://www.rda.go.kr/board/board.do?dataNo=100000778935&amp;mode=view&amp;prgId=day_farmprmninfoEntry</w:t>
      </w:r>
    </w:p>
    <w:p>
      <w:pPr>
        <w:pStyle w:val="BodyText"/>
      </w:pPr>
      <w:hyperlink r:id="rId32">
        <w:r>
          <w:rPr>
            <w:rStyle w:val="Hyperlink"/>
          </w:rPr>
          <w:t xml:space="preserve">https://www.rda.go.kr/board/board.do?dataNo=100000778935&amp;mode=view&amp;prgId=day_farmprmninfoEntry</w:t>
        </w:r>
      </w:hyperlink>
    </w:p>
    <w:p>
      <w:pPr>
        <w:pStyle w:val="BodyText"/>
      </w:pPr>
      <w:hyperlink r:id="rId33">
        <w:r>
          <w:rPr>
            <w:rStyle w:val="Hyperlink"/>
          </w:rPr>
          <w:t xml:space="preserve">[13]</w:t>
        </w:r>
      </w:hyperlink>
      <w:r>
        <w:t xml:space="preserve"> </w:t>
      </w:r>
      <w:hyperlink r:id="rId33">
        <w:r>
          <w:rPr>
            <w:rStyle w:val="Hyperlink"/>
          </w:rPr>
          <w:t xml:space="preserve">[48]</w:t>
        </w:r>
      </w:hyperlink>
      <w:r>
        <w:t xml:space="preserve"> </w:t>
      </w:r>
      <w:r>
        <w:t xml:space="preserve">https://e-jnh.org/DOIx.php?id=10.4163%2Fkjn.2012.45.3.283</w:t>
      </w:r>
    </w:p>
    <w:p>
      <w:pPr>
        <w:pStyle w:val="BodyText"/>
      </w:pPr>
      <w:hyperlink r:id="rId33">
        <w:r>
          <w:rPr>
            <w:rStyle w:val="Hyperlink"/>
          </w:rPr>
          <w:t xml:space="preserve">https://e-jnh.org/DOIx.php?id=10.4163%2Fkjn.2012.45.3.283</w:t>
        </w:r>
      </w:hyperlink>
    </w:p>
    <w:p>
      <w:pPr>
        <w:pStyle w:val="BodyText"/>
      </w:pPr>
      <w:hyperlink r:id="rId36">
        <w:r>
          <w:rPr>
            <w:rStyle w:val="Hyperlink"/>
          </w:rPr>
          <w:t xml:space="preserve">[20]</w:t>
        </w:r>
      </w:hyperlink>
      <w:r>
        <w:t xml:space="preserve"> </w:t>
      </w:r>
      <w:hyperlink r:id="rId36">
        <w:r>
          <w:rPr>
            <w:rStyle w:val="Hyperlink"/>
          </w:rPr>
          <w:t xml:space="preserve">[51]</w:t>
        </w:r>
      </w:hyperlink>
      <w:r>
        <w:t xml:space="preserve"> </w:t>
      </w:r>
      <w:r>
        <w:t xml:space="preserve">https://www.khidi.or.kr/kps/dhraStat/intro?menuId=MENU01650&amp;year=2022</w:t>
      </w:r>
    </w:p>
    <w:p>
      <w:pPr>
        <w:pStyle w:val="BodyText"/>
      </w:pPr>
      <w:hyperlink r:id="rId36">
        <w:r>
          <w:rPr>
            <w:rStyle w:val="Hyperlink"/>
          </w:rPr>
          <w:t xml:space="preserve">https://www.khidi.or.kr/kps/dhraStat/intro?menuId=MENU01650&amp;year=2022</w:t>
        </w:r>
      </w:hyperlink>
    </w:p>
    <w:p>
      <w:pPr>
        <w:pStyle w:val="BodyText"/>
      </w:pPr>
      <w:hyperlink r:id="rId37">
        <w:r>
          <w:rPr>
            <w:rStyle w:val="Hyperlink"/>
          </w:rPr>
          <w:t xml:space="preserve">[21]</w:t>
        </w:r>
      </w:hyperlink>
      <w:r>
        <w:t xml:space="preserve"> </w:t>
      </w:r>
      <w:hyperlink r:id="rId37">
        <w:r>
          <w:rPr>
            <w:rStyle w:val="Hyperlink"/>
          </w:rPr>
          <w:t xml:space="preserve">[52]</w:t>
        </w:r>
      </w:hyperlink>
      <w:r>
        <w:t xml:space="preserve"> </w:t>
      </w:r>
      <w:r>
        <w:t xml:space="preserve">https://www.fao.org/infoods/infoods/standards-guidelines/en/</w:t>
      </w:r>
    </w:p>
    <w:p>
      <w:pPr>
        <w:pStyle w:val="BodyText"/>
      </w:pPr>
      <w:hyperlink r:id="rId37">
        <w:r>
          <w:rPr>
            <w:rStyle w:val="Hyperlink"/>
          </w:rPr>
          <w:t xml:space="preserve">https://www.fao.org/infoods/infoods/standards-guidelines/en/</w:t>
        </w:r>
      </w:hyperlink>
    </w:p>
    <w:p>
      <w:pPr>
        <w:pStyle w:val="BodyText"/>
      </w:pPr>
      <w:hyperlink r:id="rId38">
        <w:r>
          <w:rPr>
            <w:rStyle w:val="Hyperlink"/>
          </w:rPr>
          <w:t xml:space="preserve">[22]</w:t>
        </w:r>
      </w:hyperlink>
      <w:r>
        <w:t xml:space="preserve"> </w:t>
      </w:r>
      <w:hyperlink r:id="rId38">
        <w:r>
          <w:rPr>
            <w:rStyle w:val="Hyperlink"/>
          </w:rPr>
          <w:t xml:space="preserve">[30]</w:t>
        </w:r>
      </w:hyperlink>
      <w:r>
        <w:t xml:space="preserve"> </w:t>
      </w:r>
      <w:hyperlink r:id="rId38">
        <w:r>
          <w:rPr>
            <w:rStyle w:val="Hyperlink"/>
          </w:rPr>
          <w:t xml:space="preserve">[37]</w:t>
        </w:r>
      </w:hyperlink>
      <w:r>
        <w:t xml:space="preserve"> </w:t>
      </w:r>
      <w:r>
        <w:t xml:space="preserve">https://www.sciencedirect.com/science/article/pii/S2161831323002648</w:t>
      </w:r>
    </w:p>
    <w:p>
      <w:pPr>
        <w:pStyle w:val="BodyText"/>
      </w:pPr>
      <w:hyperlink r:id="rId38">
        <w:r>
          <w:rPr>
            <w:rStyle w:val="Hyperlink"/>
          </w:rPr>
          <w:t xml:space="preserve">https://www.sciencedirect.com/science/article/pii/S2161831323002648</w:t>
        </w:r>
      </w:hyperlink>
    </w:p>
    <w:p>
      <w:pPr>
        <w:pStyle w:val="BodyText"/>
      </w:pPr>
      <w:hyperlink r:id="rId39">
        <w:r>
          <w:rPr>
            <w:rStyle w:val="Hyperlink"/>
          </w:rPr>
          <w:t xml:space="preserve">[24]</w:t>
        </w:r>
      </w:hyperlink>
      <w:r>
        <w:t xml:space="preserve"> </w:t>
      </w:r>
      <w:r>
        <w:t xml:space="preserve">https://apjcn.qdu.edu.cn/24_3_5.pdf</w:t>
      </w:r>
    </w:p>
    <w:p>
      <w:pPr>
        <w:pStyle w:val="BodyText"/>
      </w:pPr>
      <w:hyperlink r:id="rId39">
        <w:r>
          <w:rPr>
            <w:rStyle w:val="Hyperlink"/>
          </w:rPr>
          <w:t xml:space="preserve">https://apjcn.qdu.edu.cn/24_3_5.pdf</w:t>
        </w:r>
      </w:hyperlink>
    </w:p>
    <w:p>
      <w:pPr>
        <w:pStyle w:val="BodyText"/>
      </w:pPr>
      <w:hyperlink r:id="rId40">
        <w:r>
          <w:rPr>
            <w:rStyle w:val="Hyperlink"/>
          </w:rPr>
          <w:t xml:space="preserve">[26]</w:t>
        </w:r>
      </w:hyperlink>
      <w:r>
        <w:t xml:space="preserve"> </w:t>
      </w:r>
      <w:r>
        <w:t xml:space="preserve">https://www.kci.go.kr/kciportal/landing/article.kci?arti_id=ART002841042</w:t>
      </w:r>
    </w:p>
    <w:p>
      <w:pPr>
        <w:pStyle w:val="BodyText"/>
      </w:pPr>
      <w:hyperlink r:id="rId40">
        <w:r>
          <w:rPr>
            <w:rStyle w:val="Hyperlink"/>
          </w:rPr>
          <w:t xml:space="preserve">https://www.kci.go.kr/kciportal/landing/article.kci?arti_id=ART002841042</w:t>
        </w:r>
      </w:hyperlink>
    </w:p>
    <w:p>
      <w:pPr>
        <w:pStyle w:val="BodyText"/>
      </w:pPr>
      <w:hyperlink r:id="rId41">
        <w:r>
          <w:rPr>
            <w:rStyle w:val="Hyperlink"/>
          </w:rPr>
          <w:t xml:space="preserve">[29]</w:t>
        </w:r>
      </w:hyperlink>
      <w:r>
        <w:t xml:space="preserve"> </w:t>
      </w:r>
      <w:r>
        <w:t xml:space="preserve">https://e-cnr.org/DOIx.php?id=10.7762%2Fcnr.2025.14.4.270</w:t>
      </w:r>
    </w:p>
    <w:p>
      <w:pPr>
        <w:pStyle w:val="BodyText"/>
      </w:pPr>
      <w:hyperlink r:id="rId41">
        <w:r>
          <w:rPr>
            <w:rStyle w:val="Hyperlink"/>
          </w:rPr>
          <w:t xml:space="preserve">https://e-cnr.org/DOIx.php?id=10.7762%2Fcnr.2025.14.4.270</w:t>
        </w:r>
      </w:hyperlink>
    </w:p>
    <w:p>
      <w:pPr>
        <w:pStyle w:val="BodyText"/>
      </w:pPr>
      <w:hyperlink r:id="rId45">
        <w:r>
          <w:rPr>
            <w:rStyle w:val="Hyperlink"/>
          </w:rPr>
          <w:t xml:space="preserve">[32]</w:t>
        </w:r>
      </w:hyperlink>
      <w:r>
        <w:t xml:space="preserve"> </w:t>
      </w:r>
      <w:r>
        <w:t xml:space="preserve">https://www.mohw.go.kr/board.es?act=view&amp;bid=0027&amp;list_no=1488441&amp;mid=a10503010100&amp;nPage=1&amp;tag=</w:t>
      </w:r>
    </w:p>
    <w:p>
      <w:pPr>
        <w:pStyle w:val="BodyText"/>
      </w:pPr>
      <w:hyperlink r:id="rId45">
        <w:r>
          <w:rPr>
            <w:rStyle w:val="Hyperlink"/>
          </w:rPr>
          <w:t xml:space="preserve">https://www.mohw.go.kr/board.es?act=view&amp;bid=0027&amp;list_no=1488441&amp;mid=a10503010100&amp;nPage=1&amp;tag=</w:t>
        </w:r>
      </w:hyperlink>
    </w:p>
    <w:p>
      <w:pPr>
        <w:pStyle w:val="BodyText"/>
      </w:pPr>
      <w:hyperlink r:id="rId47">
        <w:r>
          <w:rPr>
            <w:rStyle w:val="Hyperlink"/>
          </w:rPr>
          <w:t xml:space="preserve">[38]</w:t>
        </w:r>
      </w:hyperlink>
      <w:r>
        <w:t xml:space="preserve"> </w:t>
      </w:r>
      <w:r>
        <w:t xml:space="preserve">https://jamanetwork.com/journals/jamanetworkopen/fullarticle/2823676</w:t>
      </w:r>
    </w:p>
    <w:p>
      <w:pPr>
        <w:pStyle w:val="BodyText"/>
      </w:pPr>
      <w:hyperlink r:id="rId47">
        <w:r>
          <w:rPr>
            <w:rStyle w:val="Hyperlink"/>
          </w:rPr>
          <w:t xml:space="preserve">https://jamanetwork.com/journals/jamanetworkopen/fullarticle/2823676</w:t>
        </w:r>
      </w:hyperlink>
    </w:p>
    <w:p>
      <w:pPr>
        <w:pStyle w:val="BodyText"/>
      </w:pPr>
      <w:hyperlink r:id="rId48">
        <w:r>
          <w:rPr>
            <w:rStyle w:val="Hyperlink"/>
          </w:rPr>
          <w:t xml:space="preserve">[39]</w:t>
        </w:r>
      </w:hyperlink>
      <w:r>
        <w:t xml:space="preserve"> </w:t>
      </w:r>
      <w:r>
        <w:t xml:space="preserve">https://pubmed.ncbi.nlm.nih.gov/40456886/</w:t>
      </w:r>
    </w:p>
    <w:p>
      <w:pPr>
        <w:pStyle w:val="BodyText"/>
      </w:pPr>
      <w:hyperlink r:id="rId48">
        <w:r>
          <w:rPr>
            <w:rStyle w:val="Hyperlink"/>
          </w:rPr>
          <w:t xml:space="preserve">https://pubmed.ncbi.nlm.nih.gov/40456886/</w:t>
        </w:r>
      </w:hyperlink>
    </w:p>
    <w:p>
      <w:pPr>
        <w:pStyle w:val="BodyText"/>
      </w:pPr>
      <w:hyperlink r:id="rId49">
        <w:r>
          <w:rPr>
            <w:rStyle w:val="Hyperlink"/>
          </w:rPr>
          <w:t xml:space="preserve">[40]</w:t>
        </w:r>
      </w:hyperlink>
      <w:r>
        <w:t xml:space="preserve"> </w:t>
      </w:r>
      <w:r>
        <w:t xml:space="preserve">https://www.frontiersin.org/journals/nutrition/articles/10.3389/fnut.2025.1552367/full</w:t>
      </w:r>
    </w:p>
    <w:p>
      <w:pPr>
        <w:pStyle w:val="BodyText"/>
      </w:pPr>
      <w:hyperlink r:id="rId49">
        <w:r>
          <w:rPr>
            <w:rStyle w:val="Hyperlink"/>
          </w:rPr>
          <w:t xml:space="preserve">https://www.frontiersin.org/journals/nutrition/articles/10.3389/fnut.2025.1552367/full</w:t>
        </w:r>
      </w:hyperlink>
    </w:p>
    <w:p>
      <w:pPr>
        <w:pStyle w:val="BodyText"/>
      </w:pPr>
      <w:hyperlink r:id="rId50">
        <w:r>
          <w:rPr>
            <w:rStyle w:val="Hyperlink"/>
          </w:rPr>
          <w:t xml:space="preserve">[41]</w:t>
        </w:r>
      </w:hyperlink>
      <w:r>
        <w:t xml:space="preserve"> </w:t>
      </w:r>
      <w:r>
        <w:t xml:space="preserve">https://pubmed.ncbi.nlm.nih.gov/38778045/</w:t>
      </w:r>
    </w:p>
    <w:p>
      <w:pPr>
        <w:pStyle w:val="BodyText"/>
      </w:pPr>
      <w:hyperlink r:id="rId50">
        <w:r>
          <w:rPr>
            <w:rStyle w:val="Hyperlink"/>
          </w:rPr>
          <w:t xml:space="preserve">https://pubmed.ncbi.nlm.nih.gov/38778045/</w:t>
        </w:r>
      </w:hyperlink>
    </w:p>
    <w:p>
      <w:pPr>
        <w:pStyle w:val="BodyText"/>
      </w:pPr>
      <w:hyperlink r:id="rId51">
        <w:r>
          <w:rPr>
            <w:rStyle w:val="Hyperlink"/>
          </w:rPr>
          <w:t xml:space="preserve">[44]</w:t>
        </w:r>
      </w:hyperlink>
      <w:r>
        <w:t xml:space="preserve"> </w:t>
      </w:r>
      <w:r>
        <w:t xml:space="preserve">https://pubmed.ncbi.nlm.nih.gov/24103452/</w:t>
      </w:r>
    </w:p>
    <w:p>
      <w:pPr>
        <w:pStyle w:val="BodyText"/>
      </w:pPr>
      <w:hyperlink r:id="rId51">
        <w:r>
          <w:rPr>
            <w:rStyle w:val="Hyperlink"/>
          </w:rPr>
          <w:t xml:space="preserve">https://pubmed.ncbi.nlm.nih.gov/24103452/</w:t>
        </w:r>
      </w:hyperlink>
    </w:p>
    <w:p>
      <w:pPr>
        <w:pStyle w:val="BodyText"/>
      </w:pPr>
      <w:hyperlink r:id="rId52">
        <w:r>
          <w:rPr>
            <w:rStyle w:val="Hyperlink"/>
          </w:rPr>
          <w:t xml:space="preserve">[45]</w:t>
        </w:r>
      </w:hyperlink>
      <w:r>
        <w:t xml:space="preserve"> </w:t>
      </w:r>
      <w:r>
        <w:t xml:space="preserve">https://pubmed.ncbi.nlm.nih.gov/28333085/</w:t>
      </w:r>
    </w:p>
    <w:p>
      <w:pPr>
        <w:pStyle w:val="BodyText"/>
      </w:pPr>
      <w:hyperlink r:id="rId52">
        <w:r>
          <w:rPr>
            <w:rStyle w:val="Hyperlink"/>
          </w:rPr>
          <w:t xml:space="preserve">https://pubmed.ncbi.nlm.nih.gov/28333085/</w:t>
        </w:r>
      </w:hyperlink>
    </w:p>
    <w:p>
      <w:pPr>
        <w:pStyle w:val="BodyText"/>
      </w:pPr>
      <w:hyperlink r:id="rId53">
        <w:r>
          <w:rPr>
            <w:rStyle w:val="Hyperlink"/>
          </w:rPr>
          <w:t xml:space="preserve">[46]</w:t>
        </w:r>
      </w:hyperlink>
      <w:r>
        <w:t xml:space="preserve"> </w:t>
      </w:r>
      <w:r>
        <w:t xml:space="preserve">https://www.cambridge.org/core/journals/british-journal-of-nutrition/article/estimation-of-dietary-flavonoid-intake-and-major-food-sources-of-korean-adults/4B199686B20130183215F34DAE82DF2D</w:t>
      </w:r>
    </w:p>
    <w:p>
      <w:pPr>
        <w:pStyle w:val="BodyText"/>
      </w:pPr>
      <w:hyperlink r:id="rId53">
        <w:r>
          <w:rPr>
            <w:rStyle w:val="Hyperlink"/>
          </w:rPr>
          <w:t xml:space="preserve">https://www.cambridge.org/core/journals/british-journal-of-nutrition/article/estimation-of-dietary-flavonoid-intake-and-major-food-sources-of-korean-adults/4B199686B20130183215F34DAE82DF2D</w:t>
        </w:r>
      </w:hyperlink>
    </w:p>
    <w:p>
      <w:pPr>
        <w:pStyle w:val="BodyText"/>
      </w:pPr>
      <w:hyperlink r:id="rId54">
        <w:r>
          <w:rPr>
            <w:rStyle w:val="Hyperlink"/>
          </w:rPr>
          <w:t xml:space="preserve">[47]</w:t>
        </w:r>
      </w:hyperlink>
      <w:r>
        <w:t xml:space="preserve"> </w:t>
      </w:r>
      <w:r>
        <w:t xml:space="preserve">https://pubmed.ncbi.nlm.nih.gov/26420187/</w:t>
      </w:r>
    </w:p>
    <w:p>
      <w:pPr>
        <w:pStyle w:val="BodyText"/>
      </w:pPr>
      <w:hyperlink r:id="rId54">
        <w:r>
          <w:rPr>
            <w:rStyle w:val="Hyperlink"/>
          </w:rPr>
          <w:t xml:space="preserve">https://pubmed.ncbi.nlm.nih.gov/26420187/</w:t>
        </w:r>
      </w:hyperlink>
    </w:p>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ko"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9" Target="https://apjcn.qdu.edu.cn/24_3_5.pdf" TargetMode="External" /><Relationship Type="http://schemas.openxmlformats.org/officeDocument/2006/relationships/hyperlink" Id="rId41" Target="https://e-cnr.org/DOIx.php?id=10.7762%2Fcnr.2025.14.4.270" TargetMode="External" /><Relationship Type="http://schemas.openxmlformats.org/officeDocument/2006/relationships/hyperlink" Id="rId33" Target="https://e-jnh.org/DOIx.php?id=10.4163%2Fkjn.2012.45.3.283" TargetMode="External" /><Relationship Type="http://schemas.openxmlformats.org/officeDocument/2006/relationships/hyperlink" Id="rId47" Target="https://jamanetwork.com/journals/jamanetworkopen/fullarticle/2823676" TargetMode="External" /><Relationship Type="http://schemas.openxmlformats.org/officeDocument/2006/relationships/hyperlink" Id="rId30" Target="https://pubmed.ncbi.nlm.nih.gov/20428313/" TargetMode="External" /><Relationship Type="http://schemas.openxmlformats.org/officeDocument/2006/relationships/hyperlink" Id="rId51" Target="https://pubmed.ncbi.nlm.nih.gov/24103452/" TargetMode="External" /><Relationship Type="http://schemas.openxmlformats.org/officeDocument/2006/relationships/hyperlink" Id="rId54" Target="https://pubmed.ncbi.nlm.nih.gov/26420187/" TargetMode="External" /><Relationship Type="http://schemas.openxmlformats.org/officeDocument/2006/relationships/hyperlink" Id="rId52" Target="https://pubmed.ncbi.nlm.nih.gov/28333085/" TargetMode="External" /><Relationship Type="http://schemas.openxmlformats.org/officeDocument/2006/relationships/hyperlink" Id="rId50" Target="https://pubmed.ncbi.nlm.nih.gov/38778045/" TargetMode="External" /><Relationship Type="http://schemas.openxmlformats.org/officeDocument/2006/relationships/hyperlink" Id="rId48" Target="https://pubmed.ncbi.nlm.nih.gov/40456886/" TargetMode="External" /><Relationship Type="http://schemas.openxmlformats.org/officeDocument/2006/relationships/hyperlink" Id="rId25" Target="https://stacks.cdc.gov/view/cdc/27858" TargetMode="External" /><Relationship Type="http://schemas.openxmlformats.org/officeDocument/2006/relationships/hyperlink" Id="rId28" Target="https://www.ars.usda.gov/ARSUserFiles/80400535/Data/Flav/Flav3.3.pdf" TargetMode="External" /><Relationship Type="http://schemas.openxmlformats.org/officeDocument/2006/relationships/hyperlink" Id="rId53" Target="https://www.cambridge.org/core/journals/british-journal-of-nutrition/article/estimation-of-dietary-flavonoid-intake-and-major-food-sources-of-korean-adults/4B199686B20130183215F34DAE82DF2D" TargetMode="External" /><Relationship Type="http://schemas.openxmlformats.org/officeDocument/2006/relationships/hyperlink" Id="rId31" Target="https://www.e-epih.org/journal/view.php?number=1508" TargetMode="External" /><Relationship Type="http://schemas.openxmlformats.org/officeDocument/2006/relationships/hyperlink" Id="rId29" Target="https://www.e-epih.org/journal/view.php?number=1516" TargetMode="External" /><Relationship Type="http://schemas.openxmlformats.org/officeDocument/2006/relationships/hyperlink" Id="rId37" Target="https://www.fao.org/infoods/infoods/standards-guidelines/en/" TargetMode="External" /><Relationship Type="http://schemas.openxmlformats.org/officeDocument/2006/relationships/hyperlink" Id="rId49" Target="https://www.frontiersin.org/journals/nutrition/articles/10.3389/fnut.2025.1552367/full" TargetMode="External" /><Relationship Type="http://schemas.openxmlformats.org/officeDocument/2006/relationships/hyperlink" Id="rId27" Target="https://www.jkms.org/DOIx.php?id=10.3346%2Fjkms.2025.40.e189" TargetMode="External" /><Relationship Type="http://schemas.openxmlformats.org/officeDocument/2006/relationships/hyperlink" Id="rId40" Target="https://www.kci.go.kr/kciportal/landing/article.kci?arti_id=ART002841042" TargetMode="External" /><Relationship Type="http://schemas.openxmlformats.org/officeDocument/2006/relationships/hyperlink" Id="rId26" Target="https://www.kdca.go.kr/bbs/eng/189/225905/download.do" TargetMode="External" /><Relationship Type="http://schemas.openxmlformats.org/officeDocument/2006/relationships/hyperlink" Id="rId23" Target="https://www.kdca.go.kr/kdca/2847/subview.do?enc=Zm5jdDF8QEB8JTJGYmJzJTJGa2RjYSUyRjQxJTJGMzA5NTMxJTJGYXJ0Y2xWaWV3LmRvJTNGcGFzc3dvcmQlM0QlMjZyZ3NCZ25kZVN0ciUzRCUyNmZpbmRPcG53cmQlM0QlMjZmaW5kV29yZCUzRCUyNnJnc0VuZGRlU3RyJTNEJTI2ZmluZFR5cGUlM0QlMjZmaW5kQ2xTZXElM0QlMjZwYWdlJTNEMSUyNg%3D%3D" TargetMode="External" /><Relationship Type="http://schemas.openxmlformats.org/officeDocument/2006/relationships/hyperlink" Id="rId21" Target="https://www.kdca.go.kr/kdca/3367/subview.do" TargetMode="External" /><Relationship Type="http://schemas.openxmlformats.org/officeDocument/2006/relationships/hyperlink" Id="rId36" Target="https://www.khidi.or.kr/kps/dhraStat/intro?menuId=MENU01650&amp;year=2022" TargetMode="External" /><Relationship Type="http://schemas.openxmlformats.org/officeDocument/2006/relationships/hyperlink" Id="rId45" Target="https://www.mohw.go.kr/board.es?act=view&amp;bid=0027&amp;list_no=1488441&amp;mid=a10503010100&amp;nPage=1&amp;tag=" TargetMode="External" /><Relationship Type="http://schemas.openxmlformats.org/officeDocument/2006/relationships/hyperlink" Id="rId22" Target="https://www.ncbi.nlm.nih.gov/books/NBK603802/" TargetMode="External" /><Relationship Type="http://schemas.openxmlformats.org/officeDocument/2006/relationships/hyperlink" Id="rId32" Target="https://www.rda.go.kr/board/board.do?dataNo=100000778935&amp;mode=view&amp;prgId=day_farmprmninfoEntry" TargetMode="External" /><Relationship Type="http://schemas.openxmlformats.org/officeDocument/2006/relationships/hyperlink" Id="rId38" Target="https://www.sciencedirect.com/science/article/pii/S2161831323002648" TargetMode="External" /></Relationships>
</file>

<file path=word/_rels/footnotes.xml.rels><?xml version="1.0" encoding="UTF-8"?><Relationships xmlns="http://schemas.openxmlformats.org/package/2006/relationships"><Relationship Type="http://schemas.openxmlformats.org/officeDocument/2006/relationships/hyperlink" Id="rId39" Target="https://apjcn.qdu.edu.cn/24_3_5.pdf" TargetMode="External" /><Relationship Type="http://schemas.openxmlformats.org/officeDocument/2006/relationships/hyperlink" Id="rId41" Target="https://e-cnr.org/DOIx.php?id=10.7762%2Fcnr.2025.14.4.270" TargetMode="External" /><Relationship Type="http://schemas.openxmlformats.org/officeDocument/2006/relationships/hyperlink" Id="rId33" Target="https://e-jnh.org/DOIx.php?id=10.4163%2Fkjn.2012.45.3.283" TargetMode="External" /><Relationship Type="http://schemas.openxmlformats.org/officeDocument/2006/relationships/hyperlink" Id="rId47" Target="https://jamanetwork.com/journals/jamanetworkopen/fullarticle/2823676" TargetMode="External" /><Relationship Type="http://schemas.openxmlformats.org/officeDocument/2006/relationships/hyperlink" Id="rId30" Target="https://pubmed.ncbi.nlm.nih.gov/20428313/" TargetMode="External" /><Relationship Type="http://schemas.openxmlformats.org/officeDocument/2006/relationships/hyperlink" Id="rId51" Target="https://pubmed.ncbi.nlm.nih.gov/24103452/" TargetMode="External" /><Relationship Type="http://schemas.openxmlformats.org/officeDocument/2006/relationships/hyperlink" Id="rId54" Target="https://pubmed.ncbi.nlm.nih.gov/26420187/" TargetMode="External" /><Relationship Type="http://schemas.openxmlformats.org/officeDocument/2006/relationships/hyperlink" Id="rId52" Target="https://pubmed.ncbi.nlm.nih.gov/28333085/" TargetMode="External" /><Relationship Type="http://schemas.openxmlformats.org/officeDocument/2006/relationships/hyperlink" Id="rId50" Target="https://pubmed.ncbi.nlm.nih.gov/38778045/" TargetMode="External" /><Relationship Type="http://schemas.openxmlformats.org/officeDocument/2006/relationships/hyperlink" Id="rId48" Target="https://pubmed.ncbi.nlm.nih.gov/40456886/" TargetMode="External" /><Relationship Type="http://schemas.openxmlformats.org/officeDocument/2006/relationships/hyperlink" Id="rId25" Target="https://stacks.cdc.gov/view/cdc/27858" TargetMode="External" /><Relationship Type="http://schemas.openxmlformats.org/officeDocument/2006/relationships/hyperlink" Id="rId28" Target="https://www.ars.usda.gov/ARSUserFiles/80400535/Data/Flav/Flav3.3.pdf" TargetMode="External" /><Relationship Type="http://schemas.openxmlformats.org/officeDocument/2006/relationships/hyperlink" Id="rId53" Target="https://www.cambridge.org/core/journals/british-journal-of-nutrition/article/estimation-of-dietary-flavonoid-intake-and-major-food-sources-of-korean-adults/4B199686B20130183215F34DAE82DF2D" TargetMode="External" /><Relationship Type="http://schemas.openxmlformats.org/officeDocument/2006/relationships/hyperlink" Id="rId31" Target="https://www.e-epih.org/journal/view.php?number=1508" TargetMode="External" /><Relationship Type="http://schemas.openxmlformats.org/officeDocument/2006/relationships/hyperlink" Id="rId29" Target="https://www.e-epih.org/journal/view.php?number=1516" TargetMode="External" /><Relationship Type="http://schemas.openxmlformats.org/officeDocument/2006/relationships/hyperlink" Id="rId37" Target="https://www.fao.org/infoods/infoods/standards-guidelines/en/" TargetMode="External" /><Relationship Type="http://schemas.openxmlformats.org/officeDocument/2006/relationships/hyperlink" Id="rId49" Target="https://www.frontiersin.org/journals/nutrition/articles/10.3389/fnut.2025.1552367/full" TargetMode="External" /><Relationship Type="http://schemas.openxmlformats.org/officeDocument/2006/relationships/hyperlink" Id="rId27" Target="https://www.jkms.org/DOIx.php?id=10.3346%2Fjkms.2025.40.e189" TargetMode="External" /><Relationship Type="http://schemas.openxmlformats.org/officeDocument/2006/relationships/hyperlink" Id="rId40" Target="https://www.kci.go.kr/kciportal/landing/article.kci?arti_id=ART002841042" TargetMode="External" /><Relationship Type="http://schemas.openxmlformats.org/officeDocument/2006/relationships/hyperlink" Id="rId26" Target="https://www.kdca.go.kr/bbs/eng/189/225905/download.do" TargetMode="External" /><Relationship Type="http://schemas.openxmlformats.org/officeDocument/2006/relationships/hyperlink" Id="rId23" Target="https://www.kdca.go.kr/kdca/2847/subview.do?enc=Zm5jdDF8QEB8JTJGYmJzJTJGa2RjYSUyRjQxJTJGMzA5NTMxJTJGYXJ0Y2xWaWV3LmRvJTNGcGFzc3dvcmQlM0QlMjZyZ3NCZ25kZVN0ciUzRCUyNmZpbmRPcG53cmQlM0QlMjZmaW5kV29yZCUzRCUyNnJnc0VuZGRlU3RyJTNEJTI2ZmluZFR5cGUlM0QlMjZmaW5kQ2xTZXElM0QlMjZwYWdlJTNEMSUyNg%3D%3D" TargetMode="External" /><Relationship Type="http://schemas.openxmlformats.org/officeDocument/2006/relationships/hyperlink" Id="rId21" Target="https://www.kdca.go.kr/kdca/3367/subview.do" TargetMode="External" /><Relationship Type="http://schemas.openxmlformats.org/officeDocument/2006/relationships/hyperlink" Id="rId36" Target="https://www.khidi.or.kr/kps/dhraStat/intro?menuId=MENU01650&amp;year=2022" TargetMode="External" /><Relationship Type="http://schemas.openxmlformats.org/officeDocument/2006/relationships/hyperlink" Id="rId45" Target="https://www.mohw.go.kr/board.es?act=view&amp;bid=0027&amp;list_no=1488441&amp;mid=a10503010100&amp;nPage=1&amp;tag=" TargetMode="External" /><Relationship Type="http://schemas.openxmlformats.org/officeDocument/2006/relationships/hyperlink" Id="rId22" Target="https://www.ncbi.nlm.nih.gov/books/NBK603802/" TargetMode="External" /><Relationship Type="http://schemas.openxmlformats.org/officeDocument/2006/relationships/hyperlink" Id="rId32" Target="https://www.rda.go.kr/board/board.do?dataNo=100000778935&amp;mode=view&amp;prgId=day_farmprmninfoEntry" TargetMode="External" /><Relationship Type="http://schemas.openxmlformats.org/officeDocument/2006/relationships/hyperlink" Id="rId38" Target="https://www.sciencedirect.com/science/article/pii/S216183132300264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ko</dc:language>
  <cp:keywords/>
  <dcterms:created xsi:type="dcterms:W3CDTF">2026-05-03T10:34:46Z</dcterms:created>
  <dcterms:modified xsi:type="dcterms:W3CDTF">2026-05-03T10:34:46Z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