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DFABAD1" w:rsidP="6CF299B4" w:rsidRDefault="1DFABAD1" w14:paraId="284E4F99" w14:textId="6179C42D">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6CF299B4" w:rsidR="5E059BA9">
        <w:rPr>
          <w:rFonts w:ascii="Times New Roman" w:hAnsi="Times New Roman" w:eastAsia="Times New Roman" w:cs="Times New Roman"/>
          <w:b w:val="1"/>
          <w:bCs w:val="1"/>
          <w:noProof w:val="0"/>
          <w:color w:val="000000" w:themeColor="text1" w:themeTint="FF" w:themeShade="FF"/>
          <w:sz w:val="36"/>
          <w:szCs w:val="36"/>
          <w:lang w:val="en-US"/>
        </w:rPr>
        <w:t xml:space="preserve">Improving Healthcare Content Management </w:t>
      </w:r>
      <w:r w:rsidRPr="6CF299B4" w:rsidR="5E059BA9">
        <w:rPr>
          <w:rFonts w:ascii="Times New Roman" w:hAnsi="Times New Roman" w:eastAsia="Times New Roman" w:cs="Times New Roman"/>
          <w:b w:val="1"/>
          <w:bCs w:val="1"/>
          <w:noProof w:val="0"/>
          <w:color w:val="000000" w:themeColor="text1" w:themeTint="FF" w:themeShade="FF"/>
          <w:sz w:val="36"/>
          <w:szCs w:val="36"/>
          <w:lang w:val="en-US"/>
        </w:rPr>
        <w:t>Using Generative</w:t>
      </w:r>
      <w:r w:rsidRPr="6CF299B4" w:rsidR="5C45ED1A">
        <w:rPr>
          <w:rFonts w:ascii="Times New Roman" w:hAnsi="Times New Roman" w:eastAsia="Times New Roman" w:cs="Times New Roman"/>
          <w:b w:val="1"/>
          <w:bCs w:val="1"/>
          <w:noProof w:val="0"/>
          <w:color w:val="000000" w:themeColor="text1" w:themeTint="FF" w:themeShade="FF"/>
          <w:sz w:val="36"/>
          <w:szCs w:val="36"/>
          <w:lang w:val="en-US"/>
        </w:rPr>
        <w:t xml:space="preserve"> </w:t>
      </w:r>
      <w:r w:rsidRPr="6CF299B4" w:rsidR="5E059BA9">
        <w:rPr>
          <w:rFonts w:ascii="Times New Roman" w:hAnsi="Times New Roman" w:eastAsia="Times New Roman" w:cs="Times New Roman"/>
          <w:b w:val="1"/>
          <w:bCs w:val="1"/>
          <w:noProof w:val="0"/>
          <w:color w:val="000000" w:themeColor="text1" w:themeTint="FF" w:themeShade="FF"/>
          <w:sz w:val="36"/>
          <w:szCs w:val="36"/>
          <w:lang w:val="en-US"/>
        </w:rPr>
        <w:t>AI</w:t>
      </w:r>
    </w:p>
    <w:p w:rsidR="1DFABAD1" w:rsidP="6CF299B4" w:rsidRDefault="1DFABAD1" w14:paraId="553E4BC1" w14:textId="6DEC9799">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6CF299B4" w:rsidR="5E059BA9">
        <w:rPr>
          <w:rFonts w:ascii="Times New Roman" w:hAnsi="Times New Roman" w:eastAsia="Times New Roman" w:cs="Times New Roman"/>
          <w:b w:val="1"/>
          <w:bCs w:val="1"/>
          <w:noProof w:val="0"/>
          <w:color w:val="000000" w:themeColor="text1" w:themeTint="FF" w:themeShade="FF"/>
          <w:sz w:val="36"/>
          <w:szCs w:val="36"/>
          <w:lang w:val="en-US"/>
        </w:rPr>
        <w:t>Introduction</w:t>
      </w:r>
    </w:p>
    <w:p w:rsidR="1DFABAD1" w:rsidP="6CF299B4" w:rsidRDefault="1DFABAD1" w14:paraId="0B748893" w14:textId="334E3A2F">
      <w:pPr>
        <w:pStyle w:val="Heading2"/>
        <w:spacing w:before="299" w:beforeAutospacing="off" w:after="299" w:afterAutospacing="off"/>
        <w:jc w:val="both"/>
      </w:pPr>
      <w:r w:rsidRPr="6CF299B4" w:rsidR="5E059BA9">
        <w:rPr>
          <w:rFonts w:ascii="Times New Roman" w:hAnsi="Times New Roman" w:eastAsia="Times New Roman" w:cs="Times New Roman"/>
          <w:noProof w:val="0"/>
          <w:color w:val="000000" w:themeColor="text1" w:themeTint="FF" w:themeShade="FF"/>
          <w:sz w:val="24"/>
          <w:szCs w:val="24"/>
          <w:lang w:val="en-US"/>
        </w:rPr>
        <w:t xml:space="preserve">Healthcare organizations rely on a wide range of documents to support claims processing, reimbursement, regulatory compliance, and clinical decision-making. These documents include billing and coding policies, clinical practice guidelines, payer-provider contracts, and government regulations. As healthcare regulations continue to evolve, organizations must </w:t>
      </w:r>
      <w:r w:rsidRPr="6CF299B4" w:rsidR="5E059BA9">
        <w:rPr>
          <w:rFonts w:ascii="Times New Roman" w:hAnsi="Times New Roman" w:eastAsia="Times New Roman" w:cs="Times New Roman"/>
          <w:noProof w:val="0"/>
          <w:color w:val="000000" w:themeColor="text1" w:themeTint="FF" w:themeShade="FF"/>
          <w:sz w:val="24"/>
          <w:szCs w:val="24"/>
          <w:lang w:val="en-US"/>
        </w:rPr>
        <w:t>frequently</w:t>
      </w:r>
      <w:r w:rsidRPr="6CF299B4" w:rsidR="5E059BA9">
        <w:rPr>
          <w:rFonts w:ascii="Times New Roman" w:hAnsi="Times New Roman" w:eastAsia="Times New Roman" w:cs="Times New Roman"/>
          <w:noProof w:val="0"/>
          <w:color w:val="000000" w:themeColor="text1" w:themeTint="FF" w:themeShade="FF"/>
          <w:sz w:val="24"/>
          <w:szCs w:val="24"/>
          <w:lang w:val="en-US"/>
        </w:rPr>
        <w:t xml:space="preserve"> review and update thousands of pages of documentation. Manual review is time-consuming, labor-intensive, and increases the risk of inconsistencies or overlooked policy changes.</w:t>
      </w:r>
    </w:p>
    <w:p w:rsidR="1DFABAD1" w:rsidP="6CF299B4" w:rsidRDefault="1DFABAD1" w14:paraId="625A7587" w14:textId="286313A0">
      <w:pPr>
        <w:pStyle w:val="Heading2"/>
        <w:spacing w:before="299" w:beforeAutospacing="off" w:after="299" w:afterAutospacing="off"/>
        <w:jc w:val="both"/>
        <w:rPr>
          <w:rFonts w:ascii="Times New Roman" w:hAnsi="Times New Roman" w:eastAsia="Times New Roman" w:cs="Times New Roman"/>
          <w:noProof w:val="0"/>
          <w:color w:val="000000" w:themeColor="text1" w:themeTint="FF" w:themeShade="FF"/>
          <w:sz w:val="24"/>
          <w:szCs w:val="24"/>
          <w:lang w:val="en-US"/>
        </w:rPr>
      </w:pPr>
      <w:r w:rsidRPr="6CF299B4" w:rsidR="5E059BA9">
        <w:rPr>
          <w:rFonts w:ascii="Times New Roman" w:hAnsi="Times New Roman" w:eastAsia="Times New Roman" w:cs="Times New Roman"/>
          <w:noProof w:val="0"/>
          <w:color w:val="000000" w:themeColor="text1" w:themeTint="FF" w:themeShade="FF"/>
          <w:sz w:val="24"/>
          <w:szCs w:val="24"/>
          <w:lang w:val="en-US"/>
        </w:rPr>
        <w:t>Generative Artificial Intelligence (Generative AI) is transforming how organizations manage healthcare content. By combining Large Language Models (LLMs), Natural Language Processing (NLP), and Retrieval-Augmented Generation (RAG), healthcare organizations can summarize lengthy documents, compare policy revisions, extract key business rules, and answer questions using trusted organizational documents. Rather than replacing healthcare professionals, Generative AI serves as an intelligent assistant that improves efficiency, supports informed decision-making, and reduces administrative burden.</w:t>
      </w:r>
    </w:p>
    <w:p w:rsidR="1DFABAD1" w:rsidP="6CF299B4" w:rsidRDefault="1DFABAD1" w14:paraId="1249207D" w14:textId="244CF296">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6CF299B4" w:rsidR="5E059BA9">
        <w:rPr>
          <w:rFonts w:ascii="Times New Roman" w:hAnsi="Times New Roman" w:eastAsia="Times New Roman" w:cs="Times New Roman"/>
          <w:b w:val="1"/>
          <w:bCs w:val="1"/>
          <w:noProof w:val="0"/>
          <w:color w:val="000000" w:themeColor="text1" w:themeTint="FF" w:themeShade="FF"/>
          <w:sz w:val="36"/>
          <w:szCs w:val="36"/>
          <w:lang w:val="en-US"/>
        </w:rPr>
        <w:t>Current Trends in Healthcare Content Management</w:t>
      </w:r>
    </w:p>
    <w:p w:rsidR="1DFABAD1" w:rsidP="6CF299B4" w:rsidRDefault="1DFABAD1" w14:paraId="25E28FF4" w14:textId="50B55381">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CF299B4" w:rsidR="5E059BA9">
        <w:rPr>
          <w:rFonts w:ascii="Times New Roman" w:hAnsi="Times New Roman" w:eastAsia="Times New Roman" w:cs="Times New Roman"/>
          <w:noProof w:val="0"/>
          <w:color w:val="000000" w:themeColor="text1" w:themeTint="FF" w:themeShade="FF"/>
          <w:sz w:val="24"/>
          <w:szCs w:val="24"/>
          <w:lang w:val="en-US"/>
        </w:rPr>
        <w:t>Healthcare organizations are increasingly adopting AI technologies to manage growing volumes of clinical and administrative documentation. Modern Generative AI systems can understand complex healthcare language and allow users to interact with documents using natural language instead of manually searching hundreds of pages. This improves productivity while reducing the time required to locate critical information.</w:t>
      </w:r>
    </w:p>
    <w:p w:rsidR="1DFABAD1" w:rsidP="6CF299B4" w:rsidRDefault="1DFABAD1" w14:paraId="710C809A" w14:textId="18DF1EB1">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CF299B4" w:rsidR="5E059BA9">
        <w:rPr>
          <w:rFonts w:ascii="Times New Roman" w:hAnsi="Times New Roman" w:eastAsia="Times New Roman" w:cs="Times New Roman"/>
          <w:noProof w:val="0"/>
          <w:color w:val="000000" w:themeColor="text1" w:themeTint="FF" w:themeShade="FF"/>
          <w:sz w:val="24"/>
          <w:szCs w:val="24"/>
          <w:lang w:val="en-US"/>
        </w:rPr>
        <w:t>One of the most significant advancements is Retrieval-Augmented Generation (RAG). Unlike traditional language models that rely only on previously learned knowledge, RAG retrieves relevant information from approved organizational documents before generating a response. This approach improves reliability, reduces hallucinations, and ensures answers are based on current healthcare policies.</w:t>
      </w:r>
    </w:p>
    <w:p w:rsidR="1DFABAD1" w:rsidP="6CF299B4" w:rsidRDefault="1DFABAD1" w14:paraId="394E8669" w14:textId="50FA0E8B">
      <w:pPr>
        <w:spacing w:before="240" w:beforeAutospacing="off" w:after="240" w:afterAutospacing="off"/>
        <w:jc w:val="both"/>
      </w:pPr>
      <w:r w:rsidRPr="6CF299B4" w:rsidR="5E059BA9">
        <w:rPr>
          <w:rFonts w:ascii="Times New Roman" w:hAnsi="Times New Roman" w:eastAsia="Times New Roman" w:cs="Times New Roman"/>
          <w:noProof w:val="0"/>
          <w:color w:val="000000" w:themeColor="text1" w:themeTint="FF" w:themeShade="FF"/>
          <w:sz w:val="24"/>
          <w:szCs w:val="24"/>
          <w:lang w:val="en-US"/>
        </w:rPr>
        <w:t>Another growing trend is the use of Optical Character Recognition (OCR) to digitize scanned healthcare documents. When combined with AI, organizations can create</w:t>
      </w:r>
      <w:r w:rsidRPr="6CF299B4" w:rsidR="5E059BA9">
        <w:rPr>
          <w:rFonts w:ascii="Aptos" w:hAnsi="Aptos" w:eastAsia="Aptos" w:cs="Aptos"/>
          <w:noProof w:val="0"/>
          <w:color w:val="000000" w:themeColor="text1" w:themeTint="FF" w:themeShade="FF"/>
          <w:sz w:val="24"/>
          <w:szCs w:val="24"/>
          <w:lang w:val="en-US"/>
        </w:rPr>
        <w:t xml:space="preserve"> searchable knowledge bases that support document summarization, policy comparison, and intelligent information retrieval. These technologies are helping healthcare organizations improve operational efficiency while maintaining compliance with rapidly changing regulations.</w:t>
      </w:r>
    </w:p>
    <w:p w:rsidR="6CF299B4" w:rsidP="6CF299B4" w:rsidRDefault="6CF299B4" w14:paraId="431884AA" w14:textId="70379B6A">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p>
    <w:p w:rsidR="6CF299B4" w:rsidP="6CF299B4" w:rsidRDefault="6CF299B4" w14:paraId="6B44F0EF" w14:textId="008423C4">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p>
    <w:p w:rsidR="6CF299B4" w:rsidP="6CF299B4" w:rsidRDefault="6CF299B4" w14:paraId="4AC31A3F" w14:textId="22BF388D">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p>
    <w:p w:rsidR="6CF299B4" w:rsidP="6CF299B4" w:rsidRDefault="6CF299B4" w14:paraId="5D94AB50" w14:textId="188B0D51">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p>
    <w:p w:rsidR="6CF299B4" w:rsidP="6CF299B4" w:rsidRDefault="6CF299B4" w14:paraId="56187CB1" w14:textId="692FCB6F">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p>
    <w:p w:rsidR="1DFABAD1" w:rsidP="6CF299B4" w:rsidRDefault="1DFABAD1" w14:paraId="10FE4464" w14:textId="5A9F1BD7">
      <w:pPr>
        <w:pStyle w:val="Heading2"/>
        <w:spacing w:before="299" w:beforeAutospacing="off" w:after="299" w:afterAutospacing="off"/>
        <w:jc w:val="both"/>
        <w:rPr>
          <w:rFonts w:ascii="Times New Roman" w:hAnsi="Times New Roman" w:eastAsia="Times New Roman" w:cs="Times New Roman"/>
          <w:b w:val="1"/>
          <w:bCs w:val="1"/>
          <w:noProof w:val="0"/>
          <w:color w:val="000000" w:themeColor="text1" w:themeTint="FF" w:themeShade="FF"/>
          <w:sz w:val="36"/>
          <w:szCs w:val="36"/>
          <w:lang w:val="en-US"/>
        </w:rPr>
      </w:pPr>
      <w:r w:rsidRPr="6CF299B4" w:rsidR="5E059BA9">
        <w:rPr>
          <w:rFonts w:ascii="Times New Roman" w:hAnsi="Times New Roman" w:eastAsia="Times New Roman" w:cs="Times New Roman"/>
          <w:b w:val="1"/>
          <w:bCs w:val="1"/>
          <w:noProof w:val="0"/>
          <w:color w:val="000000" w:themeColor="text1" w:themeTint="FF" w:themeShade="FF"/>
          <w:sz w:val="36"/>
          <w:szCs w:val="36"/>
          <w:lang w:val="en-US"/>
        </w:rPr>
        <w:t>Opportunities and Challenges</w:t>
      </w:r>
    </w:p>
    <w:p w:rsidR="1DFABAD1" w:rsidP="6CF299B4" w:rsidRDefault="1DFABAD1" w14:paraId="4F4AEFD2" w14:textId="76856B8C">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CF299B4" w:rsidR="5E059BA9">
        <w:rPr>
          <w:rFonts w:ascii="Aptos" w:hAnsi="Aptos" w:eastAsia="Aptos" w:cs="Aptos"/>
          <w:noProof w:val="0"/>
          <w:color w:val="000000" w:themeColor="text1" w:themeTint="FF" w:themeShade="FF"/>
          <w:sz w:val="24"/>
          <w:szCs w:val="24"/>
          <w:lang w:val="en-US"/>
        </w:rPr>
        <w:t>Generative AI provides several opportunities for improving healthcare content management. Automated document summarization enables analysts to quickly understand lengthy reimbursement policies and clinical guidelines without manually reviewing every page. AI-powered document comparison allows organizations to identify additions, deletions, and modifications between policy versions, helping analysts recognize reimbursement and compliance changes more efficiently.</w:t>
      </w:r>
    </w:p>
    <w:p w:rsidR="1DFABAD1" w:rsidP="6CF299B4" w:rsidRDefault="1DFABAD1" w14:paraId="10D15F76" w14:textId="58EC3206">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CF299B4" w:rsidR="5E059BA9">
        <w:rPr>
          <w:rFonts w:ascii="Aptos" w:hAnsi="Aptos" w:eastAsia="Aptos" w:cs="Aptos"/>
          <w:noProof w:val="0"/>
          <w:color w:val="000000" w:themeColor="text1" w:themeTint="FF" w:themeShade="FF"/>
          <w:sz w:val="24"/>
          <w:szCs w:val="24"/>
          <w:lang w:val="en-US"/>
        </w:rPr>
        <w:t>Another valuable capability is rule extraction. Healthcare policies are typically written in unstructured natural language, making them difficult to integrate into software systems. Generative AI can identify important information such as CPT codes, eligibility requirements, coverage criteria, exclusions, and documentation requirements, converting them into structured business rules that support workflow automation and payment integrity systems.</w:t>
      </w:r>
    </w:p>
    <w:p w:rsidR="1DFABAD1" w:rsidP="6CF299B4" w:rsidRDefault="1DFABAD1" w14:paraId="0E876F9C" w14:textId="1CDED321">
      <w:pPr>
        <w:spacing w:before="240" w:beforeAutospacing="off" w:after="240" w:afterAutospacing="off"/>
        <w:jc w:val="both"/>
      </w:pPr>
      <w:r w:rsidRPr="6CF299B4" w:rsidR="5E059BA9">
        <w:rPr>
          <w:rFonts w:ascii="Aptos" w:hAnsi="Aptos" w:eastAsia="Aptos" w:cs="Aptos"/>
          <w:noProof w:val="0"/>
          <w:color w:val="000000" w:themeColor="text1" w:themeTint="FF" w:themeShade="FF"/>
          <w:sz w:val="24"/>
          <w:szCs w:val="24"/>
          <w:lang w:val="en-US"/>
        </w:rPr>
        <w:t xml:space="preserve">Despite these benefits, Generative AI also presents challenges. Large Language Models may occasionally generate inaccurate responses if answers are not grounded in trusted documents. Healthcare organizations must also protect sensitive information, </w:t>
      </w:r>
      <w:r w:rsidRPr="6CF299B4" w:rsidR="5E059BA9">
        <w:rPr>
          <w:rFonts w:ascii="Aptos" w:hAnsi="Aptos" w:eastAsia="Aptos" w:cs="Aptos"/>
          <w:noProof w:val="0"/>
          <w:color w:val="000000" w:themeColor="text1" w:themeTint="FF" w:themeShade="FF"/>
          <w:sz w:val="24"/>
          <w:szCs w:val="24"/>
          <w:lang w:val="en-US"/>
        </w:rPr>
        <w:t>maintain</w:t>
      </w:r>
      <w:r w:rsidRPr="6CF299B4" w:rsidR="5E059BA9">
        <w:rPr>
          <w:rFonts w:ascii="Aptos" w:hAnsi="Aptos" w:eastAsia="Aptos" w:cs="Aptos"/>
          <w:noProof w:val="0"/>
          <w:color w:val="000000" w:themeColor="text1" w:themeTint="FF" w:themeShade="FF"/>
          <w:sz w:val="24"/>
          <w:szCs w:val="24"/>
          <w:lang w:val="en-US"/>
        </w:rPr>
        <w:t xml:space="preserve"> HIPAA compliance, and ensure strong data governance. Therefore, AI should be viewed as a decision-support tool that complements human </w:t>
      </w:r>
      <w:r w:rsidRPr="6CF299B4" w:rsidR="5E059BA9">
        <w:rPr>
          <w:rFonts w:ascii="Aptos" w:hAnsi="Aptos" w:eastAsia="Aptos" w:cs="Aptos"/>
          <w:noProof w:val="0"/>
          <w:color w:val="000000" w:themeColor="text1" w:themeTint="FF" w:themeShade="FF"/>
          <w:sz w:val="24"/>
          <w:szCs w:val="24"/>
          <w:lang w:val="en-US"/>
        </w:rPr>
        <w:t>expertise</w:t>
      </w:r>
      <w:r w:rsidRPr="6CF299B4" w:rsidR="5E059BA9">
        <w:rPr>
          <w:rFonts w:ascii="Aptos" w:hAnsi="Aptos" w:eastAsia="Aptos" w:cs="Aptos"/>
          <w:noProof w:val="0"/>
          <w:color w:val="000000" w:themeColor="text1" w:themeTint="FF" w:themeShade="FF"/>
          <w:sz w:val="24"/>
          <w:szCs w:val="24"/>
          <w:lang w:val="en-US"/>
        </w:rPr>
        <w:t xml:space="preserve"> rather than replacing healthcare professionals.</w:t>
      </w:r>
    </w:p>
    <w:p w:rsidR="1DFABAD1" w:rsidP="6CF299B4" w:rsidRDefault="1DFABAD1" w14:paraId="691E0823" w14:textId="53886344">
      <w:pPr>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36"/>
          <w:szCs w:val="36"/>
          <w:lang w:val="en-US"/>
        </w:rPr>
      </w:pPr>
      <w:r w:rsidRPr="6CF299B4" w:rsidR="5E059BA9">
        <w:rPr>
          <w:rFonts w:ascii="Times New Roman" w:hAnsi="Times New Roman" w:eastAsia="Times New Roman" w:cs="Times New Roman"/>
          <w:b w:val="1"/>
          <w:bCs w:val="1"/>
          <w:noProof w:val="0"/>
          <w:color w:val="000000" w:themeColor="text1" w:themeTint="FF" w:themeShade="FF"/>
          <w:sz w:val="36"/>
          <w:szCs w:val="36"/>
          <w:lang w:val="en-US"/>
        </w:rPr>
        <w:t>Strategic Recommendations for Cotiviti</w:t>
      </w:r>
    </w:p>
    <w:p w:rsidR="1DFABAD1" w:rsidP="6CF299B4" w:rsidRDefault="1DFABAD1" w14:paraId="1F12AC22" w14:textId="191B3063">
      <w:pPr>
        <w:pStyle w:val="Heading2"/>
        <w:spacing w:before="299" w:beforeAutospacing="off" w:after="299" w:afterAutospacing="off"/>
        <w:jc w:val="both"/>
        <w:rPr>
          <w:rFonts w:ascii="Aptos" w:hAnsi="Aptos" w:eastAsia="Aptos" w:cs="Aptos"/>
          <w:noProof w:val="0"/>
          <w:color w:val="000000" w:themeColor="text1" w:themeTint="FF" w:themeShade="FF"/>
          <w:sz w:val="24"/>
          <w:szCs w:val="24"/>
          <w:lang w:val="en-US"/>
        </w:rPr>
      </w:pPr>
      <w:r w:rsidRPr="6CF299B4" w:rsidR="5E059BA9">
        <w:rPr>
          <w:rFonts w:ascii="Aptos" w:hAnsi="Aptos" w:eastAsia="Aptos" w:cs="Aptos"/>
          <w:noProof w:val="0"/>
          <w:color w:val="000000" w:themeColor="text1" w:themeTint="FF" w:themeShade="FF"/>
          <w:sz w:val="24"/>
          <w:szCs w:val="24"/>
          <w:lang w:val="en-US"/>
        </w:rPr>
        <w:t xml:space="preserve">As a leader in healthcare analytics and </w:t>
      </w:r>
      <w:r w:rsidRPr="6CF299B4" w:rsidR="5E059BA9">
        <w:rPr>
          <w:rFonts w:ascii="Aptos" w:hAnsi="Aptos" w:eastAsia="Aptos" w:cs="Aptos"/>
          <w:noProof w:val="0"/>
          <w:color w:val="000000" w:themeColor="text1" w:themeTint="FF" w:themeShade="FF"/>
          <w:sz w:val="24"/>
          <w:szCs w:val="24"/>
          <w:lang w:val="en-US"/>
        </w:rPr>
        <w:t>payment</w:t>
      </w:r>
      <w:r w:rsidRPr="6CF299B4" w:rsidR="5E059BA9">
        <w:rPr>
          <w:rFonts w:ascii="Aptos" w:hAnsi="Aptos" w:eastAsia="Aptos" w:cs="Aptos"/>
          <w:noProof w:val="0"/>
          <w:color w:val="000000" w:themeColor="text1" w:themeTint="FF" w:themeShade="FF"/>
          <w:sz w:val="24"/>
          <w:szCs w:val="24"/>
          <w:lang w:val="en-US"/>
        </w:rPr>
        <w:t xml:space="preserve"> integrity, Cotiviti can </w:t>
      </w:r>
      <w:r w:rsidRPr="6CF299B4" w:rsidR="5E059BA9">
        <w:rPr>
          <w:rFonts w:ascii="Aptos" w:hAnsi="Aptos" w:eastAsia="Aptos" w:cs="Aptos"/>
          <w:noProof w:val="0"/>
          <w:color w:val="000000" w:themeColor="text1" w:themeTint="FF" w:themeShade="FF"/>
          <w:sz w:val="24"/>
          <w:szCs w:val="24"/>
          <w:lang w:val="en-US"/>
        </w:rPr>
        <w:t>leverage</w:t>
      </w:r>
      <w:r w:rsidRPr="6CF299B4" w:rsidR="5E059BA9">
        <w:rPr>
          <w:rFonts w:ascii="Aptos" w:hAnsi="Aptos" w:eastAsia="Aptos" w:cs="Aptos"/>
          <w:noProof w:val="0"/>
          <w:color w:val="000000" w:themeColor="text1" w:themeTint="FF" w:themeShade="FF"/>
          <w:sz w:val="24"/>
          <w:szCs w:val="24"/>
          <w:lang w:val="en-US"/>
        </w:rPr>
        <w:t xml:space="preserve"> Generative AI to improve healthcare content management in several ways.</w:t>
      </w:r>
      <w:r w:rsidRPr="6CF299B4" w:rsidR="5E059BA9">
        <w:rPr>
          <w:rFonts w:ascii="Aptos" w:hAnsi="Aptos" w:eastAsia="Aptos" w:cs="Aptos"/>
          <w:noProof w:val="0"/>
          <w:color w:val="000000" w:themeColor="text1" w:themeTint="FF" w:themeShade="FF"/>
          <w:sz w:val="24"/>
          <w:szCs w:val="24"/>
          <w:lang w:val="en-US"/>
        </w:rPr>
        <w:t>First, Cotiviti should develop an AI-powered Healthcare Content Management Assistant capable of analyzing billing policies, clinical practice guidelines, and payer-provider contracts. The system should summarize documents, answer user questions, and provide evidence-based responses supported by source references, reducing the time analysts spend reviewing documentation.</w:t>
      </w:r>
    </w:p>
    <w:p w:rsidR="1DFABAD1" w:rsidP="6CF299B4" w:rsidRDefault="1DFABAD1" w14:paraId="06A3CB28" w14:textId="39B93C21">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CF299B4" w:rsidR="5E059BA9">
        <w:rPr>
          <w:rFonts w:ascii="Aptos" w:hAnsi="Aptos" w:eastAsia="Aptos" w:cs="Aptos"/>
          <w:noProof w:val="0"/>
          <w:color w:val="000000" w:themeColor="text1" w:themeTint="FF" w:themeShade="FF"/>
          <w:sz w:val="24"/>
          <w:szCs w:val="24"/>
          <w:lang w:val="en-US"/>
        </w:rPr>
        <w:t>Second, Cotiviti should implement automated policy comparison capabilities that identify changes between document versions. Since reimbursement policies and healthcare regulations change frequently, this functionality would help analysts quickly recognize important updates while reducing compliance risk.</w:t>
      </w:r>
    </w:p>
    <w:p w:rsidR="1DFABAD1" w:rsidP="6CF299B4" w:rsidRDefault="1DFABAD1" w14:paraId="45D3D10F" w14:textId="1C6C35F1">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CF299B4" w:rsidR="5E059BA9">
        <w:rPr>
          <w:rFonts w:ascii="Aptos" w:hAnsi="Aptos" w:eastAsia="Aptos" w:cs="Aptos"/>
          <w:noProof w:val="0"/>
          <w:color w:val="000000" w:themeColor="text1" w:themeTint="FF" w:themeShade="FF"/>
          <w:sz w:val="24"/>
          <w:szCs w:val="24"/>
          <w:lang w:val="en-US"/>
        </w:rPr>
        <w:t>Third, Cotiviti should invest in AI-powered rule extraction that converts written healthcare policies into structured business rules or JSON objects. Structured outputs could support claims validation, workflow automation, and payment integrity solutions while improving consistency across healthcare operations.</w:t>
      </w:r>
    </w:p>
    <w:p w:rsidR="1DFABAD1" w:rsidP="6CF299B4" w:rsidRDefault="1DFABAD1" w14:paraId="6CFCDCF1" w14:textId="32BDE6C3">
      <w:pPr>
        <w:spacing w:before="240" w:beforeAutospacing="off" w:after="240" w:afterAutospacing="off"/>
        <w:jc w:val="both"/>
      </w:pPr>
      <w:r w:rsidRPr="6CF299B4" w:rsidR="5E059BA9">
        <w:rPr>
          <w:rFonts w:ascii="Aptos" w:hAnsi="Aptos" w:eastAsia="Aptos" w:cs="Aptos"/>
          <w:noProof w:val="0"/>
          <w:color w:val="000000" w:themeColor="text1" w:themeTint="FF" w:themeShade="FF"/>
          <w:sz w:val="24"/>
          <w:szCs w:val="24"/>
          <w:lang w:val="en-US"/>
        </w:rPr>
        <w:t xml:space="preserve">To demonstrate the feasibility of these recommendations, a proof-of-concept </w:t>
      </w:r>
      <w:r w:rsidRPr="6CF299B4" w:rsidR="5E059BA9">
        <w:rPr>
          <w:rFonts w:ascii="Aptos" w:hAnsi="Aptos" w:eastAsia="Aptos" w:cs="Aptos"/>
          <w:b w:val="1"/>
          <w:bCs w:val="1"/>
          <w:noProof w:val="0"/>
          <w:color w:val="000000" w:themeColor="text1" w:themeTint="FF" w:themeShade="FF"/>
          <w:sz w:val="24"/>
          <w:szCs w:val="24"/>
          <w:lang w:val="en-US"/>
        </w:rPr>
        <w:t>Healthcare Content Management Assistant</w:t>
      </w:r>
      <w:r w:rsidRPr="6CF299B4" w:rsidR="5E059BA9">
        <w:rPr>
          <w:rFonts w:ascii="Aptos" w:hAnsi="Aptos" w:eastAsia="Aptos" w:cs="Aptos"/>
          <w:noProof w:val="0"/>
          <w:color w:val="000000" w:themeColor="text1" w:themeTint="FF" w:themeShade="FF"/>
          <w:sz w:val="24"/>
          <w:szCs w:val="24"/>
          <w:lang w:val="en-US"/>
        </w:rPr>
        <w:t xml:space="preserve"> was developed. The prototype enables users to upload healthcare policy documents, generate summaries, compare policies, extract policy rules, and ask natural language questions using Retrieval-Augmented Generation. Rather than relying solely on a language model's internal knowledge, the system retrieves relevant information from</w:t>
      </w:r>
    </w:p>
    <w:p w:rsidR="1DFABAD1" w:rsidP="6CF299B4" w:rsidRDefault="1DFABAD1" w14:paraId="7098B7BA" w14:textId="4E8B1972">
      <w:pPr>
        <w:pStyle w:val="Normal"/>
        <w:spacing w:before="240" w:beforeAutospacing="off" w:after="240" w:afterAutospacing="off"/>
        <w:jc w:val="both"/>
        <w:rPr>
          <w:rFonts w:ascii="Aptos" w:hAnsi="Aptos" w:eastAsia="Aptos" w:cs="Aptos"/>
          <w:noProof w:val="0"/>
          <w:color w:val="000000" w:themeColor="text1" w:themeTint="FF" w:themeShade="FF"/>
          <w:sz w:val="24"/>
          <w:szCs w:val="24"/>
          <w:lang w:val="en-US"/>
        </w:rPr>
      </w:pPr>
    </w:p>
    <w:p w:rsidR="1DFABAD1" w:rsidP="6CF299B4" w:rsidRDefault="1DFABAD1" w14:paraId="2DD3D694" w14:textId="1EC8BE69">
      <w:pPr>
        <w:pStyle w:val="Normal"/>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CF299B4" w:rsidR="5E059BA9">
        <w:rPr>
          <w:rFonts w:ascii="Aptos" w:hAnsi="Aptos" w:eastAsia="Aptos" w:cs="Aptos"/>
          <w:noProof w:val="0"/>
          <w:color w:val="000000" w:themeColor="text1" w:themeTint="FF" w:themeShade="FF"/>
          <w:sz w:val="24"/>
          <w:szCs w:val="24"/>
          <w:lang w:val="en-US"/>
        </w:rPr>
        <w:t>uploaded</w:t>
      </w:r>
      <w:r w:rsidRPr="6CF299B4" w:rsidR="5E059BA9">
        <w:rPr>
          <w:rFonts w:ascii="Aptos" w:hAnsi="Aptos" w:eastAsia="Aptos" w:cs="Aptos"/>
          <w:noProof w:val="0"/>
          <w:color w:val="000000" w:themeColor="text1" w:themeTint="FF" w:themeShade="FF"/>
          <w:sz w:val="24"/>
          <w:szCs w:val="24"/>
          <w:lang w:val="en-US"/>
        </w:rPr>
        <w:t xml:space="preserve"> documents before generating responses, improving </w:t>
      </w:r>
      <w:r w:rsidRPr="6CF299B4" w:rsidR="5E059BA9">
        <w:rPr>
          <w:rFonts w:ascii="Aptos" w:hAnsi="Aptos" w:eastAsia="Aptos" w:cs="Aptos"/>
          <w:noProof w:val="0"/>
          <w:color w:val="000000" w:themeColor="text1" w:themeTint="FF" w:themeShade="FF"/>
          <w:sz w:val="24"/>
          <w:szCs w:val="24"/>
          <w:lang w:val="en-US"/>
        </w:rPr>
        <w:t>transparency</w:t>
      </w:r>
      <w:r w:rsidRPr="6CF299B4" w:rsidR="5E059BA9">
        <w:rPr>
          <w:rFonts w:ascii="Aptos" w:hAnsi="Aptos" w:eastAsia="Aptos" w:cs="Aptos"/>
          <w:noProof w:val="0"/>
          <w:color w:val="000000" w:themeColor="text1" w:themeTint="FF" w:themeShade="FF"/>
          <w:sz w:val="24"/>
          <w:szCs w:val="24"/>
          <w:lang w:val="en-US"/>
        </w:rPr>
        <w:t xml:space="preserve"> and reducing unsupported answers.</w:t>
      </w:r>
    </w:p>
    <w:p w:rsidR="1DFABAD1" w:rsidP="6CF299B4" w:rsidRDefault="1DFABAD1" w14:paraId="7A78CEC9" w14:textId="4D6B27AE">
      <w:pPr>
        <w:pStyle w:val="Heading2"/>
        <w:spacing w:before="299" w:beforeAutospacing="off" w:after="299" w:afterAutospacing="off"/>
        <w:jc w:val="both"/>
        <w:rPr>
          <w:rFonts w:ascii="Times New Roman" w:hAnsi="Times New Roman" w:eastAsia="Times New Roman" w:cs="Times New Roman"/>
          <w:b w:val="1"/>
          <w:bCs w:val="1"/>
          <w:noProof w:val="0"/>
          <w:color w:val="000000" w:themeColor="text1" w:themeTint="FF" w:themeShade="FF"/>
          <w:sz w:val="36"/>
          <w:szCs w:val="36"/>
          <w:lang w:val="en-US"/>
        </w:rPr>
      </w:pPr>
      <w:r w:rsidRPr="6CF299B4" w:rsidR="5E059BA9">
        <w:rPr>
          <w:rFonts w:ascii="Times New Roman" w:hAnsi="Times New Roman" w:eastAsia="Times New Roman" w:cs="Times New Roman"/>
          <w:b w:val="1"/>
          <w:bCs w:val="1"/>
          <w:noProof w:val="0"/>
          <w:color w:val="000000" w:themeColor="text1" w:themeTint="FF" w:themeShade="FF"/>
          <w:sz w:val="36"/>
          <w:szCs w:val="36"/>
          <w:lang w:val="en-US"/>
        </w:rPr>
        <w:t>Conclusion</w:t>
      </w:r>
    </w:p>
    <w:p w:rsidR="1DFABAD1" w:rsidP="6CF299B4" w:rsidRDefault="1DFABAD1" w14:paraId="090C8EBE" w14:textId="32E605CB">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CF299B4" w:rsidR="5E059BA9">
        <w:rPr>
          <w:rFonts w:ascii="Aptos" w:hAnsi="Aptos" w:eastAsia="Aptos" w:cs="Aptos"/>
          <w:noProof w:val="0"/>
          <w:color w:val="000000" w:themeColor="text1" w:themeTint="FF" w:themeShade="FF"/>
          <w:sz w:val="24"/>
          <w:szCs w:val="24"/>
          <w:lang w:val="en-US"/>
        </w:rPr>
        <w:t>Healthcare organizations continue to face increasing challenges in managing large volumes of policies, reimbursement guidelines, and regulatory documentation. Manual document review is becoming less practical as healthcare content grows in both size and complexity. Generative AI provides an effective solution by automating document summarization, policy comparison, rule extraction, and evidence-based question answering while maintaining human oversight for critical decisions.</w:t>
      </w:r>
    </w:p>
    <w:p w:rsidR="4B0675CD" w:rsidP="6CF299B4" w:rsidRDefault="4B0675CD" w14:paraId="28EC81DD" w14:textId="2FA9B92A">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6CF299B4" w:rsidR="5E059BA9">
        <w:rPr>
          <w:rFonts w:ascii="Aptos" w:hAnsi="Aptos" w:eastAsia="Aptos" w:cs="Aptos"/>
          <w:noProof w:val="0"/>
          <w:color w:val="000000" w:themeColor="text1" w:themeTint="FF" w:themeShade="FF"/>
          <w:sz w:val="24"/>
          <w:szCs w:val="24"/>
          <w:lang w:val="en-US"/>
        </w:rPr>
        <w:t xml:space="preserve">For Cotiviti, investing in AI-powered healthcare content management </w:t>
      </w:r>
      <w:r w:rsidRPr="6CF299B4" w:rsidR="5E059BA9">
        <w:rPr>
          <w:rFonts w:ascii="Aptos" w:hAnsi="Aptos" w:eastAsia="Aptos" w:cs="Aptos"/>
          <w:noProof w:val="0"/>
          <w:color w:val="000000" w:themeColor="text1" w:themeTint="FF" w:themeShade="FF"/>
          <w:sz w:val="24"/>
          <w:szCs w:val="24"/>
          <w:lang w:val="en-US"/>
        </w:rPr>
        <w:t>represents</w:t>
      </w:r>
      <w:r w:rsidRPr="6CF299B4" w:rsidR="5E059BA9">
        <w:rPr>
          <w:rFonts w:ascii="Aptos" w:hAnsi="Aptos" w:eastAsia="Aptos" w:cs="Aptos"/>
          <w:noProof w:val="0"/>
          <w:color w:val="000000" w:themeColor="text1" w:themeTint="FF" w:themeShade="FF"/>
          <w:sz w:val="24"/>
          <w:szCs w:val="24"/>
          <w:lang w:val="en-US"/>
        </w:rPr>
        <w:t xml:space="preserve"> an opportunity to strengthen payment integrity operations, improve analyst productivity, and accelerate policy review workflows. The accompanying proof-of-concept </w:t>
      </w:r>
      <w:r w:rsidRPr="6CF299B4" w:rsidR="5E059BA9">
        <w:rPr>
          <w:rFonts w:ascii="Aptos" w:hAnsi="Aptos" w:eastAsia="Aptos" w:cs="Aptos"/>
          <w:noProof w:val="0"/>
          <w:color w:val="000000" w:themeColor="text1" w:themeTint="FF" w:themeShade="FF"/>
          <w:sz w:val="24"/>
          <w:szCs w:val="24"/>
          <w:lang w:val="en-US"/>
        </w:rPr>
        <w:t>demonstrates</w:t>
      </w:r>
      <w:r w:rsidRPr="6CF299B4" w:rsidR="5E059BA9">
        <w:rPr>
          <w:rFonts w:ascii="Aptos" w:hAnsi="Aptos" w:eastAsia="Aptos" w:cs="Aptos"/>
          <w:noProof w:val="0"/>
          <w:color w:val="000000" w:themeColor="text1" w:themeTint="FF" w:themeShade="FF"/>
          <w:sz w:val="24"/>
          <w:szCs w:val="24"/>
          <w:lang w:val="en-US"/>
        </w:rPr>
        <w:t xml:space="preserve"> that these capabilities can be implemented using current Generative AI technologies and provides a practical foundation for future enterprise-scale solutions.</w:t>
      </w:r>
    </w:p>
    <w:p w:rsidR="1DFABAD1" w:rsidP="6CF299B4" w:rsidRDefault="1DFABAD1" w14:paraId="46FE6616" w14:textId="1B99FBFB">
      <w:pPr>
        <w:pStyle w:val="Heading1"/>
        <w:spacing w:before="322" w:beforeAutospacing="off" w:after="322" w:afterAutospacing="off"/>
        <w:jc w:val="both"/>
        <w:rPr>
          <w:rFonts w:ascii="Times New Roman" w:hAnsi="Times New Roman" w:eastAsia="Times New Roman" w:cs="Times New Roman"/>
          <w:b w:val="1"/>
          <w:bCs w:val="1"/>
          <w:noProof w:val="0"/>
          <w:color w:val="000000" w:themeColor="text1" w:themeTint="FF" w:themeShade="FF"/>
          <w:sz w:val="48"/>
          <w:szCs w:val="48"/>
          <w:lang w:val="en-US"/>
        </w:rPr>
      </w:pPr>
      <w:r w:rsidRPr="6CF299B4" w:rsidR="5E059BA9">
        <w:rPr>
          <w:rFonts w:ascii="Times New Roman" w:hAnsi="Times New Roman" w:eastAsia="Times New Roman" w:cs="Times New Roman"/>
          <w:b w:val="1"/>
          <w:bCs w:val="1"/>
          <w:noProof w:val="0"/>
          <w:color w:val="000000" w:themeColor="text1" w:themeTint="FF" w:themeShade="FF"/>
          <w:sz w:val="48"/>
          <w:szCs w:val="48"/>
          <w:lang w:val="en-US"/>
        </w:rPr>
        <w:t xml:space="preserve">References </w:t>
      </w:r>
    </w:p>
    <w:p w:rsidR="1DFABAD1" w:rsidP="6CF299B4" w:rsidRDefault="1DFABAD1" w14:paraId="21707C77" w14:textId="5D7CC268">
      <w:pPr>
        <w:spacing w:before="240" w:beforeAutospacing="off" w:after="240" w:afterAutospacing="off"/>
        <w:jc w:val="both"/>
        <w:rPr>
          <w:color w:val="000000" w:themeColor="text1" w:themeTint="FF" w:themeShade="FF"/>
        </w:rPr>
      </w:pPr>
      <w:r w:rsidRPr="6CF299B4" w:rsidR="5E059BA9">
        <w:rPr>
          <w:rFonts w:ascii="Aptos" w:hAnsi="Aptos" w:eastAsia="Aptos" w:cs="Aptos"/>
          <w:noProof w:val="0"/>
          <w:color w:val="000000" w:themeColor="text1" w:themeTint="FF" w:themeShade="FF"/>
          <w:sz w:val="24"/>
          <w:szCs w:val="24"/>
          <w:lang w:val="en-US"/>
        </w:rPr>
        <w:t xml:space="preserve">American Medical Association. (2025). </w:t>
      </w:r>
      <w:r w:rsidRPr="6CF299B4" w:rsidR="5E059BA9">
        <w:rPr>
          <w:rFonts w:ascii="Aptos" w:hAnsi="Aptos" w:eastAsia="Aptos" w:cs="Aptos"/>
          <w:i w:val="1"/>
          <w:iCs w:val="1"/>
          <w:noProof w:val="0"/>
          <w:color w:val="000000" w:themeColor="text1" w:themeTint="FF" w:themeShade="FF"/>
          <w:sz w:val="24"/>
          <w:szCs w:val="24"/>
          <w:lang w:val="en-US"/>
        </w:rPr>
        <w:t>Current Procedural Terminology (CPT®).</w:t>
      </w:r>
      <w:r w:rsidRPr="6CF299B4" w:rsidR="5E059BA9">
        <w:rPr>
          <w:rFonts w:ascii="Aptos" w:hAnsi="Aptos" w:eastAsia="Aptos" w:cs="Aptos"/>
          <w:noProof w:val="0"/>
          <w:color w:val="000000" w:themeColor="text1" w:themeTint="FF" w:themeShade="FF"/>
          <w:sz w:val="24"/>
          <w:szCs w:val="24"/>
          <w:lang w:val="en-US"/>
        </w:rPr>
        <w:t xml:space="preserve"> </w:t>
      </w:r>
      <w:hyperlink r:id="R44716d2de5b74572">
        <w:r w:rsidRPr="6CF299B4" w:rsidR="5E059BA9">
          <w:rPr>
            <w:rStyle w:val="Hyperlink"/>
            <w:noProof w:val="0"/>
            <w:color w:val="000000" w:themeColor="text1" w:themeTint="FF" w:themeShade="FF"/>
            <w:lang w:val="en-US"/>
          </w:rPr>
          <w:t>https://www.ama-assn.org</w:t>
        </w:r>
      </w:hyperlink>
    </w:p>
    <w:p w:rsidR="1DFABAD1" w:rsidP="6CF299B4" w:rsidRDefault="1DFABAD1" w14:paraId="094FBD38" w14:textId="4DFDF349">
      <w:pPr>
        <w:spacing w:before="240" w:beforeAutospacing="off" w:after="240" w:afterAutospacing="off"/>
        <w:jc w:val="both"/>
        <w:rPr>
          <w:color w:val="000000" w:themeColor="text1" w:themeTint="FF" w:themeShade="FF"/>
        </w:rPr>
      </w:pPr>
      <w:r w:rsidRPr="6CF299B4" w:rsidR="5E059BA9">
        <w:rPr>
          <w:rFonts w:ascii="Aptos" w:hAnsi="Aptos" w:eastAsia="Aptos" w:cs="Aptos"/>
          <w:noProof w:val="0"/>
          <w:color w:val="000000" w:themeColor="text1" w:themeTint="FF" w:themeShade="FF"/>
          <w:sz w:val="24"/>
          <w:szCs w:val="24"/>
          <w:lang w:val="en-US"/>
        </w:rPr>
        <w:t xml:space="preserve">Centers for Medicare &amp; Medicaid Services. (2025). </w:t>
      </w:r>
      <w:r w:rsidRPr="6CF299B4" w:rsidR="5E059BA9">
        <w:rPr>
          <w:rFonts w:ascii="Aptos" w:hAnsi="Aptos" w:eastAsia="Aptos" w:cs="Aptos"/>
          <w:i w:val="1"/>
          <w:iCs w:val="1"/>
          <w:noProof w:val="0"/>
          <w:color w:val="000000" w:themeColor="text1" w:themeTint="FF" w:themeShade="FF"/>
          <w:sz w:val="24"/>
          <w:szCs w:val="24"/>
          <w:lang w:val="en-US"/>
        </w:rPr>
        <w:t>Medicare Claims Processing Manual.</w:t>
      </w:r>
      <w:r w:rsidRPr="6CF299B4" w:rsidR="5E059BA9">
        <w:rPr>
          <w:rFonts w:ascii="Aptos" w:hAnsi="Aptos" w:eastAsia="Aptos" w:cs="Aptos"/>
          <w:noProof w:val="0"/>
          <w:color w:val="000000" w:themeColor="text1" w:themeTint="FF" w:themeShade="FF"/>
          <w:sz w:val="24"/>
          <w:szCs w:val="24"/>
          <w:lang w:val="en-US"/>
        </w:rPr>
        <w:t xml:space="preserve"> </w:t>
      </w:r>
      <w:hyperlink r:id="R19dd8658a77542af">
        <w:r w:rsidRPr="6CF299B4" w:rsidR="5E059BA9">
          <w:rPr>
            <w:rStyle w:val="Hyperlink"/>
            <w:noProof w:val="0"/>
            <w:color w:val="000000" w:themeColor="text1" w:themeTint="FF" w:themeShade="FF"/>
            <w:lang w:val="en-US"/>
          </w:rPr>
          <w:t>https://www.cms.gov</w:t>
        </w:r>
      </w:hyperlink>
    </w:p>
    <w:p w:rsidR="1DFABAD1" w:rsidP="6CF299B4" w:rsidRDefault="1DFABAD1" w14:paraId="41D68A43" w14:textId="223E1F1D">
      <w:pPr>
        <w:spacing w:before="240" w:beforeAutospacing="off" w:after="240" w:afterAutospacing="off"/>
        <w:rPr>
          <w:color w:val="000000" w:themeColor="text1" w:themeTint="FF" w:themeShade="FF"/>
        </w:rPr>
      </w:pPr>
      <w:r w:rsidRPr="6CF299B4" w:rsidR="5E059BA9">
        <w:rPr>
          <w:rFonts w:ascii="Aptos" w:hAnsi="Aptos" w:eastAsia="Aptos" w:cs="Aptos"/>
          <w:noProof w:val="0"/>
          <w:color w:val="000000" w:themeColor="text1" w:themeTint="FF" w:themeShade="FF"/>
          <w:sz w:val="24"/>
          <w:szCs w:val="24"/>
          <w:lang w:val="en-US"/>
        </w:rPr>
        <w:t xml:space="preserve">National Institute of Standards and Technology. (2024). </w:t>
      </w:r>
      <w:r w:rsidRPr="6CF299B4" w:rsidR="5E059BA9">
        <w:rPr>
          <w:rFonts w:ascii="Aptos" w:hAnsi="Aptos" w:eastAsia="Aptos" w:cs="Aptos"/>
          <w:i w:val="1"/>
          <w:iCs w:val="1"/>
          <w:noProof w:val="0"/>
          <w:color w:val="000000" w:themeColor="text1" w:themeTint="FF" w:themeShade="FF"/>
          <w:sz w:val="24"/>
          <w:szCs w:val="24"/>
          <w:lang w:val="en-US"/>
        </w:rPr>
        <w:t>Artificial Intelligence Risk Management Framework (AI RMF 1.0).</w:t>
      </w:r>
      <w:r w:rsidRPr="6CF299B4" w:rsidR="5E059BA9">
        <w:rPr>
          <w:rFonts w:ascii="Aptos" w:hAnsi="Aptos" w:eastAsia="Aptos" w:cs="Aptos"/>
          <w:noProof w:val="0"/>
          <w:color w:val="000000" w:themeColor="text1" w:themeTint="FF" w:themeShade="FF"/>
          <w:sz w:val="24"/>
          <w:szCs w:val="24"/>
          <w:lang w:val="en-US"/>
        </w:rPr>
        <w:t xml:space="preserve"> </w:t>
      </w:r>
      <w:hyperlink r:id="R0509509b70b747d6">
        <w:r w:rsidRPr="6CF299B4" w:rsidR="5E059BA9">
          <w:rPr>
            <w:rStyle w:val="Hyperlink"/>
            <w:noProof w:val="0"/>
            <w:color w:val="000000" w:themeColor="text1" w:themeTint="FF" w:themeShade="FF"/>
            <w:lang w:val="en-US"/>
          </w:rPr>
          <w:t>https://www.nist.gov/itl/ai-risk-management-framework</w:t>
        </w:r>
      </w:hyperlink>
    </w:p>
    <w:p w:rsidR="1DFABAD1" w:rsidP="6CF299B4" w:rsidRDefault="1DFABAD1" w14:paraId="64C543BC" w14:textId="3C46D511">
      <w:pPr>
        <w:spacing w:before="240" w:beforeAutospacing="off" w:after="240" w:afterAutospacing="off"/>
        <w:rPr>
          <w:color w:val="000000" w:themeColor="text1" w:themeTint="FF" w:themeShade="FF"/>
        </w:rPr>
      </w:pPr>
      <w:r w:rsidRPr="6CF299B4" w:rsidR="5E059BA9">
        <w:rPr>
          <w:rFonts w:ascii="Aptos" w:hAnsi="Aptos" w:eastAsia="Aptos" w:cs="Aptos"/>
          <w:noProof w:val="0"/>
          <w:color w:val="000000" w:themeColor="text1" w:themeTint="FF" w:themeShade="FF"/>
          <w:sz w:val="24"/>
          <w:szCs w:val="24"/>
          <w:lang w:val="en-US"/>
        </w:rPr>
        <w:t xml:space="preserve">World Health Organization. (2024). </w:t>
      </w:r>
      <w:r w:rsidRPr="6CF299B4" w:rsidR="5E059BA9">
        <w:rPr>
          <w:rFonts w:ascii="Aptos" w:hAnsi="Aptos" w:eastAsia="Aptos" w:cs="Aptos"/>
          <w:i w:val="1"/>
          <w:iCs w:val="1"/>
          <w:noProof w:val="0"/>
          <w:color w:val="000000" w:themeColor="text1" w:themeTint="FF" w:themeShade="FF"/>
          <w:sz w:val="24"/>
          <w:szCs w:val="24"/>
          <w:lang w:val="en-US"/>
        </w:rPr>
        <w:t>Ethics and governance of artificial intelligence for health.</w:t>
      </w:r>
      <w:r w:rsidRPr="6CF299B4" w:rsidR="5E059BA9">
        <w:rPr>
          <w:rFonts w:ascii="Aptos" w:hAnsi="Aptos" w:eastAsia="Aptos" w:cs="Aptos"/>
          <w:noProof w:val="0"/>
          <w:color w:val="000000" w:themeColor="text1" w:themeTint="FF" w:themeShade="FF"/>
          <w:sz w:val="24"/>
          <w:szCs w:val="24"/>
          <w:lang w:val="en-US"/>
        </w:rPr>
        <w:t xml:space="preserve"> </w:t>
      </w:r>
      <w:hyperlink r:id="Red1a5d1cda5c4d35">
        <w:r w:rsidRPr="6CF299B4" w:rsidR="5E059BA9">
          <w:rPr>
            <w:rStyle w:val="Hyperlink"/>
            <w:noProof w:val="0"/>
            <w:color w:val="000000" w:themeColor="text1" w:themeTint="FF" w:themeShade="FF"/>
            <w:lang w:val="en-US"/>
          </w:rPr>
          <w:t>https://www.who.int/publications/i/item/9789240029200</w:t>
        </w:r>
      </w:hyperlink>
    </w:p>
    <w:p w:rsidR="4B0675CD" w:rsidP="6CF299B4" w:rsidRDefault="4B0675CD" w14:paraId="3CD8028B" w14:textId="3F6EA558">
      <w:pPr>
        <w:pStyle w:val="Normal"/>
        <w:rPr>
          <w:rFonts w:ascii="Aptos" w:hAnsi="Aptos" w:eastAsia="Aptos" w:cs="Aptos"/>
          <w:noProof w:val="0"/>
          <w:color w:val="000000" w:themeColor="text1" w:themeTint="FF" w:themeShade="FF"/>
          <w:sz w:val="24"/>
          <w:szCs w:val="24"/>
          <w:lang w:val="en-US"/>
        </w:rPr>
      </w:pPr>
    </w:p>
    <w:sectPr w:rsidR="1B434BAA">
      <w:pgSz w:w="12240" w:h="15840" w:orient="portrait"/>
      <w:pgMar w:top="0" w:right="1080" w:bottom="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2D215F"/>
    <w:rsid w:val="0017239D"/>
    <w:rsid w:val="008B353C"/>
    <w:rsid w:val="0798DFBB"/>
    <w:rsid w:val="15E41D8E"/>
    <w:rsid w:val="1B434BAA"/>
    <w:rsid w:val="1BCBDCFC"/>
    <w:rsid w:val="1D438531"/>
    <w:rsid w:val="1DFABAD1"/>
    <w:rsid w:val="1F1E0B46"/>
    <w:rsid w:val="25FA8274"/>
    <w:rsid w:val="270AFD82"/>
    <w:rsid w:val="286F80FE"/>
    <w:rsid w:val="2FB62A3A"/>
    <w:rsid w:val="335AEA23"/>
    <w:rsid w:val="3815529C"/>
    <w:rsid w:val="459C6077"/>
    <w:rsid w:val="48A291D5"/>
    <w:rsid w:val="4AAAB4DA"/>
    <w:rsid w:val="4AFB5D44"/>
    <w:rsid w:val="4B0675CD"/>
    <w:rsid w:val="4D89FFB9"/>
    <w:rsid w:val="542F1C05"/>
    <w:rsid w:val="550B01BE"/>
    <w:rsid w:val="5635793B"/>
    <w:rsid w:val="5B31A8B2"/>
    <w:rsid w:val="5C45ED1A"/>
    <w:rsid w:val="5CDBAB6E"/>
    <w:rsid w:val="5E059BA9"/>
    <w:rsid w:val="5E3ACED5"/>
    <w:rsid w:val="6B851963"/>
    <w:rsid w:val="6C2B3744"/>
    <w:rsid w:val="6CF299B4"/>
    <w:rsid w:val="6D5B1540"/>
    <w:rsid w:val="6F4B2F15"/>
    <w:rsid w:val="782D215F"/>
    <w:rsid w:val="7E8185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F2A1E"/>
  <w15:chartTrackingRefBased/>
  <w15:docId w15:val="{81B50381-12EE-403E-AD12-C80FDCFD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AAAB4DA"/>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AAAB4DA"/>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B0675C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ma-assn.org/" TargetMode="External" Id="R44716d2de5b74572" /><Relationship Type="http://schemas.openxmlformats.org/officeDocument/2006/relationships/hyperlink" Target="https://www.cms.gov/" TargetMode="External" Id="R19dd8658a77542af" /><Relationship Type="http://schemas.openxmlformats.org/officeDocument/2006/relationships/hyperlink" Target="https://www.nist.gov/itl/ai-risk-management-framework" TargetMode="External" Id="R0509509b70b747d6" /><Relationship Type="http://schemas.openxmlformats.org/officeDocument/2006/relationships/hyperlink" Target="https://www.who.int/publications/i/item/9789240029200" TargetMode="External" Id="Red1a5d1cda5c4d3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Khadka, Dipa</dc:creator>
  <keywords/>
  <dc:description/>
  <lastModifiedBy>Khadka, Dipa</lastModifiedBy>
  <revision>4</revision>
  <dcterms:created xsi:type="dcterms:W3CDTF">2026-07-14T16:59:00.0000000Z</dcterms:created>
  <dcterms:modified xsi:type="dcterms:W3CDTF">2026-07-21T23:16:26.4729261Z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8c3cc9c-d660-41a9-8502-9ce659b5a1a4_Enabled">
    <vt:lpwstr>true</vt:lpwstr>
  </property>
  <property fmtid="{D5CDD505-2E9C-101B-9397-08002B2CF9AE}" pid="3" name="MSIP_Label_88c3cc9c-d660-41a9-8502-9ce659b5a1a4_SetDate">
    <vt:lpwstr>2026-07-14T16:59:55Z</vt:lpwstr>
  </property>
  <property fmtid="{D5CDD505-2E9C-101B-9397-08002B2CF9AE}" pid="4" name="MSIP_Label_88c3cc9c-d660-41a9-8502-9ce659b5a1a4_Method">
    <vt:lpwstr>Standard</vt:lpwstr>
  </property>
  <property fmtid="{D5CDD505-2E9C-101B-9397-08002B2CF9AE}" pid="5" name="MSIP_Label_88c3cc9c-d660-41a9-8502-9ce659b5a1a4_Name">
    <vt:lpwstr>defa4170-0d19-0005-0004-bc88714345d2</vt:lpwstr>
  </property>
  <property fmtid="{D5CDD505-2E9C-101B-9397-08002B2CF9AE}" pid="6" name="MSIP_Label_88c3cc9c-d660-41a9-8502-9ce659b5a1a4_SiteId">
    <vt:lpwstr>3c71cbab-b5ed-4f3b-ac0d-95509d6c0e93</vt:lpwstr>
  </property>
  <property fmtid="{D5CDD505-2E9C-101B-9397-08002B2CF9AE}" pid="7" name="MSIP_Label_88c3cc9c-d660-41a9-8502-9ce659b5a1a4_ActionId">
    <vt:lpwstr>0054d539-197a-43a3-86fc-7022658e88c1</vt:lpwstr>
  </property>
  <property fmtid="{D5CDD505-2E9C-101B-9397-08002B2CF9AE}" pid="8" name="MSIP_Label_88c3cc9c-d660-41a9-8502-9ce659b5a1a4_ContentBits">
    <vt:lpwstr>0</vt:lpwstr>
  </property>
  <property fmtid="{D5CDD505-2E9C-101B-9397-08002B2CF9AE}" pid="9" name="MSIP_Label_88c3cc9c-d660-41a9-8502-9ce659b5a1a4_Tag">
    <vt:lpwstr>10, 3, 0, 2</vt:lpwstr>
  </property>
</Properties>
</file>