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6AF" w:rsidRDefault="00465117">
      <w:hyperlink r:id="rId4" w:history="1">
        <w:r w:rsidRPr="00353C49">
          <w:rPr>
            <w:rStyle w:val="Hyperlink"/>
          </w:rPr>
          <w:t>https://docs.google.com/spreadsheets/d/114l7DCQoi2VQRcs6qC08umOsUYSrj7IFtqt95sYvzws/edit#gid=659206822</w:t>
        </w:r>
      </w:hyperlink>
    </w:p>
    <w:p w:rsidR="00465117" w:rsidRDefault="00465117">
      <w:hyperlink r:id="rId5" w:history="1">
        <w:r w:rsidRPr="00353C49">
          <w:rPr>
            <w:rStyle w:val="Hyperlink"/>
          </w:rPr>
          <w:t>https://docs.google.com/document/d/1qFfgFgN-ywfQqXkZwDCGSRCXpITxnb_JG-QHiPa8pfw/edit</w:t>
        </w:r>
      </w:hyperlink>
    </w:p>
    <w:p w:rsidR="00465117" w:rsidRDefault="00465117">
      <w:r w:rsidRPr="00465117">
        <w:t>https://docs.google.com/document/d/1qFfgFgN-ywfQqXkZwDCGSRCXpITxnb_JG-QHiPa8pfw/edit</w:t>
      </w:r>
    </w:p>
    <w:p w:rsidR="00465117" w:rsidRDefault="00465117">
      <w:pPr>
        <w:rPr>
          <w:rStyle w:val="c-messageeditedlabel"/>
          <w:rFonts w:ascii="Arial" w:hAnsi="Arial" w:cs="Arial"/>
          <w:sz w:val="20"/>
          <w:szCs w:val="20"/>
          <w:shd w:val="clear" w:color="auto" w:fill="F8F8F8"/>
        </w:rPr>
      </w:pPr>
      <w:r>
        <w:rPr>
          <w:rFonts w:ascii="Arial" w:hAnsi="Arial" w:cs="Arial"/>
          <w:b/>
          <w:bCs/>
          <w:color w:val="1D1C1D"/>
          <w:sz w:val="23"/>
          <w:szCs w:val="23"/>
          <w:shd w:val="clear" w:color="auto" w:fill="F8F8F8"/>
        </w:rPr>
        <w:t>25 External ID fields</w:t>
      </w:r>
      <w:r>
        <w:rPr>
          <w:rFonts w:ascii="Arial" w:hAnsi="Arial" w:cs="Arial"/>
          <w:color w:val="1D1C1D"/>
          <w:sz w:val="23"/>
          <w:szCs w:val="23"/>
        </w:rPr>
        <w:br/>
      </w:r>
      <w:r>
        <w:rPr>
          <w:rFonts w:ascii="Arial" w:hAnsi="Arial" w:cs="Arial"/>
          <w:b/>
          <w:bCs/>
          <w:color w:val="1D1C1D"/>
          <w:sz w:val="23"/>
          <w:szCs w:val="23"/>
          <w:shd w:val="clear" w:color="auto" w:fill="F8F8F8"/>
        </w:rPr>
        <w:t>You can designate up to 25 External ID fields per object. External ID fields must be Custom text, number or email fields. External ID fields contain record IDs from systems outside Salesforce. You can use the upsert call to match against External ID fields during import or integration.</w:t>
      </w:r>
      <w:r>
        <w:rPr>
          <w:rStyle w:val="c-messageeditedlabel"/>
          <w:rFonts w:ascii="Arial" w:hAnsi="Arial" w:cs="Arial"/>
          <w:sz w:val="20"/>
          <w:szCs w:val="20"/>
          <w:shd w:val="clear" w:color="auto" w:fill="F8F8F8"/>
        </w:rPr>
        <w:t> </w:t>
      </w:r>
    </w:p>
    <w:p w:rsidR="00465117" w:rsidRDefault="00465117"/>
    <w:sectPr w:rsidR="00465117" w:rsidSect="008826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5117"/>
    <w:rsid w:val="00465117"/>
    <w:rsid w:val="00882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117"/>
    <w:rPr>
      <w:color w:val="0000FF" w:themeColor="hyperlink"/>
      <w:u w:val="single"/>
    </w:rPr>
  </w:style>
  <w:style w:type="character" w:customStyle="1" w:styleId="c-messageeditedlabel">
    <w:name w:val="c-message__edited_label"/>
    <w:basedOn w:val="DefaultParagraphFont"/>
    <w:rsid w:val="004651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qFfgFgN-ywfQqXkZwDCGSRCXpITxnb_JG-QHiPa8pfw/edit" TargetMode="External"/><Relationship Id="rId4" Type="http://schemas.openxmlformats.org/officeDocument/2006/relationships/hyperlink" Target="https://docs.google.com/spreadsheets/d/114l7DCQoi2VQRcs6qC08umOsUYSrj7IFtqt95sYvzws/edit#gid=659206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Cyntexa</dc:creator>
  <cp:lastModifiedBy>Cyntexa</cp:lastModifiedBy>
  <cp:revision>1</cp:revision>
  <dcterms:created xsi:type="dcterms:W3CDTF">2023-10-25T06:37:00Z</dcterms:created>
  <dcterms:modified xsi:type="dcterms:W3CDTF">2023-10-25T06:40:00Z</dcterms:modified>
</cp:coreProperties>
</file>