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438E9" w14:textId="77777777" w:rsidR="000847A6" w:rsidRDefault="00A07B12" w:rsidP="000847A6">
      <w:pPr>
        <w:spacing w:after="120" w:line="240" w:lineRule="auto"/>
        <w:ind w:firstLine="576"/>
      </w:pPr>
      <w:commentRangeStart w:id="0"/>
      <w:r w:rsidRPr="00DC373F">
        <w:rPr>
          <w:rFonts w:eastAsia="SimSun"/>
          <w:szCs w:val="24"/>
        </w:rPr>
        <w:t>H7</w:t>
      </w:r>
      <w:commentRangeEnd w:id="0"/>
      <w:r>
        <w:rPr>
          <w:rStyle w:val="Refdecomentario"/>
        </w:rPr>
        <w:commentReference w:id="0"/>
      </w:r>
      <w:r w:rsidRPr="00DC373F">
        <w:rPr>
          <w:rFonts w:eastAsia="SimSun"/>
          <w:szCs w:val="24"/>
        </w:rPr>
        <w:t xml:space="preserve">: The relative speed of </w:t>
      </w:r>
      <w:r>
        <w:rPr>
          <w:rFonts w:eastAsia="SimSun"/>
          <w:szCs w:val="24"/>
        </w:rPr>
        <w:t xml:space="preserve">the </w:t>
      </w:r>
      <w:r w:rsidRPr="00DC373F">
        <w:rPr>
          <w:rFonts w:eastAsia="SimSun"/>
          <w:szCs w:val="24"/>
        </w:rPr>
        <w:t xml:space="preserve">activation </w:t>
      </w:r>
      <w:r>
        <w:rPr>
          <w:rFonts w:eastAsia="SimSun"/>
          <w:szCs w:val="24"/>
        </w:rPr>
        <w:t xml:space="preserve">of a </w:t>
      </w:r>
      <w:r w:rsidRPr="00DC373F">
        <w:rPr>
          <w:rFonts w:eastAsia="SimSun"/>
          <w:szCs w:val="24"/>
        </w:rPr>
        <w:t>public health emergency response by a provincial government is negatively correlated to the severity of the SARS epidemic in the province in 2003</w:t>
      </w:r>
      <w:r>
        <w:rPr>
          <w:rFonts w:eastAsia="SimSun"/>
          <w:szCs w:val="24"/>
        </w:rPr>
        <w:t>.</w:t>
      </w:r>
    </w:p>
    <w:p w14:paraId="53380541" w14:textId="77777777" w:rsidR="000847A6" w:rsidRDefault="000847A6" w:rsidP="000847A6">
      <w:pPr>
        <w:tabs>
          <w:tab w:val="left" w:pos="3780"/>
        </w:tabs>
      </w:pPr>
      <w:r>
        <w:tab/>
      </w:r>
    </w:p>
    <w:p w14:paraId="272E7AD0" w14:textId="77777777" w:rsidR="000847A6" w:rsidRPr="000847A6" w:rsidRDefault="000847A6" w:rsidP="000847A6">
      <w:pPr>
        <w:shd w:val="clear" w:color="auto" w:fill="FFFFFF"/>
        <w:spacing w:after="0" w:line="720" w:lineRule="atLeast"/>
        <w:outlineLvl w:val="0"/>
        <w:rPr>
          <w:rFonts w:ascii="Georgia" w:eastAsia="Times New Roman" w:hAnsi="Georgia" w:cs="Segoe UI"/>
          <w:kern w:val="36"/>
          <w:sz w:val="60"/>
          <w:szCs w:val="60"/>
          <w:lang w:eastAsia="en-US"/>
        </w:rPr>
      </w:pPr>
      <w:r w:rsidRPr="000847A6">
        <w:rPr>
          <w:rFonts w:ascii="Georgia" w:eastAsia="Times New Roman" w:hAnsi="Georgia" w:cs="Segoe UI"/>
          <w:kern w:val="36"/>
          <w:sz w:val="60"/>
          <w:szCs w:val="60"/>
          <w:lang w:eastAsia="en-US"/>
        </w:rPr>
        <w:t>Predicting Tomorrows Gold Price</w:t>
      </w:r>
    </w:p>
    <w:p w14:paraId="3D2A3C21" w14:textId="77777777" w:rsidR="000847A6" w:rsidRPr="000847A6" w:rsidRDefault="000847A6" w:rsidP="000847A6">
      <w:pPr>
        <w:shd w:val="clear" w:color="auto" w:fill="FFFFFF"/>
        <w:spacing w:after="0" w:line="480" w:lineRule="atLeast"/>
        <w:outlineLvl w:val="1"/>
        <w:rPr>
          <w:rFonts w:ascii="Lucida Sans Unicode" w:eastAsia="Times New Roman" w:hAnsi="Lucida Sans Unicode" w:cs="Lucida Sans Unicode"/>
          <w:sz w:val="36"/>
          <w:szCs w:val="36"/>
          <w:lang w:eastAsia="en-US"/>
        </w:rPr>
      </w:pPr>
      <w:r w:rsidRPr="000847A6">
        <w:rPr>
          <w:rFonts w:ascii="Lucida Sans Unicode" w:eastAsia="Times New Roman" w:hAnsi="Lucida Sans Unicode" w:cs="Lucida Sans Unicode"/>
          <w:sz w:val="36"/>
          <w:szCs w:val="36"/>
          <w:lang w:eastAsia="en-US"/>
        </w:rPr>
        <w:t>Do we have a market advantage?</w:t>
      </w:r>
    </w:p>
    <w:p w14:paraId="18518B2B" w14:textId="77777777" w:rsidR="000847A6" w:rsidRPr="000847A6" w:rsidRDefault="000847A6" w:rsidP="000847A6">
      <w:pPr>
        <w:shd w:val="clear" w:color="auto" w:fill="FFFFFF"/>
        <w:spacing w:after="0" w:line="240" w:lineRule="auto"/>
        <w:rPr>
          <w:rFonts w:ascii="Segoe UI" w:eastAsia="Times New Roman" w:hAnsi="Segoe UI" w:cs="Segoe UI"/>
          <w:color w:val="0000FF"/>
          <w:sz w:val="27"/>
          <w:szCs w:val="27"/>
          <w:lang w:eastAsia="en-US"/>
        </w:rPr>
      </w:pPr>
      <w:r w:rsidRPr="000847A6">
        <w:rPr>
          <w:rFonts w:ascii="Segoe UI" w:eastAsia="Times New Roman" w:hAnsi="Segoe UI" w:cs="Segoe UI"/>
          <w:sz w:val="27"/>
          <w:szCs w:val="27"/>
          <w:lang w:eastAsia="en-US"/>
        </w:rPr>
        <w:fldChar w:fldCharType="begin"/>
      </w:r>
      <w:r w:rsidRPr="000847A6">
        <w:rPr>
          <w:rFonts w:ascii="Segoe UI" w:eastAsia="Times New Roman" w:hAnsi="Segoe UI" w:cs="Segoe UI"/>
          <w:sz w:val="27"/>
          <w:szCs w:val="27"/>
          <w:lang w:eastAsia="en-US"/>
        </w:rPr>
        <w:instrText xml:space="preserve"> HYPERLINK "https://towardsdatascience.com/@bhanuyerra?source=post_page-----25f914521f86----------------------" </w:instrText>
      </w:r>
      <w:r w:rsidRPr="000847A6">
        <w:rPr>
          <w:rFonts w:ascii="Segoe UI" w:eastAsia="Times New Roman" w:hAnsi="Segoe UI" w:cs="Segoe UI"/>
          <w:sz w:val="27"/>
          <w:szCs w:val="27"/>
          <w:lang w:eastAsia="en-US"/>
        </w:rPr>
        <w:fldChar w:fldCharType="separate"/>
      </w:r>
    </w:p>
    <w:p w14:paraId="0B54A78C" w14:textId="77777777" w:rsidR="000847A6" w:rsidRPr="000847A6" w:rsidRDefault="000847A6" w:rsidP="000847A6">
      <w:pPr>
        <w:shd w:val="clear" w:color="auto" w:fill="FFFFFF"/>
        <w:spacing w:after="0" w:line="240" w:lineRule="auto"/>
        <w:rPr>
          <w:rFonts w:eastAsia="Times New Roman"/>
          <w:szCs w:val="24"/>
          <w:lang w:eastAsia="en-US"/>
        </w:rPr>
      </w:pPr>
      <w:r w:rsidRPr="000847A6">
        <w:rPr>
          <w:rFonts w:ascii="Segoe UI" w:eastAsia="Times New Roman" w:hAnsi="Segoe UI" w:cs="Segoe UI"/>
          <w:noProof/>
          <w:color w:val="0000FF"/>
          <w:sz w:val="27"/>
          <w:szCs w:val="27"/>
          <w:lang w:eastAsia="en-US"/>
        </w:rPr>
        <w:drawing>
          <wp:inline distT="0" distB="0" distL="0" distR="0" wp14:anchorId="194257AD" wp14:editId="212A4E82">
            <wp:extent cx="457200" cy="457200"/>
            <wp:effectExtent l="0" t="0" r="0" b="0"/>
            <wp:docPr id="19" name="Imagen 19" descr="Bhanu Yerr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anu Yerra">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9AC5ECE" w14:textId="77777777" w:rsidR="000847A6" w:rsidRPr="000847A6" w:rsidRDefault="000847A6" w:rsidP="000847A6">
      <w:pPr>
        <w:shd w:val="clear" w:color="auto" w:fill="FFFFFF"/>
        <w:spacing w:after="0" w:line="240" w:lineRule="auto"/>
        <w:rPr>
          <w:rFonts w:ascii="Segoe UI" w:eastAsia="Times New Roman" w:hAnsi="Segoe UI" w:cs="Segoe UI"/>
          <w:sz w:val="27"/>
          <w:szCs w:val="27"/>
          <w:lang w:eastAsia="en-US"/>
        </w:rPr>
      </w:pPr>
      <w:r w:rsidRPr="000847A6">
        <w:rPr>
          <w:rFonts w:ascii="Segoe UI" w:eastAsia="Times New Roman" w:hAnsi="Segoe UI" w:cs="Segoe UI"/>
          <w:sz w:val="27"/>
          <w:szCs w:val="27"/>
          <w:lang w:eastAsia="en-US"/>
        </w:rPr>
        <w:fldChar w:fldCharType="end"/>
      </w:r>
    </w:p>
    <w:p w14:paraId="74BDE078" w14:textId="77777777" w:rsidR="000847A6" w:rsidRPr="000847A6" w:rsidRDefault="000847A6" w:rsidP="000847A6">
      <w:pPr>
        <w:shd w:val="clear" w:color="auto" w:fill="FFFFFF"/>
        <w:spacing w:after="0" w:line="300" w:lineRule="atLeast"/>
        <w:rPr>
          <w:rFonts w:ascii="Lucida Sans Unicode" w:eastAsia="Times New Roman" w:hAnsi="Lucida Sans Unicode" w:cs="Lucida Sans Unicode"/>
          <w:szCs w:val="24"/>
          <w:lang w:eastAsia="en-US"/>
        </w:rPr>
      </w:pPr>
      <w:hyperlink r:id="rId10" w:history="1">
        <w:r w:rsidRPr="000847A6">
          <w:rPr>
            <w:rFonts w:ascii="inherit" w:eastAsia="Times New Roman" w:hAnsi="inherit" w:cs="Lucida Sans Unicode"/>
            <w:color w:val="0000FF"/>
            <w:szCs w:val="24"/>
            <w:u w:val="single"/>
            <w:lang w:eastAsia="en-US"/>
          </w:rPr>
          <w:t xml:space="preserve">Bhanu </w:t>
        </w:r>
        <w:proofErr w:type="spellStart"/>
        <w:r w:rsidRPr="000847A6">
          <w:rPr>
            <w:rFonts w:ascii="inherit" w:eastAsia="Times New Roman" w:hAnsi="inherit" w:cs="Lucida Sans Unicode"/>
            <w:color w:val="0000FF"/>
            <w:szCs w:val="24"/>
            <w:u w:val="single"/>
            <w:lang w:eastAsia="en-US"/>
          </w:rPr>
          <w:t>Yerra</w:t>
        </w:r>
        <w:proofErr w:type="spellEnd"/>
      </w:hyperlink>
    </w:p>
    <w:p w14:paraId="3359616B" w14:textId="77777777" w:rsidR="000847A6" w:rsidRPr="000847A6" w:rsidRDefault="000847A6" w:rsidP="000847A6">
      <w:pPr>
        <w:shd w:val="clear" w:color="auto" w:fill="FFFFFF"/>
        <w:spacing w:after="0" w:line="300" w:lineRule="atLeast"/>
        <w:rPr>
          <w:rFonts w:ascii="Lucida Sans Unicode" w:eastAsia="Times New Roman" w:hAnsi="Lucida Sans Unicode" w:cs="Lucida Sans Unicode"/>
          <w:sz w:val="16"/>
          <w:szCs w:val="16"/>
          <w:lang w:eastAsia="en-US"/>
        </w:rPr>
      </w:pPr>
      <w:hyperlink r:id="rId11" w:history="1">
        <w:r w:rsidRPr="000847A6">
          <w:rPr>
            <w:rFonts w:ascii="inherit" w:eastAsia="Times New Roman" w:hAnsi="inherit" w:cs="Lucida Sans Unicode"/>
            <w:color w:val="0000FF"/>
            <w:sz w:val="16"/>
            <w:szCs w:val="16"/>
            <w:u w:val="single"/>
            <w:lang w:eastAsia="en-US"/>
          </w:rPr>
          <w:t>Dec 18, 2019</w:t>
        </w:r>
      </w:hyperlink>
      <w:r w:rsidRPr="000847A6">
        <w:rPr>
          <w:rFonts w:ascii="Lucida Sans Unicode" w:eastAsia="Times New Roman" w:hAnsi="Lucida Sans Unicode" w:cs="Lucida Sans Unicode"/>
          <w:sz w:val="16"/>
          <w:szCs w:val="16"/>
          <w:lang w:eastAsia="en-US"/>
        </w:rPr>
        <w:t> · 7 min read</w:t>
      </w:r>
    </w:p>
    <w:p w14:paraId="06FB093C" w14:textId="77777777" w:rsidR="000847A6" w:rsidRPr="000847A6" w:rsidRDefault="000847A6" w:rsidP="000847A6">
      <w:pPr>
        <w:spacing w:after="0" w:line="240" w:lineRule="auto"/>
        <w:rPr>
          <w:rFonts w:eastAsia="Times New Roman"/>
          <w:sz w:val="16"/>
          <w:szCs w:val="16"/>
          <w:lang w:eastAsia="en-US"/>
        </w:rPr>
      </w:pPr>
    </w:p>
    <w:p w14:paraId="679E0196"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222E6E0A" wp14:editId="6A404D5F">
            <wp:extent cx="5400040" cy="30314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1490"/>
                    </a:xfrm>
                    <a:prstGeom prst="rect">
                      <a:avLst/>
                    </a:prstGeom>
                    <a:noFill/>
                    <a:ln>
                      <a:noFill/>
                    </a:ln>
                  </pic:spPr>
                </pic:pic>
              </a:graphicData>
            </a:graphic>
          </wp:inline>
        </w:drawing>
      </w:r>
    </w:p>
    <w:p w14:paraId="33AFB993" w14:textId="77777777" w:rsidR="000847A6" w:rsidRPr="000847A6" w:rsidRDefault="000847A6" w:rsidP="000847A6">
      <w:pPr>
        <w:shd w:val="clear" w:color="auto" w:fill="FFFFFF"/>
        <w:spacing w:before="468" w:after="0" w:line="240" w:lineRule="auto"/>
        <w:outlineLvl w:val="0"/>
        <w:rPr>
          <w:rFonts w:ascii="Lucida Sans Unicode" w:eastAsia="Times New Roman" w:hAnsi="Lucida Sans Unicode" w:cs="Lucida Sans Unicode"/>
          <w:b/>
          <w:bCs/>
          <w:spacing w:val="-5"/>
          <w:kern w:val="36"/>
          <w:sz w:val="36"/>
          <w:szCs w:val="36"/>
          <w:lang w:eastAsia="en-US"/>
        </w:rPr>
      </w:pPr>
      <w:r w:rsidRPr="000847A6">
        <w:rPr>
          <w:rFonts w:ascii="Lucida Sans Unicode" w:eastAsia="Times New Roman" w:hAnsi="Lucida Sans Unicode" w:cs="Lucida Sans Unicode"/>
          <w:b/>
          <w:bCs/>
          <w:spacing w:val="-5"/>
          <w:kern w:val="36"/>
          <w:sz w:val="36"/>
          <w:szCs w:val="36"/>
          <w:lang w:eastAsia="en-US"/>
        </w:rPr>
        <w:t>Introduction</w:t>
      </w:r>
    </w:p>
    <w:p w14:paraId="776F0D52"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Central banks across the world maintain gold reserves to guarantee the money of their depositors, foreign-debt creditors, and currency holders. Central banks also use gold reserves as a means to control inflation and strengthen their country’s financial standing. In addition, gold is used by finance companies, global institutions, money managers and individual investors to hedge against inflation and to diversify their portfolios. As a precious metal, gold is popular for jewelry and ornamentation.</w:t>
      </w:r>
    </w:p>
    <w:p w14:paraId="7A5F0995"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Given the standing of gold’s popularity in the contemporary world, forecasting its price is a widely explored topic and interesting to multiple global institutions and small &amp; large scale </w:t>
      </w:r>
      <w:r w:rsidRPr="000847A6">
        <w:rPr>
          <w:rFonts w:ascii="Georgia" w:eastAsia="Times New Roman" w:hAnsi="Georgia"/>
          <w:spacing w:val="-1"/>
          <w:sz w:val="20"/>
          <w:szCs w:val="20"/>
          <w:lang w:eastAsia="en-US"/>
        </w:rPr>
        <w:lastRenderedPageBreak/>
        <w:t>investors. It is also a complex problem given gold’s price fluctuations are not entirely based on supply and demand, but also depends on a multitude of geo-political and financial factors.</w:t>
      </w:r>
    </w:p>
    <w:p w14:paraId="2AFF90A4" w14:textId="77777777" w:rsidR="000847A6" w:rsidRPr="000847A6" w:rsidRDefault="000847A6" w:rsidP="000847A6">
      <w:pPr>
        <w:shd w:val="clear" w:color="auto" w:fill="FFFFFF"/>
        <w:spacing w:before="468" w:after="0" w:line="240" w:lineRule="auto"/>
        <w:outlineLvl w:val="0"/>
        <w:rPr>
          <w:rFonts w:ascii="Lucida Sans Unicode" w:eastAsia="Times New Roman" w:hAnsi="Lucida Sans Unicode" w:cs="Lucida Sans Unicode"/>
          <w:b/>
          <w:bCs/>
          <w:spacing w:val="-5"/>
          <w:kern w:val="36"/>
          <w:sz w:val="36"/>
          <w:szCs w:val="36"/>
          <w:lang w:eastAsia="en-US"/>
        </w:rPr>
      </w:pPr>
      <w:r w:rsidRPr="000847A6">
        <w:rPr>
          <w:rFonts w:ascii="Lucida Sans Unicode" w:eastAsia="Times New Roman" w:hAnsi="Lucida Sans Unicode" w:cs="Lucida Sans Unicode"/>
          <w:b/>
          <w:bCs/>
          <w:spacing w:val="-5"/>
          <w:kern w:val="36"/>
          <w:sz w:val="36"/>
          <w:szCs w:val="36"/>
          <w:lang w:eastAsia="en-US"/>
        </w:rPr>
        <w:t>Methodology</w:t>
      </w:r>
    </w:p>
    <w:p w14:paraId="295CB2A1"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The approach used for this analysis has three steps: data collection/assembly step, model building step, and an evaluation step.</w:t>
      </w:r>
    </w:p>
    <w:p w14:paraId="643D962A" w14:textId="77777777" w:rsidR="000847A6" w:rsidRPr="000847A6" w:rsidRDefault="000847A6" w:rsidP="000847A6">
      <w:pPr>
        <w:spacing w:after="0" w:line="240" w:lineRule="auto"/>
        <w:rPr>
          <w:rFonts w:eastAsia="Times New Roman"/>
          <w:sz w:val="16"/>
          <w:szCs w:val="16"/>
          <w:lang w:eastAsia="en-US"/>
        </w:rPr>
      </w:pPr>
    </w:p>
    <w:p w14:paraId="29B6B4A2"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77E78B48" wp14:editId="08D75128">
            <wp:extent cx="5400040" cy="12280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228090"/>
                    </a:xfrm>
                    <a:prstGeom prst="rect">
                      <a:avLst/>
                    </a:prstGeom>
                    <a:noFill/>
                    <a:ln>
                      <a:noFill/>
                    </a:ln>
                  </pic:spPr>
                </pic:pic>
              </a:graphicData>
            </a:graphic>
          </wp:inline>
        </w:drawing>
      </w:r>
    </w:p>
    <w:p w14:paraId="613C697D" w14:textId="77777777" w:rsidR="000847A6" w:rsidRPr="000847A6" w:rsidRDefault="000847A6" w:rsidP="000847A6">
      <w:pPr>
        <w:shd w:val="clear" w:color="auto" w:fill="FFFFFF"/>
        <w:spacing w:before="413" w:after="0" w:line="240" w:lineRule="auto"/>
        <w:outlineLvl w:val="1"/>
        <w:rPr>
          <w:rFonts w:ascii="Lucida Sans Unicode" w:eastAsia="Times New Roman" w:hAnsi="Lucida Sans Unicode" w:cs="Lucida Sans Unicode"/>
          <w:b/>
          <w:bCs/>
          <w:spacing w:val="-5"/>
          <w:szCs w:val="24"/>
          <w:lang w:eastAsia="en-US"/>
        </w:rPr>
      </w:pPr>
      <w:r w:rsidRPr="000847A6">
        <w:rPr>
          <w:rFonts w:ascii="Lucida Sans Unicode" w:eastAsia="Times New Roman" w:hAnsi="Lucida Sans Unicode" w:cs="Lucida Sans Unicode"/>
          <w:b/>
          <w:bCs/>
          <w:spacing w:val="-5"/>
          <w:szCs w:val="24"/>
          <w:lang w:eastAsia="en-US"/>
        </w:rPr>
        <w:t>Data Collection and Assembly</w:t>
      </w:r>
    </w:p>
    <w:p w14:paraId="65A7DAEA"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The independent variables considered for this analysis include </w:t>
      </w:r>
      <w:r w:rsidRPr="000847A6">
        <w:rPr>
          <w:rFonts w:ascii="Georgia" w:eastAsia="Times New Roman" w:hAnsi="Georgia"/>
          <w:i/>
          <w:iCs/>
          <w:spacing w:val="-1"/>
          <w:sz w:val="20"/>
          <w:szCs w:val="20"/>
          <w:lang w:eastAsia="en-US"/>
        </w:rPr>
        <w:t>economic and market factors</w:t>
      </w:r>
      <w:r w:rsidRPr="000847A6">
        <w:rPr>
          <w:rFonts w:ascii="Georgia" w:eastAsia="Times New Roman" w:hAnsi="Georgia"/>
          <w:spacing w:val="-1"/>
          <w:sz w:val="20"/>
          <w:szCs w:val="20"/>
          <w:lang w:eastAsia="en-US"/>
        </w:rPr>
        <w:t> like S&amp;P 500, Dow Jones Industrial average, FTSE 100 Index, treasury bond rates, bank interest rates, US Dollar Index; and other </w:t>
      </w:r>
      <w:r w:rsidRPr="000847A6">
        <w:rPr>
          <w:rFonts w:ascii="Georgia" w:eastAsia="Times New Roman" w:hAnsi="Georgia"/>
          <w:i/>
          <w:iCs/>
          <w:spacing w:val="-1"/>
          <w:sz w:val="20"/>
          <w:szCs w:val="20"/>
          <w:lang w:eastAsia="en-US"/>
        </w:rPr>
        <w:t>commodity indicators</w:t>
      </w:r>
      <w:r w:rsidRPr="000847A6">
        <w:rPr>
          <w:rFonts w:ascii="Georgia" w:eastAsia="Times New Roman" w:hAnsi="Georgia"/>
          <w:spacing w:val="-1"/>
          <w:sz w:val="20"/>
          <w:szCs w:val="20"/>
          <w:lang w:eastAsia="en-US"/>
        </w:rPr>
        <w:t> like silver, platinum, palladium and crude oil prices. In addition, </w:t>
      </w:r>
      <w:r w:rsidRPr="000847A6">
        <w:rPr>
          <w:rFonts w:ascii="Georgia" w:eastAsia="Times New Roman" w:hAnsi="Georgia"/>
          <w:i/>
          <w:iCs/>
          <w:spacing w:val="-1"/>
          <w:sz w:val="20"/>
          <w:szCs w:val="20"/>
          <w:lang w:eastAsia="en-US"/>
        </w:rPr>
        <w:t>Gold Futures</w:t>
      </w:r>
      <w:r w:rsidRPr="000847A6">
        <w:rPr>
          <w:rFonts w:ascii="Georgia" w:eastAsia="Times New Roman" w:hAnsi="Georgia"/>
          <w:spacing w:val="-1"/>
          <w:sz w:val="20"/>
          <w:szCs w:val="20"/>
          <w:lang w:eastAsia="en-US"/>
        </w:rPr>
        <w:t> were also considered to reflect market expectation of future gold prices. A number of studies reviewed as part of this work have considered similar variables, with the exception of Gold Futures.</w:t>
      </w:r>
    </w:p>
    <w:p w14:paraId="73864288"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In the interest of containing the scope of this project, the international economic and market indicators from gold supplying and consuming countries, and variables indicating the seasonality in gold buying and selling, especially as it relates to some </w:t>
      </w:r>
      <w:proofErr w:type="spellStart"/>
      <w:r w:rsidRPr="000847A6">
        <w:rPr>
          <w:rFonts w:ascii="Georgia" w:eastAsia="Times New Roman" w:hAnsi="Georgia"/>
          <w:spacing w:val="-1"/>
          <w:sz w:val="20"/>
          <w:szCs w:val="20"/>
          <w:lang w:eastAsia="en-US"/>
        </w:rPr>
        <w:t>asian</w:t>
      </w:r>
      <w:proofErr w:type="spellEnd"/>
      <w:r w:rsidRPr="000847A6">
        <w:rPr>
          <w:rFonts w:ascii="Georgia" w:eastAsia="Times New Roman" w:hAnsi="Georgia"/>
          <w:spacing w:val="-1"/>
          <w:sz w:val="20"/>
          <w:szCs w:val="20"/>
          <w:lang w:eastAsia="en-US"/>
        </w:rPr>
        <w:t xml:space="preserve"> consumer markets, were not considered for this analysis. The data collected for this project was the daily closing market price of these variables for the years 2000 to 2018. Other daily </w:t>
      </w:r>
      <w:r w:rsidRPr="000847A6">
        <w:rPr>
          <w:rFonts w:ascii="Georgia" w:eastAsia="Times New Roman" w:hAnsi="Georgia"/>
          <w:i/>
          <w:iCs/>
          <w:spacing w:val="-1"/>
          <w:sz w:val="20"/>
          <w:szCs w:val="20"/>
          <w:lang w:eastAsia="en-US"/>
        </w:rPr>
        <w:t>market indications</w:t>
      </w:r>
      <w:r w:rsidRPr="000847A6">
        <w:rPr>
          <w:rFonts w:ascii="Georgia" w:eastAsia="Times New Roman" w:hAnsi="Georgia"/>
          <w:spacing w:val="-1"/>
          <w:sz w:val="20"/>
          <w:szCs w:val="20"/>
          <w:lang w:eastAsia="en-US"/>
        </w:rPr>
        <w:t xml:space="preserve"> like opening price, maximum, </w:t>
      </w:r>
      <w:proofErr w:type="spellStart"/>
      <w:r w:rsidRPr="000847A6">
        <w:rPr>
          <w:rFonts w:ascii="Georgia" w:eastAsia="Times New Roman" w:hAnsi="Georgia"/>
          <w:spacing w:val="-1"/>
          <w:sz w:val="20"/>
          <w:szCs w:val="20"/>
          <w:lang w:eastAsia="en-US"/>
        </w:rPr>
        <w:t>minumum</w:t>
      </w:r>
      <w:proofErr w:type="spellEnd"/>
      <w:r w:rsidRPr="000847A6">
        <w:rPr>
          <w:rFonts w:ascii="Georgia" w:eastAsia="Times New Roman" w:hAnsi="Georgia"/>
          <w:spacing w:val="-1"/>
          <w:sz w:val="20"/>
          <w:szCs w:val="20"/>
          <w:lang w:eastAsia="en-US"/>
        </w:rPr>
        <w:t>, and trading volume were not used in this analysis, but might be worthy for future work.</w:t>
      </w:r>
    </w:p>
    <w:p w14:paraId="00B36175"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The dependent variable, price of gold, was collected from kitco.com website and is based on the </w:t>
      </w:r>
      <w:r w:rsidRPr="000847A6">
        <w:rPr>
          <w:rFonts w:ascii="Georgia" w:eastAsia="Times New Roman" w:hAnsi="Georgia"/>
          <w:i/>
          <w:iCs/>
          <w:spacing w:val="-1"/>
          <w:sz w:val="20"/>
          <w:szCs w:val="20"/>
          <w:lang w:eastAsia="en-US"/>
        </w:rPr>
        <w:t>London Gold Fix</w:t>
      </w:r>
      <w:r w:rsidRPr="000847A6">
        <w:rPr>
          <w:rFonts w:ascii="Georgia" w:eastAsia="Times New Roman" w:hAnsi="Georgia"/>
          <w:spacing w:val="-1"/>
          <w:sz w:val="20"/>
          <w:szCs w:val="20"/>
          <w:lang w:eastAsia="en-US"/>
        </w:rPr>
        <w:t> benchmark. This benchmark price of gold is set by a group of participating international banks twice every business day in London as the name indicates, and is used for pricing majority of gold derivatives and products throughout the world markets. The highest of the two rates set each day was used for this analysis. The gold prices used for this project are shown below:</w:t>
      </w:r>
    </w:p>
    <w:p w14:paraId="7CAE7754" w14:textId="77777777" w:rsidR="000847A6" w:rsidRPr="000847A6" w:rsidRDefault="000847A6" w:rsidP="000847A6">
      <w:pPr>
        <w:spacing w:after="0" w:line="240" w:lineRule="auto"/>
        <w:rPr>
          <w:rFonts w:eastAsia="Times New Roman"/>
          <w:sz w:val="16"/>
          <w:szCs w:val="16"/>
          <w:lang w:eastAsia="en-US"/>
        </w:rPr>
      </w:pPr>
    </w:p>
    <w:p w14:paraId="4C24C9B4"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3FCC8960" wp14:editId="24BF0563">
            <wp:extent cx="5400040" cy="20116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011680"/>
                    </a:xfrm>
                    <a:prstGeom prst="rect">
                      <a:avLst/>
                    </a:prstGeom>
                    <a:noFill/>
                    <a:ln>
                      <a:noFill/>
                    </a:ln>
                  </pic:spPr>
                </pic:pic>
              </a:graphicData>
            </a:graphic>
          </wp:inline>
        </w:drawing>
      </w:r>
    </w:p>
    <w:p w14:paraId="3A5ACAE5"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lastRenderedPageBreak/>
        <w:t>The database was assembled from multiple market data sources, and stitched together using dates as the merging attribute. Once the data were “stitched” together, US holidays were removed from the analysis. In addition, any missing or unreasonable data tagged during an Exploratory Data Analysis step was imputed using the prices from the previous day (forward filling).</w:t>
      </w:r>
    </w:p>
    <w:p w14:paraId="48267820" w14:textId="77777777" w:rsidR="000847A6" w:rsidRPr="000847A6" w:rsidRDefault="000847A6" w:rsidP="000847A6">
      <w:pPr>
        <w:shd w:val="clear" w:color="auto" w:fill="FFFFFF"/>
        <w:spacing w:before="413" w:after="0" w:line="240" w:lineRule="auto"/>
        <w:outlineLvl w:val="1"/>
        <w:rPr>
          <w:rFonts w:ascii="Lucida Sans Unicode" w:eastAsia="Times New Roman" w:hAnsi="Lucida Sans Unicode" w:cs="Lucida Sans Unicode"/>
          <w:b/>
          <w:bCs/>
          <w:spacing w:val="-5"/>
          <w:szCs w:val="24"/>
          <w:lang w:eastAsia="en-US"/>
        </w:rPr>
      </w:pPr>
      <w:r w:rsidRPr="000847A6">
        <w:rPr>
          <w:rFonts w:ascii="Lucida Sans Unicode" w:eastAsia="Times New Roman" w:hAnsi="Lucida Sans Unicode" w:cs="Lucida Sans Unicode"/>
          <w:b/>
          <w:bCs/>
          <w:spacing w:val="-5"/>
          <w:szCs w:val="24"/>
          <w:lang w:eastAsia="en-US"/>
        </w:rPr>
        <w:t>Modeling</w:t>
      </w:r>
    </w:p>
    <w:p w14:paraId="06DB41AA"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As part of the model building exercise, linear regression and time series methods were used as shown below.</w:t>
      </w:r>
    </w:p>
    <w:p w14:paraId="2472C8A9" w14:textId="77777777" w:rsidR="000847A6" w:rsidRPr="000847A6" w:rsidRDefault="000847A6" w:rsidP="000847A6">
      <w:pPr>
        <w:spacing w:after="0" w:line="240" w:lineRule="auto"/>
        <w:rPr>
          <w:rFonts w:eastAsia="Times New Roman"/>
          <w:sz w:val="16"/>
          <w:szCs w:val="16"/>
          <w:lang w:eastAsia="en-US"/>
        </w:rPr>
      </w:pPr>
    </w:p>
    <w:p w14:paraId="6288D42F"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66AF961C" wp14:editId="791E8F2E">
            <wp:extent cx="5400040" cy="23247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3640F248"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The model building process had gone through the following steps, where each step went through multiple iterations as needed:</w:t>
      </w:r>
    </w:p>
    <w:p w14:paraId="749B7A83" w14:textId="77777777" w:rsidR="000847A6" w:rsidRPr="000847A6" w:rsidRDefault="000847A6" w:rsidP="000847A6">
      <w:pPr>
        <w:numPr>
          <w:ilvl w:val="0"/>
          <w:numId w:val="1"/>
        </w:numPr>
        <w:shd w:val="clear" w:color="auto" w:fill="FFFFFF"/>
        <w:spacing w:before="480"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t xml:space="preserve">Use daily prices from 2000 to 2015 to train linear regression models. Dependent variables tested as part of this step include: next day’s price, next week’s price, next month’s price, and percentage change for next day’s price. These models were then tested using the daily prices for 2016 to 2018. The outcome of this step was to use next </w:t>
      </w:r>
      <w:proofErr w:type="spellStart"/>
      <w:r w:rsidRPr="000847A6">
        <w:rPr>
          <w:rFonts w:ascii="Georgia" w:eastAsia="Times New Roman" w:hAnsi="Georgia" w:cs="Segoe UI"/>
          <w:spacing w:val="-1"/>
          <w:sz w:val="20"/>
          <w:szCs w:val="20"/>
          <w:lang w:eastAsia="en-US"/>
        </w:rPr>
        <w:t>days</w:t>
      </w:r>
      <w:proofErr w:type="spellEnd"/>
      <w:r w:rsidRPr="000847A6">
        <w:rPr>
          <w:rFonts w:ascii="Georgia" w:eastAsia="Times New Roman" w:hAnsi="Georgia" w:cs="Segoe UI"/>
          <w:spacing w:val="-1"/>
          <w:sz w:val="20"/>
          <w:szCs w:val="20"/>
          <w:lang w:eastAsia="en-US"/>
        </w:rPr>
        <w:t xml:space="preserve"> price as the dependent variable and use only one-year for model testing instead of three years. It was noted during this step that the performance of the model </w:t>
      </w:r>
      <w:proofErr w:type="spellStart"/>
      <w:r w:rsidRPr="000847A6">
        <w:rPr>
          <w:rFonts w:ascii="Georgia" w:eastAsia="Times New Roman" w:hAnsi="Georgia" w:cs="Segoe UI"/>
          <w:spacing w:val="-1"/>
          <w:sz w:val="20"/>
          <w:szCs w:val="20"/>
          <w:lang w:eastAsia="en-US"/>
        </w:rPr>
        <w:t>deterioates</w:t>
      </w:r>
      <w:proofErr w:type="spellEnd"/>
      <w:r w:rsidRPr="000847A6">
        <w:rPr>
          <w:rFonts w:ascii="Georgia" w:eastAsia="Times New Roman" w:hAnsi="Georgia" w:cs="Segoe UI"/>
          <w:spacing w:val="-1"/>
          <w:sz w:val="20"/>
          <w:szCs w:val="20"/>
          <w:lang w:eastAsia="en-US"/>
        </w:rPr>
        <w:t xml:space="preserve"> as farther the testing data gets from the training data.</w:t>
      </w:r>
    </w:p>
    <w:p w14:paraId="0BB7E2F0" w14:textId="77777777" w:rsidR="000847A6" w:rsidRPr="000847A6" w:rsidRDefault="000847A6" w:rsidP="000847A6">
      <w:pPr>
        <w:numPr>
          <w:ilvl w:val="0"/>
          <w:numId w:val="1"/>
        </w:numPr>
        <w:shd w:val="clear" w:color="auto" w:fill="FFFFFF"/>
        <w:spacing w:before="252"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t>Use daily prices from 2000 to 2015 to train linear regression models with costs log-transformed and scaled to center over zero. Test using the daily prices for the year 2016.</w:t>
      </w:r>
    </w:p>
    <w:p w14:paraId="2889C1AB" w14:textId="77777777" w:rsidR="000847A6" w:rsidRPr="000847A6" w:rsidRDefault="000847A6" w:rsidP="000847A6">
      <w:pPr>
        <w:numPr>
          <w:ilvl w:val="0"/>
          <w:numId w:val="1"/>
        </w:numPr>
        <w:shd w:val="clear" w:color="auto" w:fill="FFFFFF"/>
        <w:spacing w:before="252"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t>Use daily prices from 2000 to 2015 to train univariate time series models using gold prices with and without log-transformation. Test using the daily prices for the year 2016.</w:t>
      </w:r>
    </w:p>
    <w:p w14:paraId="47D7849A"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For time series models, only autoregressive (AR) models were used. For two time series functional forms explored, with and without log-transformed gold prices, the optimal order was determined to be 3 preceding days based on the Akaike Informational Criterion (AIC).</w:t>
      </w:r>
    </w:p>
    <w:p w14:paraId="3206ECBA" w14:textId="77777777" w:rsidR="000847A6" w:rsidRPr="000847A6" w:rsidRDefault="000847A6" w:rsidP="000847A6">
      <w:pPr>
        <w:shd w:val="clear" w:color="auto" w:fill="FFFFFF"/>
        <w:spacing w:before="413" w:after="0" w:line="240" w:lineRule="auto"/>
        <w:outlineLvl w:val="1"/>
        <w:rPr>
          <w:rFonts w:ascii="Lucida Sans Unicode" w:eastAsia="Times New Roman" w:hAnsi="Lucida Sans Unicode" w:cs="Lucida Sans Unicode"/>
          <w:b/>
          <w:bCs/>
          <w:spacing w:val="-5"/>
          <w:szCs w:val="24"/>
          <w:lang w:eastAsia="en-US"/>
        </w:rPr>
      </w:pPr>
      <w:r w:rsidRPr="000847A6">
        <w:rPr>
          <w:rFonts w:ascii="Lucida Sans Unicode" w:eastAsia="Times New Roman" w:hAnsi="Lucida Sans Unicode" w:cs="Lucida Sans Unicode"/>
          <w:b/>
          <w:bCs/>
          <w:spacing w:val="-5"/>
          <w:szCs w:val="24"/>
          <w:lang w:eastAsia="en-US"/>
        </w:rPr>
        <w:t>Model Evaluation</w:t>
      </w:r>
    </w:p>
    <w:p w14:paraId="4EB45ACF"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A critical step in evaluating the model performance for a time series </w:t>
      </w:r>
      <w:proofErr w:type="spellStart"/>
      <w:r w:rsidRPr="000847A6">
        <w:rPr>
          <w:rFonts w:ascii="Georgia" w:eastAsia="Times New Roman" w:hAnsi="Georgia"/>
          <w:spacing w:val="-1"/>
          <w:sz w:val="20"/>
          <w:szCs w:val="20"/>
          <w:lang w:eastAsia="en-US"/>
        </w:rPr>
        <w:t>vaiable</w:t>
      </w:r>
      <w:proofErr w:type="spellEnd"/>
      <w:r w:rsidRPr="000847A6">
        <w:rPr>
          <w:rFonts w:ascii="Georgia" w:eastAsia="Times New Roman" w:hAnsi="Georgia"/>
          <w:spacing w:val="-1"/>
          <w:sz w:val="20"/>
          <w:szCs w:val="20"/>
          <w:lang w:eastAsia="en-US"/>
        </w:rPr>
        <w:t xml:space="preserve"> like gold price is to compare the results against a naive solution. In case of a non-seasonal variable like gold price (as opposed to a seasonable variable like cotton prices or traffic volumes), the naive forecast is </w:t>
      </w:r>
      <w:r w:rsidRPr="000847A6">
        <w:rPr>
          <w:rFonts w:ascii="Georgia" w:eastAsia="Times New Roman" w:hAnsi="Georgia"/>
          <w:i/>
          <w:iCs/>
          <w:spacing w:val="-1"/>
          <w:sz w:val="20"/>
          <w:szCs w:val="20"/>
          <w:lang w:eastAsia="en-US"/>
        </w:rPr>
        <w:t>tomorrow’s gold price is same as today’s</w:t>
      </w:r>
      <w:r w:rsidRPr="000847A6">
        <w:rPr>
          <w:rFonts w:ascii="Georgia" w:eastAsia="Times New Roman" w:hAnsi="Georgia"/>
          <w:spacing w:val="-1"/>
          <w:sz w:val="20"/>
          <w:szCs w:val="20"/>
          <w:lang w:eastAsia="en-US"/>
        </w:rPr>
        <w:t xml:space="preserve">. Naive solution has limited utility as an investment strategy or decision making tool, but it makes a benchmark solution for model </w:t>
      </w:r>
      <w:proofErr w:type="spellStart"/>
      <w:r w:rsidRPr="000847A6">
        <w:rPr>
          <w:rFonts w:ascii="Georgia" w:eastAsia="Times New Roman" w:hAnsi="Georgia"/>
          <w:spacing w:val="-1"/>
          <w:sz w:val="20"/>
          <w:szCs w:val="20"/>
          <w:lang w:eastAsia="en-US"/>
        </w:rPr>
        <w:t>evalutation</w:t>
      </w:r>
      <w:proofErr w:type="spellEnd"/>
      <w:r w:rsidRPr="000847A6">
        <w:rPr>
          <w:rFonts w:ascii="Georgia" w:eastAsia="Times New Roman" w:hAnsi="Georgia"/>
          <w:spacing w:val="-1"/>
          <w:sz w:val="20"/>
          <w:szCs w:val="20"/>
          <w:lang w:eastAsia="en-US"/>
        </w:rPr>
        <w:t xml:space="preserve">. For </w:t>
      </w:r>
      <w:r w:rsidRPr="000847A6">
        <w:rPr>
          <w:rFonts w:ascii="Georgia" w:eastAsia="Times New Roman" w:hAnsi="Georgia"/>
          <w:spacing w:val="-1"/>
          <w:sz w:val="20"/>
          <w:szCs w:val="20"/>
          <w:lang w:eastAsia="en-US"/>
        </w:rPr>
        <w:lastRenderedPageBreak/>
        <w:t xml:space="preserve">model building steps 1 to 3 mentioned in the previous section, the metric used in model selection and comparing </w:t>
      </w:r>
      <w:proofErr w:type="spellStart"/>
      <w:r w:rsidRPr="000847A6">
        <w:rPr>
          <w:rFonts w:ascii="Georgia" w:eastAsia="Times New Roman" w:hAnsi="Georgia"/>
          <w:spacing w:val="-1"/>
          <w:sz w:val="20"/>
          <w:szCs w:val="20"/>
          <w:lang w:eastAsia="en-US"/>
        </w:rPr>
        <w:t>agaist</w:t>
      </w:r>
      <w:proofErr w:type="spellEnd"/>
      <w:r w:rsidRPr="000847A6">
        <w:rPr>
          <w:rFonts w:ascii="Georgia" w:eastAsia="Times New Roman" w:hAnsi="Georgia"/>
          <w:spacing w:val="-1"/>
          <w:sz w:val="20"/>
          <w:szCs w:val="20"/>
          <w:lang w:eastAsia="en-US"/>
        </w:rPr>
        <w:t xml:space="preserve"> the naive solution is R-square value.</w:t>
      </w:r>
    </w:p>
    <w:p w14:paraId="780C9CB9"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Once a model was selected, that functional form was used in </w:t>
      </w:r>
      <w:proofErr w:type="spellStart"/>
      <w:r w:rsidRPr="000847A6">
        <w:rPr>
          <w:rFonts w:ascii="Georgia" w:eastAsia="Times New Roman" w:hAnsi="Georgia"/>
          <w:spacing w:val="-1"/>
          <w:sz w:val="20"/>
          <w:szCs w:val="20"/>
          <w:lang w:eastAsia="en-US"/>
        </w:rPr>
        <w:t>performaning</w:t>
      </w:r>
      <w:proofErr w:type="spellEnd"/>
      <w:r w:rsidRPr="000847A6">
        <w:rPr>
          <w:rFonts w:ascii="Georgia" w:eastAsia="Times New Roman" w:hAnsi="Georgia"/>
          <w:spacing w:val="-1"/>
          <w:sz w:val="20"/>
          <w:szCs w:val="20"/>
          <w:lang w:eastAsia="en-US"/>
        </w:rPr>
        <w:t xml:space="preserve"> a chronological training/testing using an expanding window concept as shown below. Chronological training/testing was done for daily prices for every individual year from 2006 to 2018, using models that were trained with the data from the preceding years beginning with year 2000. For this chronological testing, Mean Absolute Error (MAE) was used for comparing against the naive solution.</w:t>
      </w:r>
    </w:p>
    <w:p w14:paraId="16E56A22" w14:textId="77777777" w:rsidR="000847A6" w:rsidRPr="000847A6" w:rsidRDefault="000847A6" w:rsidP="000847A6">
      <w:pPr>
        <w:spacing w:after="0" w:line="240" w:lineRule="auto"/>
        <w:rPr>
          <w:rFonts w:eastAsia="Times New Roman"/>
          <w:sz w:val="16"/>
          <w:szCs w:val="16"/>
          <w:lang w:eastAsia="en-US"/>
        </w:rPr>
      </w:pPr>
    </w:p>
    <w:p w14:paraId="7A2556D1"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57A5C385" wp14:editId="0D4AA680">
            <wp:extent cx="5400040" cy="3131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31820"/>
                    </a:xfrm>
                    <a:prstGeom prst="rect">
                      <a:avLst/>
                    </a:prstGeom>
                    <a:noFill/>
                    <a:ln>
                      <a:noFill/>
                    </a:ln>
                  </pic:spPr>
                </pic:pic>
              </a:graphicData>
            </a:graphic>
          </wp:inline>
        </w:drawing>
      </w:r>
    </w:p>
    <w:p w14:paraId="0580802C" w14:textId="77777777" w:rsidR="000847A6" w:rsidRPr="000847A6" w:rsidRDefault="000847A6" w:rsidP="000847A6">
      <w:pPr>
        <w:shd w:val="clear" w:color="auto" w:fill="FFFFFF"/>
        <w:spacing w:before="468" w:after="0" w:line="240" w:lineRule="auto"/>
        <w:outlineLvl w:val="0"/>
        <w:rPr>
          <w:rFonts w:ascii="Lucida Sans Unicode" w:eastAsia="Times New Roman" w:hAnsi="Lucida Sans Unicode" w:cs="Lucida Sans Unicode"/>
          <w:b/>
          <w:bCs/>
          <w:spacing w:val="-5"/>
          <w:kern w:val="36"/>
          <w:sz w:val="36"/>
          <w:szCs w:val="36"/>
          <w:lang w:eastAsia="en-US"/>
        </w:rPr>
      </w:pPr>
      <w:r w:rsidRPr="000847A6">
        <w:rPr>
          <w:rFonts w:ascii="Lucida Sans Unicode" w:eastAsia="Times New Roman" w:hAnsi="Lucida Sans Unicode" w:cs="Lucida Sans Unicode"/>
          <w:b/>
          <w:bCs/>
          <w:spacing w:val="-5"/>
          <w:kern w:val="36"/>
          <w:sz w:val="36"/>
          <w:szCs w:val="36"/>
          <w:lang w:eastAsia="en-US"/>
        </w:rPr>
        <w:t>Results</w:t>
      </w:r>
    </w:p>
    <w:p w14:paraId="2DC1CF5C"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Test results for the year 2016 from the model building step for simple linear regression are presented below. This model was trained using the daily gold prices from 2000 to 2015, and produced the best R-squared value compared against the naive forecast (0.9719 vs 0.9715). The model tracks pretty well with the actual 2016 gold prices, as demonstrated below:</w:t>
      </w:r>
    </w:p>
    <w:p w14:paraId="7F3CB8D0" w14:textId="77777777" w:rsidR="000847A6" w:rsidRPr="000847A6" w:rsidRDefault="000847A6" w:rsidP="000847A6">
      <w:pPr>
        <w:spacing w:after="0" w:line="240" w:lineRule="auto"/>
        <w:rPr>
          <w:rFonts w:eastAsia="Times New Roman"/>
          <w:sz w:val="16"/>
          <w:szCs w:val="16"/>
          <w:lang w:eastAsia="en-US"/>
        </w:rPr>
      </w:pPr>
    </w:p>
    <w:p w14:paraId="578AECD6"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36284B41" wp14:editId="42DBC884">
            <wp:extent cx="5400040" cy="20237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23745"/>
                    </a:xfrm>
                    <a:prstGeom prst="rect">
                      <a:avLst/>
                    </a:prstGeom>
                    <a:noFill/>
                    <a:ln>
                      <a:noFill/>
                    </a:ln>
                  </pic:spPr>
                </pic:pic>
              </a:graphicData>
            </a:graphic>
          </wp:inline>
        </w:drawing>
      </w:r>
    </w:p>
    <w:p w14:paraId="07ACAF87"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A scatterplot of forecasted 2016 gold prices vs actual gold prices is shown below.</w:t>
      </w:r>
    </w:p>
    <w:p w14:paraId="06D68319" w14:textId="77777777" w:rsidR="000847A6" w:rsidRDefault="000847A6" w:rsidP="000847A6">
      <w:pPr>
        <w:spacing w:after="0" w:line="240" w:lineRule="auto"/>
        <w:rPr>
          <w:rFonts w:eastAsia="Times New Roman"/>
          <w:sz w:val="16"/>
          <w:szCs w:val="16"/>
          <w:lang w:eastAsia="en-US"/>
        </w:rPr>
      </w:pPr>
    </w:p>
    <w:p w14:paraId="6E6FFA45" w14:textId="77777777" w:rsidR="004B28D3" w:rsidRDefault="004B28D3" w:rsidP="000847A6">
      <w:pPr>
        <w:spacing w:after="0" w:line="240" w:lineRule="auto"/>
        <w:rPr>
          <w:rFonts w:eastAsia="Times New Roman"/>
          <w:sz w:val="16"/>
          <w:szCs w:val="16"/>
          <w:lang w:eastAsia="en-US"/>
        </w:rPr>
      </w:pPr>
    </w:p>
    <w:p w14:paraId="58E11F01" w14:textId="77777777" w:rsidR="004B28D3" w:rsidRDefault="004B28D3" w:rsidP="000847A6">
      <w:pPr>
        <w:spacing w:after="0" w:line="240" w:lineRule="auto"/>
        <w:rPr>
          <w:rFonts w:eastAsia="Times New Roman"/>
          <w:sz w:val="16"/>
          <w:szCs w:val="16"/>
          <w:lang w:eastAsia="en-US"/>
        </w:rPr>
      </w:pPr>
      <w:r>
        <w:rPr>
          <w:rFonts w:eastAsia="Times New Roman"/>
          <w:sz w:val="16"/>
          <w:szCs w:val="16"/>
          <w:lang w:eastAsia="en-US"/>
        </w:rPr>
        <w:lastRenderedPageBreak/>
        <w:t>Consumption &amp; income. Wealth</w:t>
      </w:r>
    </w:p>
    <w:p w14:paraId="4F6F3F9B" w14:textId="77777777" w:rsidR="004B28D3" w:rsidRPr="000847A6" w:rsidRDefault="004B28D3" w:rsidP="000847A6">
      <w:pPr>
        <w:spacing w:after="0" w:line="240" w:lineRule="auto"/>
        <w:rPr>
          <w:rFonts w:eastAsia="Times New Roman"/>
          <w:sz w:val="16"/>
          <w:szCs w:val="16"/>
          <w:lang w:eastAsia="en-US"/>
        </w:rPr>
      </w:pPr>
    </w:p>
    <w:p w14:paraId="79E7F9C4"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302CC627" wp14:editId="40BA94C5">
            <wp:extent cx="5400040" cy="4788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788535"/>
                    </a:xfrm>
                    <a:prstGeom prst="rect">
                      <a:avLst/>
                    </a:prstGeom>
                    <a:noFill/>
                    <a:ln>
                      <a:noFill/>
                    </a:ln>
                  </pic:spPr>
                </pic:pic>
              </a:graphicData>
            </a:graphic>
          </wp:inline>
        </w:drawing>
      </w:r>
    </w:p>
    <w:p w14:paraId="5365D9F3"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Chronological training/test evaluation performed using the linear regression models are presented below for the years 2006 to 2012. For every single year in this timeframe, the forecasts are closer to the actual than the naive forecasts. Average forecast deviation is measured using the mean absolute error (MAE).</w:t>
      </w:r>
    </w:p>
    <w:p w14:paraId="056721F6" w14:textId="77777777" w:rsidR="000847A6" w:rsidRPr="000847A6" w:rsidRDefault="000847A6" w:rsidP="000847A6">
      <w:pPr>
        <w:spacing w:after="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50EA11CC" wp14:editId="3EB99CD8">
            <wp:extent cx="5400040" cy="19964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996440"/>
                    </a:xfrm>
                    <a:prstGeom prst="rect">
                      <a:avLst/>
                    </a:prstGeom>
                    <a:noFill/>
                    <a:ln>
                      <a:noFill/>
                    </a:ln>
                  </pic:spPr>
                </pic:pic>
              </a:graphicData>
            </a:graphic>
          </wp:inline>
        </w:drawing>
      </w:r>
    </w:p>
    <w:p w14:paraId="608E964F"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lastRenderedPageBreak/>
        <w:drawing>
          <wp:inline distT="0" distB="0" distL="0" distR="0" wp14:anchorId="71C2ED39" wp14:editId="5E138CFB">
            <wp:extent cx="5400040" cy="19964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996440"/>
                    </a:xfrm>
                    <a:prstGeom prst="rect">
                      <a:avLst/>
                    </a:prstGeom>
                    <a:noFill/>
                    <a:ln>
                      <a:noFill/>
                    </a:ln>
                  </pic:spPr>
                </pic:pic>
              </a:graphicData>
            </a:graphic>
          </wp:inline>
        </w:drawing>
      </w:r>
    </w:p>
    <w:p w14:paraId="59293A87"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Chronological training/test results for 2006 to 2018 are shown below. Notice how the model failed to capture the shifting trends in the gold market </w:t>
      </w:r>
      <w:proofErr w:type="spellStart"/>
      <w:r w:rsidRPr="000847A6">
        <w:rPr>
          <w:rFonts w:ascii="Georgia" w:eastAsia="Times New Roman" w:hAnsi="Georgia"/>
          <w:spacing w:val="-1"/>
          <w:sz w:val="20"/>
          <w:szCs w:val="20"/>
          <w:lang w:eastAsia="en-US"/>
        </w:rPr>
        <w:t>occured</w:t>
      </w:r>
      <w:proofErr w:type="spellEnd"/>
      <w:r w:rsidRPr="000847A6">
        <w:rPr>
          <w:rFonts w:ascii="Georgia" w:eastAsia="Times New Roman" w:hAnsi="Georgia"/>
          <w:spacing w:val="-1"/>
          <w:sz w:val="20"/>
          <w:szCs w:val="20"/>
          <w:lang w:eastAsia="en-US"/>
        </w:rPr>
        <w:t xml:space="preserve"> in 2013.</w:t>
      </w:r>
    </w:p>
    <w:p w14:paraId="1DB7211D" w14:textId="77777777" w:rsidR="000847A6" w:rsidRPr="000847A6" w:rsidRDefault="000847A6" w:rsidP="000847A6">
      <w:pPr>
        <w:spacing w:after="0" w:line="240" w:lineRule="auto"/>
        <w:rPr>
          <w:rFonts w:eastAsia="Times New Roman"/>
          <w:sz w:val="16"/>
          <w:szCs w:val="16"/>
          <w:lang w:eastAsia="en-US"/>
        </w:rPr>
      </w:pPr>
    </w:p>
    <w:p w14:paraId="157E27BC" w14:textId="77777777" w:rsidR="000847A6" w:rsidRPr="000847A6" w:rsidRDefault="000847A6" w:rsidP="000847A6">
      <w:pPr>
        <w:spacing w:after="100" w:line="240" w:lineRule="auto"/>
        <w:rPr>
          <w:rFonts w:eastAsia="Times New Roman"/>
          <w:sz w:val="16"/>
          <w:szCs w:val="16"/>
          <w:lang w:eastAsia="en-US"/>
        </w:rPr>
      </w:pPr>
      <w:r w:rsidRPr="000847A6">
        <w:rPr>
          <w:rFonts w:eastAsia="Times New Roman"/>
          <w:noProof/>
          <w:sz w:val="16"/>
          <w:szCs w:val="16"/>
          <w:lang w:eastAsia="en-US"/>
        </w:rPr>
        <w:drawing>
          <wp:inline distT="0" distB="0" distL="0" distR="0" wp14:anchorId="06B70300" wp14:editId="35FAC036">
            <wp:extent cx="5400040" cy="2054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054225"/>
                    </a:xfrm>
                    <a:prstGeom prst="rect">
                      <a:avLst/>
                    </a:prstGeom>
                    <a:noFill/>
                    <a:ln>
                      <a:noFill/>
                    </a:ln>
                  </pic:spPr>
                </pic:pic>
              </a:graphicData>
            </a:graphic>
          </wp:inline>
        </w:drawing>
      </w:r>
    </w:p>
    <w:p w14:paraId="23C714BD"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b/>
          <w:bCs/>
          <w:spacing w:val="-1"/>
          <w:sz w:val="20"/>
          <w:szCs w:val="20"/>
          <w:lang w:eastAsia="en-US"/>
        </w:rPr>
        <w:t>What happened in 2013?</w:t>
      </w:r>
      <w:r w:rsidRPr="000847A6">
        <w:rPr>
          <w:rFonts w:ascii="Georgia" w:eastAsia="Times New Roman" w:hAnsi="Georgia"/>
          <w:spacing w:val="-1"/>
          <w:sz w:val="20"/>
          <w:szCs w:val="20"/>
          <w:lang w:eastAsia="en-US"/>
        </w:rPr>
        <w:br/>
        <w:t xml:space="preserve">A huge swift in investments from precious metals to equites resulted in near 30% loss in gold prices in 2013 ending a 12-year bull market. This drop is primarily related to investors speculating US Federal </w:t>
      </w:r>
      <w:proofErr w:type="spellStart"/>
      <w:r w:rsidRPr="000847A6">
        <w:rPr>
          <w:rFonts w:ascii="Georgia" w:eastAsia="Times New Roman" w:hAnsi="Georgia"/>
          <w:spacing w:val="-1"/>
          <w:sz w:val="20"/>
          <w:szCs w:val="20"/>
          <w:lang w:eastAsia="en-US"/>
        </w:rPr>
        <w:t>Reserves</w:t>
      </w:r>
      <w:proofErr w:type="spellEnd"/>
      <w:r w:rsidRPr="000847A6">
        <w:rPr>
          <w:rFonts w:ascii="Georgia" w:eastAsia="Times New Roman" w:hAnsi="Georgia"/>
          <w:spacing w:val="-1"/>
          <w:sz w:val="20"/>
          <w:szCs w:val="20"/>
          <w:lang w:eastAsia="en-US"/>
        </w:rPr>
        <w:t xml:space="preserve"> cutting down their bond purchases removing any need to purchase gold as a hedge against US Dollar and inflation ( </w:t>
      </w:r>
      <w:hyperlink r:id="rId22" w:tgtFrame="_blank" w:history="1">
        <w:r w:rsidRPr="000847A6">
          <w:rPr>
            <w:rFonts w:ascii="Georgia" w:eastAsia="Times New Roman" w:hAnsi="Georgia"/>
            <w:color w:val="0000FF"/>
            <w:spacing w:val="-1"/>
            <w:sz w:val="20"/>
            <w:szCs w:val="20"/>
            <w:u w:val="single"/>
            <w:lang w:eastAsia="en-US"/>
          </w:rPr>
          <w:t>WSJ Article</w:t>
        </w:r>
      </w:hyperlink>
      <w:r w:rsidRPr="000847A6">
        <w:rPr>
          <w:rFonts w:ascii="Georgia" w:eastAsia="Times New Roman" w:hAnsi="Georgia"/>
          <w:spacing w:val="-1"/>
          <w:sz w:val="20"/>
          <w:szCs w:val="20"/>
          <w:lang w:eastAsia="en-US"/>
        </w:rPr>
        <w:t>).</w:t>
      </w:r>
    </w:p>
    <w:p w14:paraId="27736E67" w14:textId="77777777" w:rsidR="000847A6" w:rsidRPr="000847A6" w:rsidRDefault="000847A6" w:rsidP="000847A6">
      <w:pPr>
        <w:shd w:val="clear" w:color="auto" w:fill="FFFFFF"/>
        <w:spacing w:before="480"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 xml:space="preserve">The model </w:t>
      </w:r>
      <w:proofErr w:type="spellStart"/>
      <w:r w:rsidRPr="000847A6">
        <w:rPr>
          <w:rFonts w:ascii="Georgia" w:eastAsia="Times New Roman" w:hAnsi="Georgia"/>
          <w:spacing w:val="-1"/>
          <w:sz w:val="20"/>
          <w:szCs w:val="20"/>
          <w:lang w:eastAsia="en-US"/>
        </w:rPr>
        <w:t>estitmated</w:t>
      </w:r>
      <w:proofErr w:type="spellEnd"/>
      <w:r w:rsidRPr="000847A6">
        <w:rPr>
          <w:rFonts w:ascii="Georgia" w:eastAsia="Times New Roman" w:hAnsi="Georgia"/>
          <w:spacing w:val="-1"/>
          <w:sz w:val="20"/>
          <w:szCs w:val="20"/>
          <w:lang w:eastAsia="en-US"/>
        </w:rPr>
        <w:t xml:space="preserve"> using 2000 to 2012 training data was unable to fully capture the changing market conditions between </w:t>
      </w:r>
      <w:proofErr w:type="spellStart"/>
      <w:r w:rsidRPr="000847A6">
        <w:rPr>
          <w:rFonts w:ascii="Georgia" w:eastAsia="Times New Roman" w:hAnsi="Georgia"/>
          <w:spacing w:val="-1"/>
          <w:sz w:val="20"/>
          <w:szCs w:val="20"/>
          <w:lang w:eastAsia="en-US"/>
        </w:rPr>
        <w:t>equties</w:t>
      </w:r>
      <w:proofErr w:type="spellEnd"/>
      <w:r w:rsidRPr="000847A6">
        <w:rPr>
          <w:rFonts w:ascii="Georgia" w:eastAsia="Times New Roman" w:hAnsi="Georgia"/>
          <w:spacing w:val="-1"/>
          <w:sz w:val="20"/>
          <w:szCs w:val="20"/>
          <w:lang w:eastAsia="en-US"/>
        </w:rPr>
        <w:t xml:space="preserve">, </w:t>
      </w:r>
      <w:proofErr w:type="spellStart"/>
      <w:r w:rsidRPr="000847A6">
        <w:rPr>
          <w:rFonts w:ascii="Georgia" w:eastAsia="Times New Roman" w:hAnsi="Georgia"/>
          <w:spacing w:val="-1"/>
          <w:sz w:val="20"/>
          <w:szCs w:val="20"/>
          <w:lang w:eastAsia="en-US"/>
        </w:rPr>
        <w:t>t-bills</w:t>
      </w:r>
      <w:proofErr w:type="spellEnd"/>
      <w:r w:rsidRPr="000847A6">
        <w:rPr>
          <w:rFonts w:ascii="Georgia" w:eastAsia="Times New Roman" w:hAnsi="Georgia"/>
          <w:spacing w:val="-1"/>
          <w:sz w:val="20"/>
          <w:szCs w:val="20"/>
          <w:lang w:eastAsia="en-US"/>
        </w:rPr>
        <w:t>, US dollar, Federal Monetary policies, and the commodities markets.</w:t>
      </w:r>
    </w:p>
    <w:p w14:paraId="125F33CC" w14:textId="77777777" w:rsidR="000847A6" w:rsidRPr="000847A6" w:rsidRDefault="000847A6" w:rsidP="000847A6">
      <w:pPr>
        <w:shd w:val="clear" w:color="auto" w:fill="FFFFFF"/>
        <w:spacing w:before="468" w:after="0" w:line="240" w:lineRule="auto"/>
        <w:outlineLvl w:val="0"/>
        <w:rPr>
          <w:rFonts w:ascii="Lucida Sans Unicode" w:eastAsia="Times New Roman" w:hAnsi="Lucida Sans Unicode" w:cs="Lucida Sans Unicode"/>
          <w:b/>
          <w:bCs/>
          <w:spacing w:val="-5"/>
          <w:kern w:val="36"/>
          <w:sz w:val="36"/>
          <w:szCs w:val="36"/>
          <w:lang w:eastAsia="en-US"/>
        </w:rPr>
      </w:pPr>
      <w:r w:rsidRPr="000847A6">
        <w:rPr>
          <w:rFonts w:ascii="Lucida Sans Unicode" w:eastAsia="Times New Roman" w:hAnsi="Lucida Sans Unicode" w:cs="Lucida Sans Unicode"/>
          <w:b/>
          <w:bCs/>
          <w:spacing w:val="-5"/>
          <w:kern w:val="36"/>
          <w:sz w:val="36"/>
          <w:szCs w:val="36"/>
          <w:lang w:eastAsia="en-US"/>
        </w:rPr>
        <w:t>Conclusions</w:t>
      </w:r>
    </w:p>
    <w:p w14:paraId="6952CC6F" w14:textId="77777777" w:rsidR="000847A6" w:rsidRPr="000847A6" w:rsidRDefault="000847A6" w:rsidP="000847A6">
      <w:pPr>
        <w:shd w:val="clear" w:color="auto" w:fill="FFFFFF"/>
        <w:spacing w:before="206" w:after="0" w:line="240" w:lineRule="auto"/>
        <w:rPr>
          <w:rFonts w:ascii="Georgia" w:eastAsia="Times New Roman" w:hAnsi="Georgia"/>
          <w:spacing w:val="-1"/>
          <w:sz w:val="20"/>
          <w:szCs w:val="20"/>
          <w:lang w:eastAsia="en-US"/>
        </w:rPr>
      </w:pPr>
      <w:r w:rsidRPr="000847A6">
        <w:rPr>
          <w:rFonts w:ascii="Georgia" w:eastAsia="Times New Roman" w:hAnsi="Georgia"/>
          <w:spacing w:val="-1"/>
          <w:sz w:val="20"/>
          <w:szCs w:val="20"/>
          <w:lang w:eastAsia="en-US"/>
        </w:rPr>
        <w:t>The above historical analysis to model gold prices using linear regression and time series resulted in the following conclusions:</w:t>
      </w:r>
    </w:p>
    <w:p w14:paraId="2879A86D" w14:textId="77777777" w:rsidR="000847A6" w:rsidRPr="000847A6" w:rsidRDefault="000847A6" w:rsidP="000847A6">
      <w:pPr>
        <w:numPr>
          <w:ilvl w:val="0"/>
          <w:numId w:val="2"/>
        </w:numPr>
        <w:shd w:val="clear" w:color="auto" w:fill="FFFFFF"/>
        <w:spacing w:before="480"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t xml:space="preserve">For time series variables, always compare against a naive solution whether </w:t>
      </w:r>
      <w:proofErr w:type="spellStart"/>
      <w:r w:rsidRPr="000847A6">
        <w:rPr>
          <w:rFonts w:ascii="Georgia" w:eastAsia="Times New Roman" w:hAnsi="Georgia" w:cs="Segoe UI"/>
          <w:spacing w:val="-1"/>
          <w:sz w:val="20"/>
          <w:szCs w:val="20"/>
          <w:lang w:eastAsia="en-US"/>
        </w:rPr>
        <w:t>its</w:t>
      </w:r>
      <w:proofErr w:type="spellEnd"/>
      <w:r w:rsidRPr="000847A6">
        <w:rPr>
          <w:rFonts w:ascii="Georgia" w:eastAsia="Times New Roman" w:hAnsi="Georgia" w:cs="Segoe UI"/>
          <w:spacing w:val="-1"/>
          <w:sz w:val="20"/>
          <w:szCs w:val="20"/>
          <w:lang w:eastAsia="en-US"/>
        </w:rPr>
        <w:t xml:space="preserve"> possible to beat it or not.</w:t>
      </w:r>
    </w:p>
    <w:p w14:paraId="5E3F18DD" w14:textId="77777777" w:rsidR="000847A6" w:rsidRPr="000847A6" w:rsidRDefault="000847A6" w:rsidP="000847A6">
      <w:pPr>
        <w:numPr>
          <w:ilvl w:val="0"/>
          <w:numId w:val="2"/>
        </w:numPr>
        <w:shd w:val="clear" w:color="auto" w:fill="FFFFFF"/>
        <w:spacing w:before="252"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t>Check how far your model can hold and extend the trends. Not all models can completely generalize a highly complex system like stocks and commodity markets. Aim for a smaller timeframe and update your model frequently.</w:t>
      </w:r>
    </w:p>
    <w:p w14:paraId="35A9CA20" w14:textId="77777777" w:rsidR="000847A6" w:rsidRPr="000847A6" w:rsidRDefault="000847A6" w:rsidP="000847A6">
      <w:pPr>
        <w:numPr>
          <w:ilvl w:val="0"/>
          <w:numId w:val="2"/>
        </w:numPr>
        <w:shd w:val="clear" w:color="auto" w:fill="FFFFFF"/>
        <w:spacing w:before="252" w:after="0" w:line="240" w:lineRule="auto"/>
        <w:ind w:left="450"/>
        <w:rPr>
          <w:rFonts w:ascii="Georgia" w:eastAsia="Times New Roman" w:hAnsi="Georgia" w:cs="Segoe UI"/>
          <w:spacing w:val="-1"/>
          <w:sz w:val="20"/>
          <w:szCs w:val="20"/>
          <w:lang w:eastAsia="en-US"/>
        </w:rPr>
      </w:pPr>
      <w:r w:rsidRPr="000847A6">
        <w:rPr>
          <w:rFonts w:ascii="Georgia" w:eastAsia="Times New Roman" w:hAnsi="Georgia" w:cs="Segoe UI"/>
          <w:spacing w:val="-1"/>
          <w:sz w:val="20"/>
          <w:szCs w:val="20"/>
          <w:lang w:eastAsia="en-US"/>
        </w:rPr>
        <w:lastRenderedPageBreak/>
        <w:t>Have multiple models. Even if time series wouldn’t have performed well better than the naive forecasts before 2012, it would have captured the 2013 gold price drops better than the linear regression, which did pretty well against naive forecast.</w:t>
      </w:r>
    </w:p>
    <w:p w14:paraId="4DBC006C" w14:textId="77777777" w:rsidR="000847A6" w:rsidRPr="000847A6" w:rsidRDefault="000847A6" w:rsidP="000847A6">
      <w:pPr>
        <w:shd w:val="clear" w:color="auto" w:fill="FFFFFF"/>
        <w:spacing w:before="468" w:after="0" w:line="240" w:lineRule="auto"/>
        <w:outlineLvl w:val="0"/>
        <w:rPr>
          <w:rFonts w:ascii="Lucida Sans Unicode" w:eastAsia="Times New Roman" w:hAnsi="Lucida Sans Unicode" w:cs="Lucida Sans Unicode"/>
          <w:b/>
          <w:bCs/>
          <w:spacing w:val="-5"/>
          <w:kern w:val="36"/>
          <w:sz w:val="36"/>
          <w:szCs w:val="36"/>
          <w:lang w:eastAsia="en-US"/>
        </w:rPr>
      </w:pPr>
      <w:r w:rsidRPr="000847A6">
        <w:rPr>
          <w:rFonts w:ascii="Lucida Sans Unicode" w:eastAsia="Times New Roman" w:hAnsi="Lucida Sans Unicode" w:cs="Lucida Sans Unicode"/>
          <w:b/>
          <w:bCs/>
          <w:spacing w:val="-5"/>
          <w:kern w:val="36"/>
          <w:sz w:val="36"/>
          <w:szCs w:val="36"/>
          <w:lang w:eastAsia="en-US"/>
        </w:rPr>
        <w:t>Reference</w:t>
      </w:r>
    </w:p>
    <w:p w14:paraId="4068FE0F" w14:textId="77777777" w:rsidR="000847A6" w:rsidRDefault="000847A6" w:rsidP="000847A6">
      <w:pPr>
        <w:tabs>
          <w:tab w:val="left" w:pos="3780"/>
        </w:tabs>
      </w:pPr>
    </w:p>
    <w:p w14:paraId="16E76297" w14:textId="77777777" w:rsidR="004B28D3" w:rsidRPr="004B28D3" w:rsidRDefault="004B28D3" w:rsidP="004B28D3">
      <w:pPr>
        <w:spacing w:after="0" w:line="240" w:lineRule="auto"/>
        <w:rPr>
          <w:rFonts w:eastAsia="Times New Roman"/>
          <w:szCs w:val="24"/>
          <w:lang w:eastAsia="en-US"/>
        </w:rPr>
      </w:pPr>
      <w:r w:rsidRPr="004B28D3">
        <w:rPr>
          <w:rFonts w:ascii="Arial" w:eastAsia="Times New Roman" w:hAnsi="Arial" w:cs="Arial"/>
          <w:b/>
          <w:bCs/>
          <w:color w:val="000000"/>
          <w:sz w:val="18"/>
          <w:szCs w:val="18"/>
          <w:lang w:eastAsia="en-US"/>
        </w:rPr>
        <w:t>Correlation with other asset classes</w:t>
      </w:r>
      <w:r w:rsidRPr="004B28D3">
        <w:rPr>
          <w:rFonts w:ascii="Arial" w:eastAsia="Times New Roman" w:hAnsi="Arial" w:cs="Arial"/>
          <w:b/>
          <w:bCs/>
          <w:color w:val="000000"/>
          <w:sz w:val="18"/>
          <w:szCs w:val="18"/>
          <w:lang w:eastAsia="en-US"/>
        </w:rPr>
        <w:br/>
      </w:r>
      <w:r w:rsidRPr="004B28D3">
        <w:rPr>
          <w:rFonts w:ascii="Arial" w:eastAsia="Times New Roman" w:hAnsi="Arial" w:cs="Arial"/>
          <w:color w:val="000000"/>
          <w:sz w:val="18"/>
          <w:szCs w:val="18"/>
          <w:shd w:val="clear" w:color="auto" w:fill="FFFFFF"/>
          <w:lang w:eastAsia="en-US"/>
        </w:rPr>
        <w:t>It is believed by some economists that gold is a highly effective portfolio diversifier due to its low to negative correlation with all major asset classes. Still, as a rule, gold shows no statistically significant correlation with mainstream asset classes. However, some suggests that there is evidence that when equities are under stress, in other words when shares are falling rapidly in value, an inverse correlation can develop between go ..</w:t>
      </w:r>
      <w:r w:rsidRPr="004B28D3">
        <w:rPr>
          <w:rFonts w:ascii="Arial" w:eastAsia="Times New Roman" w:hAnsi="Arial" w:cs="Arial"/>
          <w:color w:val="000000"/>
          <w:sz w:val="18"/>
          <w:szCs w:val="18"/>
          <w:lang w:eastAsia="en-US"/>
        </w:rPr>
        <w:br/>
      </w:r>
    </w:p>
    <w:p w14:paraId="45BDE5DD" w14:textId="77777777" w:rsidR="004B28D3" w:rsidRPr="004B28D3" w:rsidRDefault="004B28D3" w:rsidP="004B28D3">
      <w:pPr>
        <w:spacing w:after="0" w:line="240" w:lineRule="auto"/>
        <w:textAlignment w:val="baseline"/>
        <w:rPr>
          <w:rFonts w:ascii="Arial" w:eastAsia="Times New Roman" w:hAnsi="Arial" w:cs="Arial"/>
          <w:color w:val="000000"/>
          <w:sz w:val="18"/>
          <w:szCs w:val="18"/>
          <w:lang w:eastAsia="en-US"/>
        </w:rPr>
      </w:pPr>
      <w:r w:rsidRPr="004B28D3">
        <w:rPr>
          <w:rFonts w:ascii="Arial" w:eastAsia="Times New Roman" w:hAnsi="Arial" w:cs="Arial"/>
          <w:color w:val="000000"/>
          <w:sz w:val="18"/>
          <w:szCs w:val="18"/>
          <w:lang w:eastAsia="en-US"/>
        </w:rPr>
        <w:t>Read more at:</w:t>
      </w:r>
      <w:r w:rsidRPr="004B28D3">
        <w:rPr>
          <w:rFonts w:ascii="Arial" w:eastAsia="Times New Roman" w:hAnsi="Arial" w:cs="Arial"/>
          <w:color w:val="000000"/>
          <w:sz w:val="18"/>
          <w:szCs w:val="18"/>
          <w:lang w:eastAsia="en-US"/>
        </w:rPr>
        <w:br/>
      </w:r>
      <w:hyperlink r:id="rId23" w:history="1">
        <w:r w:rsidRPr="004B28D3">
          <w:rPr>
            <w:rFonts w:ascii="Arial" w:eastAsia="Times New Roman" w:hAnsi="Arial" w:cs="Arial"/>
            <w:color w:val="024D99"/>
            <w:sz w:val="18"/>
            <w:szCs w:val="18"/>
            <w:u w:val="single"/>
            <w:lang w:eastAsia="en-US"/>
          </w:rPr>
          <w:t>https://economictimes.indiatimes.com/wealth/invest/factors-that-affect-gold-price/articleshow/64464960.cms?utm_source=contentofinterest&amp;utm_medium=text&amp;utm_campaign=cppst</w:t>
        </w:r>
      </w:hyperlink>
    </w:p>
    <w:p w14:paraId="2128332B" w14:textId="77777777" w:rsidR="004B28D3" w:rsidRDefault="004B28D3" w:rsidP="000847A6">
      <w:pPr>
        <w:tabs>
          <w:tab w:val="left" w:pos="3780"/>
        </w:tabs>
      </w:pPr>
    </w:p>
    <w:p w14:paraId="1E3FB0F8" w14:textId="77777777" w:rsidR="004B28D3" w:rsidRDefault="004B28D3" w:rsidP="000847A6">
      <w:pPr>
        <w:tabs>
          <w:tab w:val="left" w:pos="3780"/>
        </w:tabs>
      </w:pPr>
      <w:r>
        <w:t>Changes in the price of gold – percentage over time.</w:t>
      </w:r>
    </w:p>
    <w:p w14:paraId="0C74E45A" w14:textId="77777777" w:rsidR="004B28D3" w:rsidRDefault="004B28D3" w:rsidP="00160B79">
      <w:pPr>
        <w:pStyle w:val="Prrafodelista"/>
        <w:numPr>
          <w:ilvl w:val="0"/>
          <w:numId w:val="3"/>
        </w:numPr>
        <w:tabs>
          <w:tab w:val="left" w:pos="3780"/>
        </w:tabs>
      </w:pPr>
      <w:r>
        <w:t>Changes in the price of equity</w:t>
      </w:r>
    </w:p>
    <w:p w14:paraId="7B690464" w14:textId="77777777" w:rsidR="00160B79" w:rsidRDefault="00160B79" w:rsidP="00160B79">
      <w:pPr>
        <w:pStyle w:val="Prrafodelista"/>
        <w:numPr>
          <w:ilvl w:val="0"/>
          <w:numId w:val="3"/>
        </w:numPr>
        <w:tabs>
          <w:tab w:val="left" w:pos="3780"/>
        </w:tabs>
      </w:pPr>
      <w:r>
        <w:t>increased government spending</w:t>
      </w:r>
    </w:p>
    <w:p w14:paraId="06DA7D46" w14:textId="77777777" w:rsidR="00160B79" w:rsidRDefault="00160B79" w:rsidP="00160B79">
      <w:pPr>
        <w:pStyle w:val="Prrafodelista"/>
        <w:numPr>
          <w:ilvl w:val="0"/>
          <w:numId w:val="3"/>
        </w:numPr>
        <w:tabs>
          <w:tab w:val="left" w:pos="3780"/>
        </w:tabs>
      </w:pPr>
      <w:r>
        <w:t>decreased government spending</w:t>
      </w:r>
    </w:p>
    <w:p w14:paraId="07048D2C" w14:textId="77777777" w:rsidR="004B28D3" w:rsidRDefault="004B28D3" w:rsidP="000847A6">
      <w:pPr>
        <w:tabs>
          <w:tab w:val="left" w:pos="3780"/>
        </w:tabs>
      </w:pPr>
    </w:p>
    <w:p w14:paraId="54A880F0" w14:textId="77777777" w:rsidR="00160B79" w:rsidRDefault="00160B79" w:rsidP="00160B79">
      <w:pPr>
        <w:tabs>
          <w:tab w:val="left" w:pos="3780"/>
        </w:tabs>
      </w:pPr>
      <w:r>
        <w:t>Correlation between the profits of competitor firms in the same sectors?</w:t>
      </w:r>
    </w:p>
    <w:p w14:paraId="5F675A9E" w14:textId="77777777" w:rsidR="00160B79" w:rsidRDefault="00160B79" w:rsidP="00160B79">
      <w:pPr>
        <w:tabs>
          <w:tab w:val="left" w:pos="3780"/>
        </w:tabs>
      </w:pPr>
      <w:r>
        <w:t>h0: competition improves market performance.</w:t>
      </w:r>
    </w:p>
    <w:p w14:paraId="1B0C3AAA" w14:textId="77777777" w:rsidR="00160B79" w:rsidRDefault="00160B79" w:rsidP="006245D7">
      <w:pPr>
        <w:tabs>
          <w:tab w:val="left" w:pos="3780"/>
        </w:tabs>
      </w:pPr>
      <w:r>
        <w:t xml:space="preserve">h1: competition </w:t>
      </w:r>
      <w:r w:rsidR="006245D7">
        <w:t>leads to poor market performance.</w:t>
      </w:r>
    </w:p>
    <w:p w14:paraId="3F334860" w14:textId="77777777" w:rsidR="009917E8" w:rsidRDefault="009917E8" w:rsidP="006245D7">
      <w:pPr>
        <w:tabs>
          <w:tab w:val="left" w:pos="3780"/>
        </w:tabs>
      </w:pPr>
    </w:p>
    <w:p w14:paraId="2D6C62B1" w14:textId="77777777" w:rsidR="009917E8" w:rsidRDefault="009917E8" w:rsidP="00D35678">
      <w:pPr>
        <w:tabs>
          <w:tab w:val="left" w:pos="3780"/>
        </w:tabs>
      </w:pPr>
      <w:r>
        <w:t>Gold and market cris</w:t>
      </w:r>
      <w:r w:rsidR="00D35678">
        <w:t>es</w:t>
      </w:r>
      <w:r>
        <w:t>.</w:t>
      </w:r>
      <w:r w:rsidR="00D35678">
        <w:t xml:space="preserve"> </w:t>
      </w:r>
    </w:p>
    <w:p w14:paraId="3212F5A5" w14:textId="77777777" w:rsidR="00D35678" w:rsidRDefault="00D35678" w:rsidP="00D35678">
      <w:pPr>
        <w:tabs>
          <w:tab w:val="left" w:pos="3780"/>
        </w:tabs>
      </w:pPr>
      <w:r>
        <w:t>1929 – 2000 (dot com bubble) – 2008 () –</w:t>
      </w:r>
    </w:p>
    <w:p w14:paraId="1C669083" w14:textId="77777777" w:rsidR="00D35678" w:rsidRPr="00D35678" w:rsidRDefault="00D35678" w:rsidP="00D35678">
      <w:pPr>
        <w:shd w:val="clear" w:color="auto" w:fill="FFFFFF"/>
        <w:spacing w:after="0" w:line="240" w:lineRule="auto"/>
        <w:rPr>
          <w:rFonts w:ascii="Arial" w:eastAsia="Times New Roman" w:hAnsi="Arial" w:cs="Arial"/>
          <w:color w:val="222222"/>
          <w:sz w:val="16"/>
          <w:szCs w:val="16"/>
          <w:lang w:val="en-GB" w:eastAsia="en-US"/>
        </w:rPr>
      </w:pPr>
      <w:r w:rsidRPr="00D35678">
        <w:rPr>
          <w:rFonts w:ascii="Arial" w:eastAsia="Times New Roman" w:hAnsi="Arial" w:cs="Arial"/>
          <w:b/>
          <w:bCs/>
          <w:color w:val="222222"/>
          <w:sz w:val="18"/>
          <w:szCs w:val="18"/>
          <w:lang w:val="en-GB" w:eastAsia="en-US"/>
        </w:rPr>
        <w:t>Gold</w:t>
      </w:r>
      <w:r w:rsidRPr="00D35678">
        <w:rPr>
          <w:rFonts w:ascii="Arial" w:eastAsia="Times New Roman" w:hAnsi="Arial" w:cs="Arial"/>
          <w:color w:val="222222"/>
          <w:sz w:val="18"/>
          <w:szCs w:val="18"/>
          <w:lang w:val="en-GB" w:eastAsia="en-US"/>
        </w:rPr>
        <w:t> shot up to $869.75 per ounce during the 2008 </w:t>
      </w:r>
      <w:r w:rsidRPr="00D35678">
        <w:rPr>
          <w:rFonts w:ascii="Arial" w:eastAsia="Times New Roman" w:hAnsi="Arial" w:cs="Arial"/>
          <w:b/>
          <w:bCs/>
          <w:color w:val="222222"/>
          <w:sz w:val="18"/>
          <w:szCs w:val="18"/>
          <w:lang w:val="en-GB" w:eastAsia="en-US"/>
        </w:rPr>
        <w:t>financial crisis</w:t>
      </w:r>
      <w:r w:rsidRPr="00D35678">
        <w:rPr>
          <w:rFonts w:ascii="Arial" w:eastAsia="Times New Roman" w:hAnsi="Arial" w:cs="Arial"/>
          <w:color w:val="222222"/>
          <w:sz w:val="18"/>
          <w:szCs w:val="18"/>
          <w:lang w:val="en-GB" w:eastAsia="en-US"/>
        </w:rPr>
        <w:t>. The </w:t>
      </w:r>
      <w:r w:rsidRPr="00D35678">
        <w:rPr>
          <w:rFonts w:ascii="Arial" w:eastAsia="Times New Roman" w:hAnsi="Arial" w:cs="Arial"/>
          <w:b/>
          <w:bCs/>
          <w:color w:val="222222"/>
          <w:sz w:val="18"/>
          <w:szCs w:val="18"/>
          <w:lang w:val="en-GB" w:eastAsia="en-US"/>
        </w:rPr>
        <w:t>price</w:t>
      </w:r>
      <w:r w:rsidRPr="00D35678">
        <w:rPr>
          <w:rFonts w:ascii="Arial" w:eastAsia="Times New Roman" w:hAnsi="Arial" w:cs="Arial"/>
          <w:color w:val="222222"/>
          <w:sz w:val="18"/>
          <w:szCs w:val="18"/>
          <w:lang w:val="en-GB" w:eastAsia="en-US"/>
        </w:rPr>
        <w:t> of an ounce of </w:t>
      </w:r>
      <w:r w:rsidRPr="00D35678">
        <w:rPr>
          <w:rFonts w:ascii="Arial" w:eastAsia="Times New Roman" w:hAnsi="Arial" w:cs="Arial"/>
          <w:b/>
          <w:bCs/>
          <w:color w:val="222222"/>
          <w:sz w:val="18"/>
          <w:szCs w:val="18"/>
          <w:lang w:val="en-GB" w:eastAsia="en-US"/>
        </w:rPr>
        <w:t>gold</w:t>
      </w:r>
      <w:r w:rsidRPr="00D35678">
        <w:rPr>
          <w:rFonts w:ascii="Arial" w:eastAsia="Times New Roman" w:hAnsi="Arial" w:cs="Arial"/>
          <w:color w:val="222222"/>
          <w:sz w:val="18"/>
          <w:szCs w:val="18"/>
          <w:lang w:val="en-GB" w:eastAsia="en-US"/>
        </w:rPr>
        <w:t> hit an all-time record of $1,895 on Sept. 5, 2011, in response to worries that the United States would default on its debt. Since then, it has fallen, as the U.S. economy has improved and inflation remains low.</w:t>
      </w:r>
    </w:p>
    <w:p w14:paraId="25C2B5B4" w14:textId="77777777" w:rsidR="009917E8" w:rsidRDefault="009917E8" w:rsidP="006245D7">
      <w:pPr>
        <w:tabs>
          <w:tab w:val="left" w:pos="3780"/>
        </w:tabs>
      </w:pPr>
    </w:p>
    <w:p w14:paraId="39C17223" w14:textId="77777777" w:rsidR="00350776" w:rsidRDefault="00350776" w:rsidP="006245D7">
      <w:pPr>
        <w:tabs>
          <w:tab w:val="left" w:pos="3780"/>
        </w:tabs>
      </w:pPr>
      <w:r>
        <w:t xml:space="preserve">gold, dollar, stock market indices, </w:t>
      </w:r>
      <w:r w:rsidR="009F3683">
        <w:t>government spending</w:t>
      </w:r>
    </w:p>
    <w:p w14:paraId="4D4487F3" w14:textId="77777777" w:rsidR="00350776" w:rsidRDefault="00350776" w:rsidP="006245D7">
      <w:pPr>
        <w:tabs>
          <w:tab w:val="left" w:pos="3780"/>
        </w:tabs>
      </w:pPr>
    </w:p>
    <w:p w14:paraId="592049F2" w14:textId="77777777" w:rsidR="00350776" w:rsidRDefault="00350776" w:rsidP="006245D7">
      <w:pPr>
        <w:tabs>
          <w:tab w:val="left" w:pos="3780"/>
        </w:tabs>
      </w:pPr>
      <w:r>
        <w:t>1928-2018</w:t>
      </w:r>
    </w:p>
    <w:p w14:paraId="46C1AC7E" w14:textId="77777777" w:rsidR="00350776" w:rsidRDefault="00350776" w:rsidP="006245D7">
      <w:pPr>
        <w:tabs>
          <w:tab w:val="left" w:pos="3780"/>
        </w:tabs>
      </w:pPr>
      <w:r>
        <w:t>2018-2020</w:t>
      </w:r>
    </w:p>
    <w:p w14:paraId="0F0346FA" w14:textId="77777777" w:rsidR="00350776" w:rsidRDefault="00350776" w:rsidP="006245D7">
      <w:pPr>
        <w:tabs>
          <w:tab w:val="left" w:pos="3780"/>
        </w:tabs>
      </w:pPr>
    </w:p>
    <w:p w14:paraId="0BC69933" w14:textId="77777777" w:rsidR="00350776" w:rsidRDefault="00350776" w:rsidP="006245D7">
      <w:pPr>
        <w:tabs>
          <w:tab w:val="left" w:pos="3780"/>
        </w:tabs>
      </w:pPr>
      <w:r>
        <w:t>earnings in competitive vs niche markets: the role of competition in sector performance.</w:t>
      </w:r>
    </w:p>
    <w:p w14:paraId="5CEFEBBA" w14:textId="77777777" w:rsidR="009F3683" w:rsidRDefault="009F3683" w:rsidP="006245D7">
      <w:pPr>
        <w:tabs>
          <w:tab w:val="left" w:pos="3780"/>
        </w:tabs>
      </w:pPr>
    </w:p>
    <w:p w14:paraId="7B33333B" w14:textId="77777777" w:rsidR="009F3683" w:rsidRDefault="009F3683" w:rsidP="006245D7">
      <w:pPr>
        <w:tabs>
          <w:tab w:val="left" w:pos="3780"/>
        </w:tabs>
      </w:pPr>
    </w:p>
    <w:p w14:paraId="76415784" w14:textId="77777777" w:rsidR="009F3683" w:rsidRDefault="009F3683" w:rsidP="009F3683">
      <w:pPr>
        <w:tabs>
          <w:tab w:val="left" w:pos="3780"/>
        </w:tabs>
      </w:pPr>
      <w:r>
        <w:lastRenderedPageBreak/>
        <w:t>Earnings in competitive vs niche markets: the role of competition in sector performance.</w:t>
      </w:r>
    </w:p>
    <w:p w14:paraId="43C7512C" w14:textId="77777777" w:rsidR="009F3683" w:rsidRDefault="009F3683" w:rsidP="006245D7">
      <w:pPr>
        <w:tabs>
          <w:tab w:val="left" w:pos="3780"/>
        </w:tabs>
      </w:pPr>
    </w:p>
    <w:tbl>
      <w:tblPr>
        <w:tblW w:w="7500" w:type="dxa"/>
        <w:tblBorders>
          <w:bottom w:val="single" w:sz="6" w:space="0" w:color="CCCCCC"/>
        </w:tblBorders>
        <w:shd w:val="clear" w:color="auto" w:fill="FFFFFF"/>
        <w:tblCellMar>
          <w:top w:w="30" w:type="dxa"/>
          <w:left w:w="30" w:type="dxa"/>
          <w:bottom w:w="30" w:type="dxa"/>
          <w:right w:w="30" w:type="dxa"/>
        </w:tblCellMar>
        <w:tblLook w:val="04A0" w:firstRow="1" w:lastRow="0" w:firstColumn="1" w:lastColumn="0" w:noHBand="0" w:noVBand="1"/>
      </w:tblPr>
      <w:tblGrid>
        <w:gridCol w:w="2665"/>
        <w:gridCol w:w="2112"/>
        <w:gridCol w:w="1285"/>
        <w:gridCol w:w="1438"/>
      </w:tblGrid>
      <w:tr w:rsidR="009F3683" w:rsidRPr="009F3683" w14:paraId="3DB63EDC" w14:textId="77777777" w:rsidTr="009F3683">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5081E651" w14:textId="77777777" w:rsidR="009F3683" w:rsidRPr="009F3683" w:rsidRDefault="009F3683" w:rsidP="009F3683">
            <w:pPr>
              <w:spacing w:before="100" w:beforeAutospacing="1" w:after="100" w:afterAutospacing="1" w:line="240" w:lineRule="auto"/>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Sector</w:t>
            </w:r>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226D8965" w14:textId="77777777" w:rsidR="009F3683" w:rsidRPr="009F3683" w:rsidRDefault="009F3683" w:rsidP="009F3683">
            <w:pPr>
              <w:spacing w:before="100" w:beforeAutospacing="1" w:after="100" w:afterAutospacing="1" w:line="240" w:lineRule="auto"/>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Number of Stocks</w:t>
            </w:r>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5F3CA49B" w14:textId="77777777" w:rsidR="009F3683" w:rsidRPr="009F3683" w:rsidRDefault="009F3683" w:rsidP="009F3683">
            <w:pPr>
              <w:spacing w:before="100" w:beforeAutospacing="1" w:after="100" w:afterAutospacing="1" w:line="240" w:lineRule="auto"/>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Shiller P/E</w:t>
            </w:r>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3483C200" w14:textId="77777777" w:rsidR="009F3683" w:rsidRPr="009F3683" w:rsidRDefault="009F3683" w:rsidP="009F3683">
            <w:pPr>
              <w:spacing w:before="100" w:beforeAutospacing="1" w:after="100" w:afterAutospacing="1" w:line="240" w:lineRule="auto"/>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Regular P/E</w:t>
            </w:r>
          </w:p>
        </w:tc>
      </w:tr>
      <w:tr w:rsidR="009F3683" w:rsidRPr="009F3683" w14:paraId="4802493E"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39654FE"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Energy</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09474A4D"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4" w:history="1">
              <w:r w:rsidRPr="009F3683">
                <w:rPr>
                  <w:rFonts w:ascii="Arial" w:eastAsia="Times New Roman" w:hAnsi="Arial" w:cs="Arial"/>
                  <w:b/>
                  <w:bCs/>
                  <w:color w:val="333333"/>
                  <w:sz w:val="23"/>
                  <w:szCs w:val="23"/>
                  <w:u w:val="single"/>
                  <w:lang w:eastAsia="en-US"/>
                </w:rPr>
                <w:t>28</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0EFA1E07"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14.80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2C5EB2E8"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24.40</w:t>
            </w:r>
          </w:p>
        </w:tc>
      </w:tr>
      <w:tr w:rsidR="009F3683" w:rsidRPr="009F3683" w14:paraId="5682492C"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AC0BCFF"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Financial Services</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F1F4492"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5" w:history="1">
              <w:r w:rsidRPr="009F3683">
                <w:rPr>
                  <w:rFonts w:ascii="Arial" w:eastAsia="Times New Roman" w:hAnsi="Arial" w:cs="Arial"/>
                  <w:b/>
                  <w:bCs/>
                  <w:color w:val="333333"/>
                  <w:sz w:val="23"/>
                  <w:szCs w:val="23"/>
                  <w:u w:val="single"/>
                  <w:lang w:eastAsia="en-US"/>
                </w:rPr>
                <w:t>71</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D968F40"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21.60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402479E"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15.90</w:t>
            </w:r>
          </w:p>
        </w:tc>
      </w:tr>
      <w:tr w:rsidR="009F3683" w:rsidRPr="009F3683" w14:paraId="528743F2"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5F3DEF7B"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Consumer Defensive</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6191AFF"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6" w:history="1">
              <w:r w:rsidRPr="009F3683">
                <w:rPr>
                  <w:rFonts w:ascii="Arial" w:eastAsia="Times New Roman" w:hAnsi="Arial" w:cs="Arial"/>
                  <w:b/>
                  <w:bCs/>
                  <w:color w:val="333333"/>
                  <w:sz w:val="23"/>
                  <w:szCs w:val="23"/>
                  <w:u w:val="single"/>
                  <w:lang w:eastAsia="en-US"/>
                </w:rPr>
                <w:t>36</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C2D9641"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25.50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2BEA31DA"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35.00</w:t>
            </w:r>
          </w:p>
        </w:tc>
      </w:tr>
      <w:tr w:rsidR="009F3683" w:rsidRPr="009F3683" w14:paraId="04E660EE"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2A468D42"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Industrials</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FA5D77E"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7" w:history="1">
              <w:r w:rsidRPr="009F3683">
                <w:rPr>
                  <w:rFonts w:ascii="Arial" w:eastAsia="Times New Roman" w:hAnsi="Arial" w:cs="Arial"/>
                  <w:b/>
                  <w:bCs/>
                  <w:color w:val="333333"/>
                  <w:sz w:val="23"/>
                  <w:szCs w:val="23"/>
                  <w:u w:val="single"/>
                  <w:lang w:eastAsia="en-US"/>
                </w:rPr>
                <w:t>71</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4848F7A8"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26.60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251BDAD"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23.00</w:t>
            </w:r>
          </w:p>
        </w:tc>
      </w:tr>
      <w:tr w:rsidR="009F3683" w:rsidRPr="009F3683" w14:paraId="03A51E61"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5213E17"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Basic Materials</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757B19A"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8" w:history="1">
              <w:r w:rsidRPr="009F3683">
                <w:rPr>
                  <w:rFonts w:ascii="Arial" w:eastAsia="Times New Roman" w:hAnsi="Arial" w:cs="Arial"/>
                  <w:b/>
                  <w:bCs/>
                  <w:color w:val="333333"/>
                  <w:sz w:val="23"/>
                  <w:szCs w:val="23"/>
                  <w:u w:val="single"/>
                  <w:lang w:eastAsia="en-US"/>
                </w:rPr>
                <w:t>21</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A453218"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29.10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0B9F91B2"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25.30</w:t>
            </w:r>
          </w:p>
        </w:tc>
      </w:tr>
      <w:tr w:rsidR="009F3683" w:rsidRPr="009F3683" w14:paraId="7F6E15B4"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08B1201"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Healthcare</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223E94FE"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29" w:history="1">
              <w:r w:rsidRPr="009F3683">
                <w:rPr>
                  <w:rFonts w:ascii="Arial" w:eastAsia="Times New Roman" w:hAnsi="Arial" w:cs="Arial"/>
                  <w:b/>
                  <w:bCs/>
                  <w:color w:val="333333"/>
                  <w:sz w:val="23"/>
                  <w:szCs w:val="23"/>
                  <w:u w:val="single"/>
                  <w:lang w:eastAsia="en-US"/>
                </w:rPr>
                <w:t>61</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55E6AC03"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32.40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0D61E3D5"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28.30</w:t>
            </w:r>
          </w:p>
        </w:tc>
      </w:tr>
      <w:tr w:rsidR="009F3683" w:rsidRPr="009F3683" w14:paraId="13607EF1"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D43847D"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Utilities</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23E910A"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30" w:history="1">
              <w:r w:rsidRPr="009F3683">
                <w:rPr>
                  <w:rFonts w:ascii="Arial" w:eastAsia="Times New Roman" w:hAnsi="Arial" w:cs="Arial"/>
                  <w:b/>
                  <w:bCs/>
                  <w:color w:val="333333"/>
                  <w:sz w:val="23"/>
                  <w:szCs w:val="23"/>
                  <w:u w:val="single"/>
                  <w:lang w:eastAsia="en-US"/>
                </w:rPr>
                <w:t>28</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54F207A"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34.10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79D94C1"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25.60</w:t>
            </w:r>
          </w:p>
        </w:tc>
      </w:tr>
      <w:tr w:rsidR="009F3683" w:rsidRPr="009F3683" w14:paraId="34B7446E"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7F29A52"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Technology</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1173387"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31" w:history="1">
              <w:r w:rsidRPr="009F3683">
                <w:rPr>
                  <w:rFonts w:ascii="Arial" w:eastAsia="Times New Roman" w:hAnsi="Arial" w:cs="Arial"/>
                  <w:b/>
                  <w:bCs/>
                  <w:color w:val="333333"/>
                  <w:sz w:val="23"/>
                  <w:szCs w:val="23"/>
                  <w:u w:val="single"/>
                  <w:lang w:eastAsia="en-US"/>
                </w:rPr>
                <w:t>64</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2207FB5"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35.60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3D02F67"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27.30</w:t>
            </w:r>
          </w:p>
        </w:tc>
      </w:tr>
      <w:tr w:rsidR="009F3683" w:rsidRPr="009F3683" w14:paraId="48F823C0"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5C90AC5"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Consumer Cyclical</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CAF2D77"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32" w:history="1">
              <w:r w:rsidRPr="009F3683">
                <w:rPr>
                  <w:rFonts w:ascii="Arial" w:eastAsia="Times New Roman" w:hAnsi="Arial" w:cs="Arial"/>
                  <w:b/>
                  <w:bCs/>
                  <w:color w:val="333333"/>
                  <w:sz w:val="23"/>
                  <w:szCs w:val="23"/>
                  <w:u w:val="single"/>
                  <w:lang w:eastAsia="en-US"/>
                </w:rPr>
                <w:t>67</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276FF87C"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36.20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0D9C871D"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28.30</w:t>
            </w:r>
          </w:p>
        </w:tc>
      </w:tr>
      <w:tr w:rsidR="009F3683" w:rsidRPr="009F3683" w14:paraId="05284EC5"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28049C6"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Communication Services</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3E9B26A4"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33" w:history="1">
              <w:r w:rsidRPr="009F3683">
                <w:rPr>
                  <w:rFonts w:ascii="Arial" w:eastAsia="Times New Roman" w:hAnsi="Arial" w:cs="Arial"/>
                  <w:b/>
                  <w:bCs/>
                  <w:color w:val="333333"/>
                  <w:sz w:val="23"/>
                  <w:szCs w:val="23"/>
                  <w:u w:val="single"/>
                  <w:lang w:eastAsia="en-US"/>
                </w:rPr>
                <w:t>26</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61264934"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44.10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14D331C0"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27.40</w:t>
            </w:r>
          </w:p>
        </w:tc>
      </w:tr>
      <w:tr w:rsidR="009F3683" w:rsidRPr="009F3683" w14:paraId="5873C613" w14:textId="77777777" w:rsidTr="009F3683">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662A1FF" w14:textId="77777777" w:rsidR="009F3683" w:rsidRPr="009F3683" w:rsidRDefault="009F3683" w:rsidP="009F3683">
            <w:pPr>
              <w:spacing w:after="0" w:line="240" w:lineRule="auto"/>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Real Estate</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40EDA9F3"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hyperlink r:id="rId34" w:history="1">
              <w:r w:rsidRPr="009F3683">
                <w:rPr>
                  <w:rFonts w:ascii="Arial" w:eastAsia="Times New Roman" w:hAnsi="Arial" w:cs="Arial"/>
                  <w:b/>
                  <w:bCs/>
                  <w:color w:val="333333"/>
                  <w:sz w:val="23"/>
                  <w:szCs w:val="23"/>
                  <w:u w:val="single"/>
                  <w:lang w:eastAsia="en-US"/>
                </w:rPr>
                <w:t>31</w:t>
              </w:r>
            </w:hyperlink>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789DA1EC"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56.40</w:t>
            </w:r>
          </w:p>
        </w:tc>
        <w:tc>
          <w:tcPr>
            <w:tcW w:w="0" w:type="auto"/>
            <w:tcBorders>
              <w:top w:val="single" w:sz="6" w:space="0" w:color="DDDDDD"/>
              <w:left w:val="nil"/>
              <w:bottom w:val="nil"/>
              <w:right w:val="nil"/>
            </w:tcBorders>
            <w:shd w:val="clear" w:color="auto" w:fill="FFFFFF"/>
            <w:noWrap/>
            <w:tcMar>
              <w:top w:w="60" w:type="dxa"/>
              <w:left w:w="60" w:type="dxa"/>
              <w:bottom w:w="60" w:type="dxa"/>
              <w:right w:w="60" w:type="dxa"/>
            </w:tcMar>
            <w:vAlign w:val="center"/>
            <w:hideMark/>
          </w:tcPr>
          <w:p w14:paraId="5259C1FC" w14:textId="77777777" w:rsidR="009F3683" w:rsidRPr="009F3683" w:rsidRDefault="009F3683" w:rsidP="009F3683">
            <w:pPr>
              <w:spacing w:after="0" w:line="240" w:lineRule="auto"/>
              <w:jc w:val="center"/>
              <w:rPr>
                <w:rFonts w:ascii="Arial" w:eastAsia="Times New Roman" w:hAnsi="Arial" w:cs="Arial"/>
                <w:color w:val="333333"/>
                <w:sz w:val="23"/>
                <w:szCs w:val="23"/>
                <w:lang w:eastAsia="en-US"/>
              </w:rPr>
            </w:pPr>
            <w:r w:rsidRPr="009F3683">
              <w:rPr>
                <w:rFonts w:ascii="Arial" w:eastAsia="Times New Roman" w:hAnsi="Arial" w:cs="Arial"/>
                <w:color w:val="333333"/>
                <w:sz w:val="23"/>
                <w:szCs w:val="23"/>
                <w:lang w:eastAsia="en-US"/>
              </w:rPr>
              <w:t>36.80</w:t>
            </w:r>
          </w:p>
        </w:tc>
      </w:tr>
      <w:tr w:rsidR="009F3683" w:rsidRPr="009F3683" w14:paraId="1C4445D3" w14:textId="77777777" w:rsidTr="009F3683">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6C82A576" w14:textId="77777777" w:rsidR="009F3683" w:rsidRPr="009F3683" w:rsidRDefault="009F3683" w:rsidP="009F3683">
            <w:pPr>
              <w:spacing w:before="100" w:beforeAutospacing="1" w:after="100" w:afterAutospacing="1" w:line="240" w:lineRule="auto"/>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S&amp;P 500</w:t>
            </w:r>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6B12828C" w14:textId="77777777" w:rsidR="009F3683" w:rsidRPr="009F3683" w:rsidRDefault="009F3683" w:rsidP="009F3683">
            <w:pPr>
              <w:spacing w:before="100" w:beforeAutospacing="1" w:after="100" w:afterAutospacing="1" w:line="240" w:lineRule="auto"/>
              <w:jc w:val="center"/>
              <w:rPr>
                <w:rFonts w:ascii="Arial" w:eastAsia="Times New Roman" w:hAnsi="Arial" w:cs="Arial"/>
                <w:b/>
                <w:bCs/>
                <w:color w:val="333333"/>
                <w:sz w:val="23"/>
                <w:szCs w:val="23"/>
                <w:lang w:eastAsia="en-US"/>
              </w:rPr>
            </w:pPr>
            <w:hyperlink r:id="rId35" w:anchor="&amp;InSP=1&amp;tab=9" w:history="1">
              <w:r w:rsidRPr="009F3683">
                <w:rPr>
                  <w:rFonts w:ascii="Arial" w:eastAsia="Times New Roman" w:hAnsi="Arial" w:cs="Arial"/>
                  <w:b/>
                  <w:bCs/>
                  <w:color w:val="000000"/>
                  <w:sz w:val="23"/>
                  <w:szCs w:val="23"/>
                  <w:u w:val="single"/>
                  <w:lang w:eastAsia="en-US"/>
                </w:rPr>
                <w:t>500</w:t>
              </w:r>
            </w:hyperlink>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4027173E" w14:textId="77777777" w:rsidR="009F3683" w:rsidRPr="009F3683" w:rsidRDefault="009F3683" w:rsidP="009F3683">
            <w:pPr>
              <w:spacing w:before="100" w:beforeAutospacing="1" w:after="100" w:afterAutospacing="1" w:line="240" w:lineRule="auto"/>
              <w:jc w:val="center"/>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32.3</w:t>
            </w:r>
          </w:p>
        </w:tc>
        <w:tc>
          <w:tcPr>
            <w:tcW w:w="0" w:type="auto"/>
            <w:tcBorders>
              <w:top w:val="single" w:sz="6" w:space="0" w:color="CCCCCC"/>
              <w:left w:val="nil"/>
              <w:bottom w:val="nil"/>
              <w:right w:val="nil"/>
            </w:tcBorders>
            <w:shd w:val="clear" w:color="auto" w:fill="FFFFFF"/>
            <w:tcMar>
              <w:top w:w="75" w:type="dxa"/>
              <w:left w:w="75" w:type="dxa"/>
              <w:bottom w:w="75" w:type="dxa"/>
              <w:right w:w="75" w:type="dxa"/>
            </w:tcMar>
            <w:vAlign w:val="center"/>
            <w:hideMark/>
          </w:tcPr>
          <w:p w14:paraId="36B36C08" w14:textId="77777777" w:rsidR="009F3683" w:rsidRPr="009F3683" w:rsidRDefault="009F3683" w:rsidP="009F3683">
            <w:pPr>
              <w:spacing w:before="100" w:beforeAutospacing="1" w:after="100" w:afterAutospacing="1" w:line="240" w:lineRule="auto"/>
              <w:jc w:val="center"/>
              <w:rPr>
                <w:rFonts w:ascii="Arial" w:eastAsia="Times New Roman" w:hAnsi="Arial" w:cs="Arial"/>
                <w:b/>
                <w:bCs/>
                <w:color w:val="333333"/>
                <w:sz w:val="23"/>
                <w:szCs w:val="23"/>
                <w:lang w:eastAsia="en-US"/>
              </w:rPr>
            </w:pPr>
            <w:r w:rsidRPr="009F3683">
              <w:rPr>
                <w:rFonts w:ascii="Arial" w:eastAsia="Times New Roman" w:hAnsi="Arial" w:cs="Arial"/>
                <w:b/>
                <w:bCs/>
                <w:color w:val="333333"/>
                <w:sz w:val="23"/>
                <w:szCs w:val="23"/>
                <w:lang w:eastAsia="en-US"/>
              </w:rPr>
              <w:t>0</w:t>
            </w:r>
          </w:p>
        </w:tc>
      </w:tr>
    </w:tbl>
    <w:p w14:paraId="02377E1B" w14:textId="77777777" w:rsidR="009F3683" w:rsidRDefault="009F3683" w:rsidP="006245D7">
      <w:pPr>
        <w:tabs>
          <w:tab w:val="left" w:pos="3780"/>
        </w:tabs>
      </w:pPr>
    </w:p>
    <w:p w14:paraId="25ED8C1B" w14:textId="77777777" w:rsidR="009F3683" w:rsidRDefault="00E15759" w:rsidP="006245D7">
      <w:pPr>
        <w:tabs>
          <w:tab w:val="left" w:pos="3780"/>
        </w:tabs>
      </w:pPr>
      <w:r>
        <w:t>Financial services: 21.60/</w:t>
      </w:r>
      <w:r w:rsidR="009F3683">
        <w:t>71</w:t>
      </w:r>
      <w:r>
        <w:t xml:space="preserve"> = </w:t>
      </w:r>
    </w:p>
    <w:p w14:paraId="2524A76D" w14:textId="77777777" w:rsidR="00E15759" w:rsidRDefault="00E15759" w:rsidP="006245D7">
      <w:pPr>
        <w:tabs>
          <w:tab w:val="left" w:pos="3780"/>
        </w:tabs>
      </w:pPr>
      <w:r>
        <w:t>Energy: 14.80/28</w:t>
      </w:r>
    </w:p>
    <w:p w14:paraId="0A37D33F" w14:textId="77777777" w:rsidR="00E15759" w:rsidRDefault="00E15759" w:rsidP="006245D7">
      <w:pPr>
        <w:tabs>
          <w:tab w:val="left" w:pos="3780"/>
        </w:tabs>
      </w:pPr>
      <w:r>
        <w:t>Consumer defensive: 25.59/36</w:t>
      </w:r>
    </w:p>
    <w:p w14:paraId="1AAFD8C7" w14:textId="77777777" w:rsidR="00973BAA" w:rsidRDefault="00973BAA" w:rsidP="006245D7">
      <w:pPr>
        <w:tabs>
          <w:tab w:val="left" w:pos="3780"/>
        </w:tabs>
      </w:pPr>
    </w:p>
    <w:p w14:paraId="671C094E" w14:textId="77777777" w:rsidR="00973BAA" w:rsidRDefault="00973BAA" w:rsidP="006245D7">
      <w:pPr>
        <w:tabs>
          <w:tab w:val="left" w:pos="3780"/>
        </w:tabs>
      </w:pPr>
      <w:r>
        <w:t>Annual GDP compared to population size</w:t>
      </w:r>
    </w:p>
    <w:p w14:paraId="399DEC53" w14:textId="77777777" w:rsidR="00973BAA" w:rsidRDefault="00973BAA" w:rsidP="006245D7">
      <w:pPr>
        <w:tabs>
          <w:tab w:val="left" w:pos="3780"/>
        </w:tabs>
      </w:pPr>
      <w:r>
        <w:t>Une</w:t>
      </w:r>
      <w:bookmarkStart w:id="1" w:name="_GoBack"/>
      <w:bookmarkEnd w:id="1"/>
      <w:r>
        <w:t>mployment compared to average point gains in stock market, interest rates, inflation.</w:t>
      </w:r>
    </w:p>
    <w:p w14:paraId="7A7FF0B5" w14:textId="77777777" w:rsidR="00973BAA" w:rsidRPr="000847A6" w:rsidRDefault="00973BAA" w:rsidP="006245D7">
      <w:pPr>
        <w:tabs>
          <w:tab w:val="left" w:pos="3780"/>
        </w:tabs>
      </w:pPr>
      <w:hyperlink r:id="rId36" w:history="1">
        <w:r>
          <w:rPr>
            <w:rStyle w:val="Hipervnculo"/>
          </w:rPr>
          <w:t>https://studylib.net/doc/5846874/statistics-112--final-project---</w:t>
        </w:r>
        <w:proofErr w:type="spellStart"/>
        <w:r>
          <w:rPr>
            <w:rStyle w:val="Hipervnculo"/>
          </w:rPr>
          <w:t>wharton</w:t>
        </w:r>
        <w:proofErr w:type="spellEnd"/>
        <w:r>
          <w:rPr>
            <w:rStyle w:val="Hipervnculo"/>
          </w:rPr>
          <w:t>-statistics-depart...</w:t>
        </w:r>
      </w:hyperlink>
    </w:p>
    <w:sectPr w:rsidR="00973BAA" w:rsidRPr="000847A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0-02-23T16:20:00Z" w:initials="A">
    <w:p w14:paraId="0F968EDD" w14:textId="77777777" w:rsidR="00E15759" w:rsidRDefault="00E15759" w:rsidP="00A07B12">
      <w:pPr>
        <w:pStyle w:val="Textocomentario"/>
      </w:pPr>
      <w:r>
        <w:rPr>
          <w:rStyle w:val="Refdecomentario"/>
        </w:rPr>
        <w:annotationRef/>
      </w:r>
      <w:r>
        <w:rPr>
          <w:rStyle w:val="Refdecomentario"/>
        </w:rPr>
        <w:annotationRef/>
      </w:r>
      <w:r>
        <w:t>Should this be H8? Please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968E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968EDD" w16cid:durableId="21FD24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D2E98"/>
    <w:multiLevelType w:val="hybridMultilevel"/>
    <w:tmpl w:val="382EA9C2"/>
    <w:lvl w:ilvl="0" w:tplc="9B1AB946">
      <w:start w:val="4"/>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994CF5"/>
    <w:multiLevelType w:val="multilevel"/>
    <w:tmpl w:val="27AA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A756B6"/>
    <w:multiLevelType w:val="multilevel"/>
    <w:tmpl w:val="957EA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B12"/>
    <w:rsid w:val="000030A5"/>
    <w:rsid w:val="00067B5B"/>
    <w:rsid w:val="00082DB0"/>
    <w:rsid w:val="00083768"/>
    <w:rsid w:val="000847A6"/>
    <w:rsid w:val="000E276F"/>
    <w:rsid w:val="00120112"/>
    <w:rsid w:val="0012742B"/>
    <w:rsid w:val="00160AEB"/>
    <w:rsid w:val="00160B79"/>
    <w:rsid w:val="00187A69"/>
    <w:rsid w:val="001924FB"/>
    <w:rsid w:val="00196160"/>
    <w:rsid w:val="001B26C0"/>
    <w:rsid w:val="001C2ADB"/>
    <w:rsid w:val="002134E1"/>
    <w:rsid w:val="00284E2C"/>
    <w:rsid w:val="002F205D"/>
    <w:rsid w:val="00333363"/>
    <w:rsid w:val="0034302E"/>
    <w:rsid w:val="00350776"/>
    <w:rsid w:val="00363BDF"/>
    <w:rsid w:val="00377D79"/>
    <w:rsid w:val="003A0BA1"/>
    <w:rsid w:val="003A768A"/>
    <w:rsid w:val="003B0009"/>
    <w:rsid w:val="0040052B"/>
    <w:rsid w:val="00404A57"/>
    <w:rsid w:val="00425894"/>
    <w:rsid w:val="004516AC"/>
    <w:rsid w:val="0045777F"/>
    <w:rsid w:val="00495F5F"/>
    <w:rsid w:val="004B28D3"/>
    <w:rsid w:val="004E59B5"/>
    <w:rsid w:val="004F2415"/>
    <w:rsid w:val="00521AEA"/>
    <w:rsid w:val="005725F6"/>
    <w:rsid w:val="005B6582"/>
    <w:rsid w:val="005D7624"/>
    <w:rsid w:val="00612C96"/>
    <w:rsid w:val="006245D7"/>
    <w:rsid w:val="00627947"/>
    <w:rsid w:val="006332CA"/>
    <w:rsid w:val="00646D42"/>
    <w:rsid w:val="00665DE7"/>
    <w:rsid w:val="006B7466"/>
    <w:rsid w:val="006D2FF2"/>
    <w:rsid w:val="0070503E"/>
    <w:rsid w:val="0071287C"/>
    <w:rsid w:val="00713372"/>
    <w:rsid w:val="007264AF"/>
    <w:rsid w:val="00735DE9"/>
    <w:rsid w:val="0074721D"/>
    <w:rsid w:val="00757AFE"/>
    <w:rsid w:val="00785468"/>
    <w:rsid w:val="00786943"/>
    <w:rsid w:val="00786A1E"/>
    <w:rsid w:val="00793EBA"/>
    <w:rsid w:val="007963F5"/>
    <w:rsid w:val="00796699"/>
    <w:rsid w:val="00796EC1"/>
    <w:rsid w:val="007D46EB"/>
    <w:rsid w:val="0081446B"/>
    <w:rsid w:val="00814B68"/>
    <w:rsid w:val="00823D5D"/>
    <w:rsid w:val="008257DD"/>
    <w:rsid w:val="00837B31"/>
    <w:rsid w:val="0084098A"/>
    <w:rsid w:val="00851034"/>
    <w:rsid w:val="008B28A0"/>
    <w:rsid w:val="008C7103"/>
    <w:rsid w:val="008F05FD"/>
    <w:rsid w:val="00901952"/>
    <w:rsid w:val="00943D6E"/>
    <w:rsid w:val="00973BAA"/>
    <w:rsid w:val="009917E8"/>
    <w:rsid w:val="009A2BB5"/>
    <w:rsid w:val="009A5D6F"/>
    <w:rsid w:val="009C20B7"/>
    <w:rsid w:val="009F3683"/>
    <w:rsid w:val="00A07B12"/>
    <w:rsid w:val="00A172E8"/>
    <w:rsid w:val="00A24AEB"/>
    <w:rsid w:val="00A30E46"/>
    <w:rsid w:val="00A34CC5"/>
    <w:rsid w:val="00A4000A"/>
    <w:rsid w:val="00A555F2"/>
    <w:rsid w:val="00A8444E"/>
    <w:rsid w:val="00B31F2C"/>
    <w:rsid w:val="00B967EA"/>
    <w:rsid w:val="00BA74D2"/>
    <w:rsid w:val="00BC16BA"/>
    <w:rsid w:val="00BC5640"/>
    <w:rsid w:val="00BF0FF4"/>
    <w:rsid w:val="00C16C68"/>
    <w:rsid w:val="00CB7989"/>
    <w:rsid w:val="00CC0C8A"/>
    <w:rsid w:val="00CF3568"/>
    <w:rsid w:val="00CF4268"/>
    <w:rsid w:val="00D01C7E"/>
    <w:rsid w:val="00D262A5"/>
    <w:rsid w:val="00D35678"/>
    <w:rsid w:val="00D62362"/>
    <w:rsid w:val="00D626FA"/>
    <w:rsid w:val="00D71A66"/>
    <w:rsid w:val="00DC208E"/>
    <w:rsid w:val="00DD265C"/>
    <w:rsid w:val="00DE3339"/>
    <w:rsid w:val="00DF2160"/>
    <w:rsid w:val="00E10FCF"/>
    <w:rsid w:val="00E15759"/>
    <w:rsid w:val="00E37FCB"/>
    <w:rsid w:val="00E64E10"/>
    <w:rsid w:val="00E730EE"/>
    <w:rsid w:val="00E773B1"/>
    <w:rsid w:val="00EA6698"/>
    <w:rsid w:val="00EB1A03"/>
    <w:rsid w:val="00EF2AF7"/>
    <w:rsid w:val="00F73A7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B738"/>
  <w15:chartTrackingRefBased/>
  <w15:docId w15:val="{C3411D85-2EF1-4F6E-A526-F93ED5F0C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B12"/>
    <w:pPr>
      <w:spacing w:line="254" w:lineRule="auto"/>
    </w:pPr>
    <w:rPr>
      <w:rFonts w:ascii="Times New Roman" w:eastAsia="DengXian" w:hAnsi="Times New Roman" w:cs="Times New Roman"/>
      <w:sz w:val="24"/>
      <w:lang w:val="en-US" w:eastAsia="zh-CN"/>
    </w:rPr>
  </w:style>
  <w:style w:type="paragraph" w:styleId="Ttulo1">
    <w:name w:val="heading 1"/>
    <w:basedOn w:val="Normal"/>
    <w:link w:val="Ttulo1Car"/>
    <w:uiPriority w:val="9"/>
    <w:qFormat/>
    <w:rsid w:val="000847A6"/>
    <w:pPr>
      <w:spacing w:before="100" w:beforeAutospacing="1" w:after="100" w:afterAutospacing="1" w:line="240" w:lineRule="auto"/>
      <w:outlineLvl w:val="0"/>
    </w:pPr>
    <w:rPr>
      <w:rFonts w:eastAsia="Times New Roman"/>
      <w:b/>
      <w:bCs/>
      <w:kern w:val="36"/>
      <w:sz w:val="48"/>
      <w:szCs w:val="48"/>
      <w:lang w:eastAsia="en-US"/>
    </w:rPr>
  </w:style>
  <w:style w:type="paragraph" w:styleId="Ttulo2">
    <w:name w:val="heading 2"/>
    <w:basedOn w:val="Normal"/>
    <w:link w:val="Ttulo2Car"/>
    <w:uiPriority w:val="9"/>
    <w:qFormat/>
    <w:rsid w:val="000847A6"/>
    <w:pPr>
      <w:spacing w:before="100" w:beforeAutospacing="1" w:after="100" w:afterAutospacing="1" w:line="240" w:lineRule="auto"/>
      <w:outlineLvl w:val="1"/>
    </w:pPr>
    <w:rPr>
      <w:rFonts w:eastAsia="Times New Roman"/>
      <w:b/>
      <w:bCs/>
      <w:sz w:val="36"/>
      <w:szCs w:val="3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uiPriority w:val="99"/>
    <w:semiHidden/>
    <w:unhideWhenUsed/>
    <w:rsid w:val="00A07B12"/>
    <w:rPr>
      <w:sz w:val="21"/>
      <w:szCs w:val="21"/>
    </w:rPr>
  </w:style>
  <w:style w:type="paragraph" w:styleId="Textocomentario">
    <w:name w:val="annotation text"/>
    <w:basedOn w:val="Normal"/>
    <w:link w:val="TextocomentarioCar"/>
    <w:uiPriority w:val="99"/>
    <w:unhideWhenUsed/>
    <w:rsid w:val="00A07B12"/>
  </w:style>
  <w:style w:type="character" w:customStyle="1" w:styleId="TextocomentarioCar">
    <w:name w:val="Texto comentario Car"/>
    <w:basedOn w:val="Fuentedeprrafopredeter"/>
    <w:link w:val="Textocomentario"/>
    <w:uiPriority w:val="99"/>
    <w:rsid w:val="00A07B12"/>
    <w:rPr>
      <w:rFonts w:ascii="Times New Roman" w:eastAsia="DengXian" w:hAnsi="Times New Roman" w:cs="Times New Roman"/>
      <w:sz w:val="24"/>
      <w:lang w:val="en-US" w:eastAsia="zh-CN"/>
    </w:rPr>
  </w:style>
  <w:style w:type="paragraph" w:styleId="Textodeglobo">
    <w:name w:val="Balloon Text"/>
    <w:basedOn w:val="Normal"/>
    <w:link w:val="TextodegloboCar"/>
    <w:uiPriority w:val="99"/>
    <w:semiHidden/>
    <w:unhideWhenUsed/>
    <w:rsid w:val="00A07B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7B12"/>
    <w:rPr>
      <w:rFonts w:ascii="Segoe UI" w:eastAsia="DengXian" w:hAnsi="Segoe UI" w:cs="Segoe UI"/>
      <w:sz w:val="18"/>
      <w:szCs w:val="18"/>
      <w:lang w:val="en-US" w:eastAsia="zh-CN"/>
    </w:rPr>
  </w:style>
  <w:style w:type="character" w:customStyle="1" w:styleId="Ttulo1Car">
    <w:name w:val="Título 1 Car"/>
    <w:basedOn w:val="Fuentedeprrafopredeter"/>
    <w:link w:val="Ttulo1"/>
    <w:uiPriority w:val="9"/>
    <w:rsid w:val="000847A6"/>
    <w:rPr>
      <w:rFonts w:ascii="Times New Roman" w:eastAsia="Times New Roman" w:hAnsi="Times New Roman" w:cs="Times New Roman"/>
      <w:b/>
      <w:bCs/>
      <w:kern w:val="36"/>
      <w:sz w:val="48"/>
      <w:szCs w:val="48"/>
      <w:lang w:val="en-US"/>
    </w:rPr>
  </w:style>
  <w:style w:type="character" w:customStyle="1" w:styleId="Ttulo2Car">
    <w:name w:val="Título 2 Car"/>
    <w:basedOn w:val="Fuentedeprrafopredeter"/>
    <w:link w:val="Ttulo2"/>
    <w:uiPriority w:val="9"/>
    <w:rsid w:val="000847A6"/>
    <w:rPr>
      <w:rFonts w:ascii="Times New Roman" w:eastAsia="Times New Roman" w:hAnsi="Times New Roman" w:cs="Times New Roman"/>
      <w:b/>
      <w:bCs/>
      <w:sz w:val="36"/>
      <w:szCs w:val="36"/>
      <w:lang w:val="en-US"/>
    </w:rPr>
  </w:style>
  <w:style w:type="character" w:styleId="Hipervnculo">
    <w:name w:val="Hyperlink"/>
    <w:basedOn w:val="Fuentedeprrafopredeter"/>
    <w:uiPriority w:val="99"/>
    <w:semiHidden/>
    <w:unhideWhenUsed/>
    <w:rsid w:val="000847A6"/>
    <w:rPr>
      <w:color w:val="0000FF"/>
      <w:u w:val="single"/>
    </w:rPr>
  </w:style>
  <w:style w:type="character" w:customStyle="1" w:styleId="as">
    <w:name w:val="as"/>
    <w:basedOn w:val="Fuentedeprrafopredeter"/>
    <w:rsid w:val="000847A6"/>
  </w:style>
  <w:style w:type="paragraph" w:customStyle="1" w:styleId="ir">
    <w:name w:val="ir"/>
    <w:basedOn w:val="Normal"/>
    <w:rsid w:val="000847A6"/>
    <w:pPr>
      <w:spacing w:before="100" w:beforeAutospacing="1" w:after="100" w:afterAutospacing="1" w:line="240" w:lineRule="auto"/>
    </w:pPr>
    <w:rPr>
      <w:rFonts w:eastAsia="Times New Roman"/>
      <w:szCs w:val="24"/>
      <w:lang w:eastAsia="en-US"/>
    </w:rPr>
  </w:style>
  <w:style w:type="character" w:styleId="nfasis">
    <w:name w:val="Emphasis"/>
    <w:basedOn w:val="Fuentedeprrafopredeter"/>
    <w:uiPriority w:val="20"/>
    <w:qFormat/>
    <w:rsid w:val="000847A6"/>
    <w:rPr>
      <w:i/>
      <w:iCs/>
    </w:rPr>
  </w:style>
  <w:style w:type="character" w:styleId="Textoennegrita">
    <w:name w:val="Strong"/>
    <w:basedOn w:val="Fuentedeprrafopredeter"/>
    <w:uiPriority w:val="22"/>
    <w:qFormat/>
    <w:rsid w:val="000847A6"/>
    <w:rPr>
      <w:b/>
      <w:bCs/>
    </w:rPr>
  </w:style>
  <w:style w:type="paragraph" w:styleId="Prrafodelista">
    <w:name w:val="List Paragraph"/>
    <w:basedOn w:val="Normal"/>
    <w:uiPriority w:val="34"/>
    <w:qFormat/>
    <w:rsid w:val="00160B79"/>
    <w:pPr>
      <w:ind w:left="720"/>
      <w:contextualSpacing/>
    </w:pPr>
  </w:style>
  <w:style w:type="character" w:customStyle="1" w:styleId="e24kjd">
    <w:name w:val="e24kjd"/>
    <w:basedOn w:val="Fuentedeprrafopredeter"/>
    <w:rsid w:val="00D35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917449">
      <w:bodyDiv w:val="1"/>
      <w:marLeft w:val="0"/>
      <w:marRight w:val="0"/>
      <w:marTop w:val="0"/>
      <w:marBottom w:val="0"/>
      <w:divBdr>
        <w:top w:val="none" w:sz="0" w:space="0" w:color="auto"/>
        <w:left w:val="none" w:sz="0" w:space="0" w:color="auto"/>
        <w:bottom w:val="none" w:sz="0" w:space="0" w:color="auto"/>
        <w:right w:val="none" w:sz="0" w:space="0" w:color="auto"/>
      </w:divBdr>
    </w:div>
    <w:div w:id="1033850000">
      <w:bodyDiv w:val="1"/>
      <w:marLeft w:val="0"/>
      <w:marRight w:val="0"/>
      <w:marTop w:val="0"/>
      <w:marBottom w:val="0"/>
      <w:divBdr>
        <w:top w:val="none" w:sz="0" w:space="0" w:color="auto"/>
        <w:left w:val="none" w:sz="0" w:space="0" w:color="auto"/>
        <w:bottom w:val="none" w:sz="0" w:space="0" w:color="auto"/>
        <w:right w:val="none" w:sz="0" w:space="0" w:color="auto"/>
      </w:divBdr>
      <w:divsChild>
        <w:div w:id="1601328023">
          <w:marLeft w:val="0"/>
          <w:marRight w:val="0"/>
          <w:marTop w:val="0"/>
          <w:marBottom w:val="0"/>
          <w:divBdr>
            <w:top w:val="none" w:sz="0" w:space="0" w:color="auto"/>
            <w:left w:val="none" w:sz="0" w:space="0" w:color="auto"/>
            <w:bottom w:val="none" w:sz="0" w:space="0" w:color="auto"/>
            <w:right w:val="none" w:sz="0" w:space="0" w:color="auto"/>
          </w:divBdr>
        </w:div>
      </w:divsChild>
    </w:div>
    <w:div w:id="1057633860">
      <w:bodyDiv w:val="1"/>
      <w:marLeft w:val="0"/>
      <w:marRight w:val="0"/>
      <w:marTop w:val="0"/>
      <w:marBottom w:val="0"/>
      <w:divBdr>
        <w:top w:val="none" w:sz="0" w:space="0" w:color="auto"/>
        <w:left w:val="none" w:sz="0" w:space="0" w:color="auto"/>
        <w:bottom w:val="none" w:sz="0" w:space="0" w:color="auto"/>
        <w:right w:val="none" w:sz="0" w:space="0" w:color="auto"/>
      </w:divBdr>
      <w:divsChild>
        <w:div w:id="264660020">
          <w:marLeft w:val="0"/>
          <w:marRight w:val="0"/>
          <w:marTop w:val="0"/>
          <w:marBottom w:val="0"/>
          <w:divBdr>
            <w:top w:val="none" w:sz="0" w:space="0" w:color="auto"/>
            <w:left w:val="none" w:sz="0" w:space="0" w:color="auto"/>
            <w:bottom w:val="none" w:sz="0" w:space="0" w:color="auto"/>
            <w:right w:val="none" w:sz="0" w:space="0" w:color="auto"/>
          </w:divBdr>
        </w:div>
      </w:divsChild>
    </w:div>
    <w:div w:id="2011563504">
      <w:bodyDiv w:val="1"/>
      <w:marLeft w:val="0"/>
      <w:marRight w:val="0"/>
      <w:marTop w:val="0"/>
      <w:marBottom w:val="0"/>
      <w:divBdr>
        <w:top w:val="none" w:sz="0" w:space="0" w:color="auto"/>
        <w:left w:val="none" w:sz="0" w:space="0" w:color="auto"/>
        <w:bottom w:val="none" w:sz="0" w:space="0" w:color="auto"/>
        <w:right w:val="none" w:sz="0" w:space="0" w:color="auto"/>
      </w:divBdr>
      <w:divsChild>
        <w:div w:id="228461633">
          <w:marLeft w:val="0"/>
          <w:marRight w:val="0"/>
          <w:marTop w:val="0"/>
          <w:marBottom w:val="0"/>
          <w:divBdr>
            <w:top w:val="none" w:sz="0" w:space="0" w:color="auto"/>
            <w:left w:val="none" w:sz="0" w:space="0" w:color="auto"/>
            <w:bottom w:val="none" w:sz="0" w:space="0" w:color="auto"/>
            <w:right w:val="none" w:sz="0" w:space="0" w:color="auto"/>
          </w:divBdr>
          <w:divsChild>
            <w:div w:id="197747152">
              <w:marLeft w:val="0"/>
              <w:marRight w:val="0"/>
              <w:marTop w:val="187"/>
              <w:marBottom w:val="0"/>
              <w:divBdr>
                <w:top w:val="none" w:sz="0" w:space="0" w:color="auto"/>
                <w:left w:val="none" w:sz="0" w:space="0" w:color="auto"/>
                <w:bottom w:val="none" w:sz="0" w:space="0" w:color="auto"/>
                <w:right w:val="none" w:sz="0" w:space="0" w:color="auto"/>
              </w:divBdr>
            </w:div>
          </w:divsChild>
        </w:div>
        <w:div w:id="708339450">
          <w:marLeft w:val="0"/>
          <w:marRight w:val="0"/>
          <w:marTop w:val="190"/>
          <w:marBottom w:val="0"/>
          <w:divBdr>
            <w:top w:val="none" w:sz="0" w:space="0" w:color="auto"/>
            <w:left w:val="none" w:sz="0" w:space="0" w:color="auto"/>
            <w:bottom w:val="none" w:sz="0" w:space="0" w:color="auto"/>
            <w:right w:val="none" w:sz="0" w:space="0" w:color="auto"/>
          </w:divBdr>
        </w:div>
        <w:div w:id="633220160">
          <w:marLeft w:val="0"/>
          <w:marRight w:val="0"/>
          <w:marTop w:val="480"/>
          <w:marBottom w:val="0"/>
          <w:divBdr>
            <w:top w:val="none" w:sz="0" w:space="0" w:color="auto"/>
            <w:left w:val="none" w:sz="0" w:space="0" w:color="auto"/>
            <w:bottom w:val="none" w:sz="0" w:space="0" w:color="auto"/>
            <w:right w:val="none" w:sz="0" w:space="0" w:color="auto"/>
          </w:divBdr>
          <w:divsChild>
            <w:div w:id="1809930170">
              <w:marLeft w:val="0"/>
              <w:marRight w:val="0"/>
              <w:marTop w:val="0"/>
              <w:marBottom w:val="0"/>
              <w:divBdr>
                <w:top w:val="none" w:sz="0" w:space="0" w:color="auto"/>
                <w:left w:val="none" w:sz="0" w:space="0" w:color="auto"/>
                <w:bottom w:val="none" w:sz="0" w:space="0" w:color="auto"/>
                <w:right w:val="none" w:sz="0" w:space="0" w:color="auto"/>
              </w:divBdr>
              <w:divsChild>
                <w:div w:id="909340522">
                  <w:marLeft w:val="0"/>
                  <w:marRight w:val="0"/>
                  <w:marTop w:val="0"/>
                  <w:marBottom w:val="0"/>
                  <w:divBdr>
                    <w:top w:val="none" w:sz="0" w:space="0" w:color="auto"/>
                    <w:left w:val="none" w:sz="0" w:space="0" w:color="auto"/>
                    <w:bottom w:val="none" w:sz="0" w:space="0" w:color="auto"/>
                    <w:right w:val="none" w:sz="0" w:space="0" w:color="auto"/>
                  </w:divBdr>
                  <w:divsChild>
                    <w:div w:id="1264847788">
                      <w:marLeft w:val="0"/>
                      <w:marRight w:val="0"/>
                      <w:marTop w:val="0"/>
                      <w:marBottom w:val="0"/>
                      <w:divBdr>
                        <w:top w:val="none" w:sz="0" w:space="0" w:color="auto"/>
                        <w:left w:val="none" w:sz="0" w:space="0" w:color="auto"/>
                        <w:bottom w:val="none" w:sz="0" w:space="0" w:color="auto"/>
                        <w:right w:val="none" w:sz="0" w:space="0" w:color="auto"/>
                      </w:divBdr>
                      <w:divsChild>
                        <w:div w:id="1815901791">
                          <w:marLeft w:val="0"/>
                          <w:marRight w:val="0"/>
                          <w:marTop w:val="0"/>
                          <w:marBottom w:val="0"/>
                          <w:divBdr>
                            <w:top w:val="none" w:sz="0" w:space="0" w:color="auto"/>
                            <w:left w:val="none" w:sz="0" w:space="0" w:color="auto"/>
                            <w:bottom w:val="none" w:sz="0" w:space="0" w:color="auto"/>
                            <w:right w:val="none" w:sz="0" w:space="0" w:color="auto"/>
                          </w:divBdr>
                        </w:div>
                      </w:divsChild>
                    </w:div>
                    <w:div w:id="1326125926">
                      <w:marLeft w:val="180"/>
                      <w:marRight w:val="0"/>
                      <w:marTop w:val="0"/>
                      <w:marBottom w:val="0"/>
                      <w:divBdr>
                        <w:top w:val="none" w:sz="0" w:space="0" w:color="auto"/>
                        <w:left w:val="none" w:sz="0" w:space="0" w:color="auto"/>
                        <w:bottom w:val="none" w:sz="0" w:space="0" w:color="auto"/>
                        <w:right w:val="none" w:sz="0" w:space="0" w:color="auto"/>
                      </w:divBdr>
                      <w:divsChild>
                        <w:div w:id="654650108">
                          <w:marLeft w:val="0"/>
                          <w:marRight w:val="0"/>
                          <w:marTop w:val="0"/>
                          <w:marBottom w:val="0"/>
                          <w:divBdr>
                            <w:top w:val="none" w:sz="0" w:space="0" w:color="auto"/>
                            <w:left w:val="none" w:sz="0" w:space="0" w:color="auto"/>
                            <w:bottom w:val="none" w:sz="0" w:space="0" w:color="auto"/>
                            <w:right w:val="none" w:sz="0" w:space="0" w:color="auto"/>
                          </w:divBdr>
                          <w:divsChild>
                            <w:div w:id="1124230662">
                              <w:marLeft w:val="0"/>
                              <w:marRight w:val="0"/>
                              <w:marTop w:val="0"/>
                              <w:marBottom w:val="0"/>
                              <w:divBdr>
                                <w:top w:val="none" w:sz="0" w:space="0" w:color="auto"/>
                                <w:left w:val="none" w:sz="0" w:space="0" w:color="auto"/>
                                <w:bottom w:val="none" w:sz="0" w:space="0" w:color="auto"/>
                                <w:right w:val="none" w:sz="0" w:space="0" w:color="auto"/>
                              </w:divBdr>
                              <w:divsChild>
                                <w:div w:id="1358189986">
                                  <w:marLeft w:val="0"/>
                                  <w:marRight w:val="0"/>
                                  <w:marTop w:val="0"/>
                                  <w:marBottom w:val="30"/>
                                  <w:divBdr>
                                    <w:top w:val="none" w:sz="0" w:space="0" w:color="auto"/>
                                    <w:left w:val="none" w:sz="0" w:space="0" w:color="auto"/>
                                    <w:bottom w:val="none" w:sz="0" w:space="0" w:color="auto"/>
                                    <w:right w:val="none" w:sz="0" w:space="0" w:color="auto"/>
                                  </w:divBdr>
                                  <w:divsChild>
                                    <w:div w:id="104274799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078500">
          <w:marLeft w:val="0"/>
          <w:marRight w:val="0"/>
          <w:marTop w:val="0"/>
          <w:marBottom w:val="0"/>
          <w:divBdr>
            <w:top w:val="none" w:sz="0" w:space="0" w:color="auto"/>
            <w:left w:val="none" w:sz="0" w:space="0" w:color="auto"/>
            <w:bottom w:val="none" w:sz="0" w:space="0" w:color="auto"/>
            <w:right w:val="none" w:sz="0" w:space="0" w:color="auto"/>
          </w:divBdr>
          <w:divsChild>
            <w:div w:id="1804276628">
              <w:marLeft w:val="0"/>
              <w:marRight w:val="0"/>
              <w:marTop w:val="100"/>
              <w:marBottom w:val="100"/>
              <w:divBdr>
                <w:top w:val="none" w:sz="0" w:space="0" w:color="auto"/>
                <w:left w:val="none" w:sz="0" w:space="0" w:color="auto"/>
                <w:bottom w:val="none" w:sz="0" w:space="0" w:color="auto"/>
                <w:right w:val="none" w:sz="0" w:space="0" w:color="auto"/>
              </w:divBdr>
              <w:divsChild>
                <w:div w:id="505050366">
                  <w:marLeft w:val="0"/>
                  <w:marRight w:val="0"/>
                  <w:marTop w:val="0"/>
                  <w:marBottom w:val="0"/>
                  <w:divBdr>
                    <w:top w:val="none" w:sz="0" w:space="0" w:color="auto"/>
                    <w:left w:val="none" w:sz="0" w:space="0" w:color="auto"/>
                    <w:bottom w:val="none" w:sz="0" w:space="0" w:color="auto"/>
                    <w:right w:val="none" w:sz="0" w:space="0" w:color="auto"/>
                  </w:divBdr>
                  <w:divsChild>
                    <w:div w:id="8846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25712">
          <w:marLeft w:val="0"/>
          <w:marRight w:val="0"/>
          <w:marTop w:val="0"/>
          <w:marBottom w:val="0"/>
          <w:divBdr>
            <w:top w:val="none" w:sz="0" w:space="0" w:color="auto"/>
            <w:left w:val="none" w:sz="0" w:space="0" w:color="auto"/>
            <w:bottom w:val="none" w:sz="0" w:space="0" w:color="auto"/>
            <w:right w:val="none" w:sz="0" w:space="0" w:color="auto"/>
          </w:divBdr>
          <w:divsChild>
            <w:div w:id="1131481825">
              <w:marLeft w:val="0"/>
              <w:marRight w:val="0"/>
              <w:marTop w:val="0"/>
              <w:marBottom w:val="0"/>
              <w:divBdr>
                <w:top w:val="none" w:sz="0" w:space="0" w:color="auto"/>
                <w:left w:val="none" w:sz="0" w:space="0" w:color="auto"/>
                <w:bottom w:val="none" w:sz="0" w:space="0" w:color="auto"/>
                <w:right w:val="none" w:sz="0" w:space="0" w:color="auto"/>
              </w:divBdr>
              <w:divsChild>
                <w:div w:id="1910843073">
                  <w:marLeft w:val="0"/>
                  <w:marRight w:val="0"/>
                  <w:marTop w:val="100"/>
                  <w:marBottom w:val="100"/>
                  <w:divBdr>
                    <w:top w:val="none" w:sz="0" w:space="0" w:color="auto"/>
                    <w:left w:val="none" w:sz="0" w:space="0" w:color="auto"/>
                    <w:bottom w:val="none" w:sz="0" w:space="0" w:color="auto"/>
                    <w:right w:val="none" w:sz="0" w:space="0" w:color="auto"/>
                  </w:divBdr>
                  <w:divsChild>
                    <w:div w:id="274748428">
                      <w:marLeft w:val="0"/>
                      <w:marRight w:val="0"/>
                      <w:marTop w:val="0"/>
                      <w:marBottom w:val="0"/>
                      <w:divBdr>
                        <w:top w:val="none" w:sz="0" w:space="0" w:color="auto"/>
                        <w:left w:val="none" w:sz="0" w:space="0" w:color="auto"/>
                        <w:bottom w:val="none" w:sz="0" w:space="0" w:color="auto"/>
                        <w:right w:val="none" w:sz="0" w:space="0" w:color="auto"/>
                      </w:divBdr>
                      <w:divsChild>
                        <w:div w:id="18761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22891">
          <w:marLeft w:val="0"/>
          <w:marRight w:val="0"/>
          <w:marTop w:val="0"/>
          <w:marBottom w:val="0"/>
          <w:divBdr>
            <w:top w:val="none" w:sz="0" w:space="0" w:color="auto"/>
            <w:left w:val="none" w:sz="0" w:space="0" w:color="auto"/>
            <w:bottom w:val="none" w:sz="0" w:space="0" w:color="auto"/>
            <w:right w:val="none" w:sz="0" w:space="0" w:color="auto"/>
          </w:divBdr>
          <w:divsChild>
            <w:div w:id="1983926322">
              <w:marLeft w:val="0"/>
              <w:marRight w:val="0"/>
              <w:marTop w:val="0"/>
              <w:marBottom w:val="0"/>
              <w:divBdr>
                <w:top w:val="none" w:sz="0" w:space="0" w:color="auto"/>
                <w:left w:val="none" w:sz="0" w:space="0" w:color="auto"/>
                <w:bottom w:val="none" w:sz="0" w:space="0" w:color="auto"/>
                <w:right w:val="none" w:sz="0" w:space="0" w:color="auto"/>
              </w:divBdr>
              <w:divsChild>
                <w:div w:id="363293356">
                  <w:marLeft w:val="0"/>
                  <w:marRight w:val="0"/>
                  <w:marTop w:val="100"/>
                  <w:marBottom w:val="100"/>
                  <w:divBdr>
                    <w:top w:val="none" w:sz="0" w:space="0" w:color="auto"/>
                    <w:left w:val="none" w:sz="0" w:space="0" w:color="auto"/>
                    <w:bottom w:val="none" w:sz="0" w:space="0" w:color="auto"/>
                    <w:right w:val="none" w:sz="0" w:space="0" w:color="auto"/>
                  </w:divBdr>
                  <w:divsChild>
                    <w:div w:id="1221794405">
                      <w:marLeft w:val="0"/>
                      <w:marRight w:val="0"/>
                      <w:marTop w:val="0"/>
                      <w:marBottom w:val="0"/>
                      <w:divBdr>
                        <w:top w:val="none" w:sz="0" w:space="0" w:color="auto"/>
                        <w:left w:val="none" w:sz="0" w:space="0" w:color="auto"/>
                        <w:bottom w:val="none" w:sz="0" w:space="0" w:color="auto"/>
                        <w:right w:val="none" w:sz="0" w:space="0" w:color="auto"/>
                      </w:divBdr>
                      <w:divsChild>
                        <w:div w:id="17416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020357">
          <w:marLeft w:val="0"/>
          <w:marRight w:val="0"/>
          <w:marTop w:val="0"/>
          <w:marBottom w:val="0"/>
          <w:divBdr>
            <w:top w:val="none" w:sz="0" w:space="0" w:color="auto"/>
            <w:left w:val="none" w:sz="0" w:space="0" w:color="auto"/>
            <w:bottom w:val="none" w:sz="0" w:space="0" w:color="auto"/>
            <w:right w:val="none" w:sz="0" w:space="0" w:color="auto"/>
          </w:divBdr>
          <w:divsChild>
            <w:div w:id="1287545880">
              <w:marLeft w:val="0"/>
              <w:marRight w:val="0"/>
              <w:marTop w:val="0"/>
              <w:marBottom w:val="0"/>
              <w:divBdr>
                <w:top w:val="none" w:sz="0" w:space="0" w:color="auto"/>
                <w:left w:val="none" w:sz="0" w:space="0" w:color="auto"/>
                <w:bottom w:val="none" w:sz="0" w:space="0" w:color="auto"/>
                <w:right w:val="none" w:sz="0" w:space="0" w:color="auto"/>
              </w:divBdr>
              <w:divsChild>
                <w:div w:id="826097864">
                  <w:marLeft w:val="0"/>
                  <w:marRight w:val="0"/>
                  <w:marTop w:val="100"/>
                  <w:marBottom w:val="100"/>
                  <w:divBdr>
                    <w:top w:val="none" w:sz="0" w:space="0" w:color="auto"/>
                    <w:left w:val="none" w:sz="0" w:space="0" w:color="auto"/>
                    <w:bottom w:val="none" w:sz="0" w:space="0" w:color="auto"/>
                    <w:right w:val="none" w:sz="0" w:space="0" w:color="auto"/>
                  </w:divBdr>
                  <w:divsChild>
                    <w:div w:id="787504756">
                      <w:marLeft w:val="0"/>
                      <w:marRight w:val="0"/>
                      <w:marTop w:val="0"/>
                      <w:marBottom w:val="0"/>
                      <w:divBdr>
                        <w:top w:val="none" w:sz="0" w:space="0" w:color="auto"/>
                        <w:left w:val="none" w:sz="0" w:space="0" w:color="auto"/>
                        <w:bottom w:val="none" w:sz="0" w:space="0" w:color="auto"/>
                        <w:right w:val="none" w:sz="0" w:space="0" w:color="auto"/>
                      </w:divBdr>
                      <w:divsChild>
                        <w:div w:id="14131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5722">
          <w:marLeft w:val="0"/>
          <w:marRight w:val="0"/>
          <w:marTop w:val="0"/>
          <w:marBottom w:val="0"/>
          <w:divBdr>
            <w:top w:val="none" w:sz="0" w:space="0" w:color="auto"/>
            <w:left w:val="none" w:sz="0" w:space="0" w:color="auto"/>
            <w:bottom w:val="none" w:sz="0" w:space="0" w:color="auto"/>
            <w:right w:val="none" w:sz="0" w:space="0" w:color="auto"/>
          </w:divBdr>
          <w:divsChild>
            <w:div w:id="1204293570">
              <w:marLeft w:val="0"/>
              <w:marRight w:val="0"/>
              <w:marTop w:val="0"/>
              <w:marBottom w:val="0"/>
              <w:divBdr>
                <w:top w:val="none" w:sz="0" w:space="0" w:color="auto"/>
                <w:left w:val="none" w:sz="0" w:space="0" w:color="auto"/>
                <w:bottom w:val="none" w:sz="0" w:space="0" w:color="auto"/>
                <w:right w:val="none" w:sz="0" w:space="0" w:color="auto"/>
              </w:divBdr>
              <w:divsChild>
                <w:div w:id="912158880">
                  <w:marLeft w:val="0"/>
                  <w:marRight w:val="0"/>
                  <w:marTop w:val="100"/>
                  <w:marBottom w:val="100"/>
                  <w:divBdr>
                    <w:top w:val="none" w:sz="0" w:space="0" w:color="auto"/>
                    <w:left w:val="none" w:sz="0" w:space="0" w:color="auto"/>
                    <w:bottom w:val="none" w:sz="0" w:space="0" w:color="auto"/>
                    <w:right w:val="none" w:sz="0" w:space="0" w:color="auto"/>
                  </w:divBdr>
                  <w:divsChild>
                    <w:div w:id="2060206162">
                      <w:marLeft w:val="0"/>
                      <w:marRight w:val="0"/>
                      <w:marTop w:val="0"/>
                      <w:marBottom w:val="0"/>
                      <w:divBdr>
                        <w:top w:val="none" w:sz="0" w:space="0" w:color="auto"/>
                        <w:left w:val="none" w:sz="0" w:space="0" w:color="auto"/>
                        <w:bottom w:val="none" w:sz="0" w:space="0" w:color="auto"/>
                        <w:right w:val="none" w:sz="0" w:space="0" w:color="auto"/>
                      </w:divBdr>
                      <w:divsChild>
                        <w:div w:id="2827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82037">
          <w:marLeft w:val="0"/>
          <w:marRight w:val="0"/>
          <w:marTop w:val="0"/>
          <w:marBottom w:val="0"/>
          <w:divBdr>
            <w:top w:val="none" w:sz="0" w:space="0" w:color="auto"/>
            <w:left w:val="none" w:sz="0" w:space="0" w:color="auto"/>
            <w:bottom w:val="none" w:sz="0" w:space="0" w:color="auto"/>
            <w:right w:val="none" w:sz="0" w:space="0" w:color="auto"/>
          </w:divBdr>
          <w:divsChild>
            <w:div w:id="1489206443">
              <w:marLeft w:val="0"/>
              <w:marRight w:val="0"/>
              <w:marTop w:val="0"/>
              <w:marBottom w:val="0"/>
              <w:divBdr>
                <w:top w:val="none" w:sz="0" w:space="0" w:color="auto"/>
                <w:left w:val="none" w:sz="0" w:space="0" w:color="auto"/>
                <w:bottom w:val="none" w:sz="0" w:space="0" w:color="auto"/>
                <w:right w:val="none" w:sz="0" w:space="0" w:color="auto"/>
              </w:divBdr>
              <w:divsChild>
                <w:div w:id="559292257">
                  <w:marLeft w:val="0"/>
                  <w:marRight w:val="0"/>
                  <w:marTop w:val="100"/>
                  <w:marBottom w:val="100"/>
                  <w:divBdr>
                    <w:top w:val="none" w:sz="0" w:space="0" w:color="auto"/>
                    <w:left w:val="none" w:sz="0" w:space="0" w:color="auto"/>
                    <w:bottom w:val="none" w:sz="0" w:space="0" w:color="auto"/>
                    <w:right w:val="none" w:sz="0" w:space="0" w:color="auto"/>
                  </w:divBdr>
                  <w:divsChild>
                    <w:div w:id="1129469131">
                      <w:marLeft w:val="0"/>
                      <w:marRight w:val="0"/>
                      <w:marTop w:val="0"/>
                      <w:marBottom w:val="0"/>
                      <w:divBdr>
                        <w:top w:val="none" w:sz="0" w:space="0" w:color="auto"/>
                        <w:left w:val="none" w:sz="0" w:space="0" w:color="auto"/>
                        <w:bottom w:val="none" w:sz="0" w:space="0" w:color="auto"/>
                        <w:right w:val="none" w:sz="0" w:space="0" w:color="auto"/>
                      </w:divBdr>
                      <w:divsChild>
                        <w:div w:id="10071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71093">
          <w:marLeft w:val="0"/>
          <w:marRight w:val="0"/>
          <w:marTop w:val="0"/>
          <w:marBottom w:val="0"/>
          <w:divBdr>
            <w:top w:val="none" w:sz="0" w:space="0" w:color="auto"/>
            <w:left w:val="none" w:sz="0" w:space="0" w:color="auto"/>
            <w:bottom w:val="none" w:sz="0" w:space="0" w:color="auto"/>
            <w:right w:val="none" w:sz="0" w:space="0" w:color="auto"/>
          </w:divBdr>
          <w:divsChild>
            <w:div w:id="1186141558">
              <w:marLeft w:val="0"/>
              <w:marRight w:val="0"/>
              <w:marTop w:val="0"/>
              <w:marBottom w:val="0"/>
              <w:divBdr>
                <w:top w:val="none" w:sz="0" w:space="0" w:color="auto"/>
                <w:left w:val="none" w:sz="0" w:space="0" w:color="auto"/>
                <w:bottom w:val="none" w:sz="0" w:space="0" w:color="auto"/>
                <w:right w:val="none" w:sz="0" w:space="0" w:color="auto"/>
              </w:divBdr>
              <w:divsChild>
                <w:div w:id="156311553">
                  <w:marLeft w:val="0"/>
                  <w:marRight w:val="0"/>
                  <w:marTop w:val="100"/>
                  <w:marBottom w:val="100"/>
                  <w:divBdr>
                    <w:top w:val="none" w:sz="0" w:space="0" w:color="auto"/>
                    <w:left w:val="none" w:sz="0" w:space="0" w:color="auto"/>
                    <w:bottom w:val="none" w:sz="0" w:space="0" w:color="auto"/>
                    <w:right w:val="none" w:sz="0" w:space="0" w:color="auto"/>
                  </w:divBdr>
                  <w:divsChild>
                    <w:div w:id="2024553196">
                      <w:marLeft w:val="0"/>
                      <w:marRight w:val="0"/>
                      <w:marTop w:val="0"/>
                      <w:marBottom w:val="0"/>
                      <w:divBdr>
                        <w:top w:val="none" w:sz="0" w:space="0" w:color="auto"/>
                        <w:left w:val="none" w:sz="0" w:space="0" w:color="auto"/>
                        <w:bottom w:val="none" w:sz="0" w:space="0" w:color="auto"/>
                        <w:right w:val="none" w:sz="0" w:space="0" w:color="auto"/>
                      </w:divBdr>
                      <w:divsChild>
                        <w:div w:id="18670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252556">
          <w:marLeft w:val="0"/>
          <w:marRight w:val="0"/>
          <w:marTop w:val="0"/>
          <w:marBottom w:val="0"/>
          <w:divBdr>
            <w:top w:val="none" w:sz="0" w:space="0" w:color="auto"/>
            <w:left w:val="none" w:sz="0" w:space="0" w:color="auto"/>
            <w:bottom w:val="none" w:sz="0" w:space="0" w:color="auto"/>
            <w:right w:val="none" w:sz="0" w:space="0" w:color="auto"/>
          </w:divBdr>
          <w:divsChild>
            <w:div w:id="1606692055">
              <w:marLeft w:val="0"/>
              <w:marRight w:val="0"/>
              <w:marTop w:val="0"/>
              <w:marBottom w:val="0"/>
              <w:divBdr>
                <w:top w:val="none" w:sz="0" w:space="0" w:color="auto"/>
                <w:left w:val="none" w:sz="0" w:space="0" w:color="auto"/>
                <w:bottom w:val="none" w:sz="0" w:space="0" w:color="auto"/>
                <w:right w:val="none" w:sz="0" w:space="0" w:color="auto"/>
              </w:divBdr>
              <w:divsChild>
                <w:div w:id="1376194837">
                  <w:marLeft w:val="0"/>
                  <w:marRight w:val="0"/>
                  <w:marTop w:val="100"/>
                  <w:marBottom w:val="100"/>
                  <w:divBdr>
                    <w:top w:val="none" w:sz="0" w:space="0" w:color="auto"/>
                    <w:left w:val="none" w:sz="0" w:space="0" w:color="auto"/>
                    <w:bottom w:val="none" w:sz="0" w:space="0" w:color="auto"/>
                    <w:right w:val="none" w:sz="0" w:space="0" w:color="auto"/>
                  </w:divBdr>
                  <w:divsChild>
                    <w:div w:id="150490563">
                      <w:marLeft w:val="0"/>
                      <w:marRight w:val="0"/>
                      <w:marTop w:val="0"/>
                      <w:marBottom w:val="0"/>
                      <w:divBdr>
                        <w:top w:val="none" w:sz="0" w:space="0" w:color="auto"/>
                        <w:left w:val="none" w:sz="0" w:space="0" w:color="auto"/>
                        <w:bottom w:val="none" w:sz="0" w:space="0" w:color="auto"/>
                        <w:right w:val="none" w:sz="0" w:space="0" w:color="auto"/>
                      </w:divBdr>
                      <w:divsChild>
                        <w:div w:id="9574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3147">
          <w:marLeft w:val="0"/>
          <w:marRight w:val="0"/>
          <w:marTop w:val="0"/>
          <w:marBottom w:val="0"/>
          <w:divBdr>
            <w:top w:val="none" w:sz="0" w:space="0" w:color="auto"/>
            <w:left w:val="none" w:sz="0" w:space="0" w:color="auto"/>
            <w:bottom w:val="none" w:sz="0" w:space="0" w:color="auto"/>
            <w:right w:val="none" w:sz="0" w:space="0" w:color="auto"/>
          </w:divBdr>
          <w:divsChild>
            <w:div w:id="1475947420">
              <w:marLeft w:val="0"/>
              <w:marRight w:val="0"/>
              <w:marTop w:val="0"/>
              <w:marBottom w:val="0"/>
              <w:divBdr>
                <w:top w:val="none" w:sz="0" w:space="0" w:color="auto"/>
                <w:left w:val="none" w:sz="0" w:space="0" w:color="auto"/>
                <w:bottom w:val="none" w:sz="0" w:space="0" w:color="auto"/>
                <w:right w:val="none" w:sz="0" w:space="0" w:color="auto"/>
              </w:divBdr>
              <w:divsChild>
                <w:div w:id="1037507328">
                  <w:marLeft w:val="0"/>
                  <w:marRight w:val="0"/>
                  <w:marTop w:val="100"/>
                  <w:marBottom w:val="100"/>
                  <w:divBdr>
                    <w:top w:val="none" w:sz="0" w:space="0" w:color="auto"/>
                    <w:left w:val="none" w:sz="0" w:space="0" w:color="auto"/>
                    <w:bottom w:val="none" w:sz="0" w:space="0" w:color="auto"/>
                    <w:right w:val="none" w:sz="0" w:space="0" w:color="auto"/>
                  </w:divBdr>
                  <w:divsChild>
                    <w:div w:id="79109687">
                      <w:marLeft w:val="0"/>
                      <w:marRight w:val="0"/>
                      <w:marTop w:val="0"/>
                      <w:marBottom w:val="0"/>
                      <w:divBdr>
                        <w:top w:val="none" w:sz="0" w:space="0" w:color="auto"/>
                        <w:left w:val="none" w:sz="0" w:space="0" w:color="auto"/>
                        <w:bottom w:val="none" w:sz="0" w:space="0" w:color="auto"/>
                        <w:right w:val="none" w:sz="0" w:space="0" w:color="auto"/>
                      </w:divBdr>
                      <w:divsChild>
                        <w:div w:id="5507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bhanuyerra?source=post_page-----25f914521f86----------------------"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tinyurl.com/lyonfnp"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tinyurl.com/mrkg753" TargetMode="External"/><Relationship Id="rId7" Type="http://schemas.microsoft.com/office/2016/09/relationships/commentsIds" Target="commentsId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tinyurl.com/lpq8t8f" TargetMode="External"/><Relationship Id="rId33" Type="http://schemas.openxmlformats.org/officeDocument/2006/relationships/hyperlink" Target="http://tinyurl.com/km2uqyv"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inyurl.com/ludzr9e"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towardsdatascience.com/predicting-tomorrows-gold-price-25f914521f86?source=post_page-----25f914521f86----------------------" TargetMode="External"/><Relationship Id="rId24" Type="http://schemas.openxmlformats.org/officeDocument/2006/relationships/hyperlink" Target="http://tinyurl.com/mq5xwwf" TargetMode="External"/><Relationship Id="rId32" Type="http://schemas.openxmlformats.org/officeDocument/2006/relationships/hyperlink" Target="http://tinyurl.com/l942pbs" TargetMode="External"/><Relationship Id="rId37"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jpeg"/><Relationship Id="rId23" Type="http://schemas.openxmlformats.org/officeDocument/2006/relationships/hyperlink" Target="https://economictimes.indiatimes.com/wealth/invest/factors-that-affect-gold-price/articleshow/64464960.cms?utm_source=contentofinterest&amp;utm_medium=text&amp;utm_campaign=cppst" TargetMode="External"/><Relationship Id="rId28" Type="http://schemas.openxmlformats.org/officeDocument/2006/relationships/hyperlink" Target="http://tinyurl.com/m3fd339" TargetMode="External"/><Relationship Id="rId36" Type="http://schemas.openxmlformats.org/officeDocument/2006/relationships/hyperlink" Target="https://studylib.net/doc/5846874/statistics-112--final-project---wharton-statistics-depart..." TargetMode="External"/><Relationship Id="rId10" Type="http://schemas.openxmlformats.org/officeDocument/2006/relationships/hyperlink" Target="https://towardsdatascience.com/@bhanuyerra?source=post_page-----25f914521f86----------------------" TargetMode="External"/><Relationship Id="rId19" Type="http://schemas.openxmlformats.org/officeDocument/2006/relationships/image" Target="media/image9.png"/><Relationship Id="rId31" Type="http://schemas.openxmlformats.org/officeDocument/2006/relationships/hyperlink" Target="http://tinyurl.com/m7wr6p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wsj.com/articles/no-headline-available-1388504140" TargetMode="External"/><Relationship Id="rId27" Type="http://schemas.openxmlformats.org/officeDocument/2006/relationships/hyperlink" Target="http://tinyurl.com/mxvgl46" TargetMode="External"/><Relationship Id="rId30" Type="http://schemas.openxmlformats.org/officeDocument/2006/relationships/hyperlink" Target="http://tinyurl.com/mkyumbq" TargetMode="External"/><Relationship Id="rId35" Type="http://schemas.openxmlformats.org/officeDocument/2006/relationships/hyperlink" Target="http://www.gurufocus.com/screen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1761</Words>
  <Characters>10042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2</cp:revision>
  <dcterms:created xsi:type="dcterms:W3CDTF">2020-02-23T22:37:00Z</dcterms:created>
  <dcterms:modified xsi:type="dcterms:W3CDTF">2020-02-23T22:37:00Z</dcterms:modified>
</cp:coreProperties>
</file>