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Публичная оферта</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предлагает Пользователю заключить Договор на оказание посреднических и технических услуг (далее - Договор) на условиях настоящей публичной оферты (далее - Оферта). С использованием функционала </w:t>
      </w:r>
      <w:hyperlink xmlns:r="http://schemas.openxmlformats.org/officeDocument/2006/relationships" r:id="docRId0">
        <w:r>
          <w:rPr>
            <w:rFonts w:ascii="Calibri" w:hAnsi="Calibri" w:cs="Calibri" w:eastAsia="Calibri"/>
            <w:color w:val="0000FF"/>
            <w:spacing w:val="0"/>
            <w:position w:val="0"/>
            <w:sz w:val="22"/>
            <w:u w:val="single"/>
            <w:shd w:fill="FFFF00" w:val="clear"/>
          </w:rPr>
          <w:t xml:space="preserve">https://vibeneura.pro/</w:t>
        </w:r>
      </w:hyperlink>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auto" w:val="clear"/>
        </w:rPr>
        <w:t xml:space="preserve"> (далее - Сайт), Пользователь может реализовывать права и исполнять обязательства, предусмотренные Договором.</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Преамбула</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Во избежание сомнений, стороны договорились о нижеследующем: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Продолжая использовать Сайт, Пользователь подтверждает, что не пребывает в состоянии заблуждения (существенного либо несущественного) относительно характеристик и функционала Сайта, условий Договора и своих собственных действий. </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понимает, что в соответствии с Договором Сайт для использования в указанных Договоре целях предоставляется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как есть</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включая без ограничений любую документацию, улучшения и обновления. Это означает, что Компания может в любое время прекратить обслуживать Сайт.</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также не гарантирует, что Сайт не содержит ошибок, будет удовлетворять требованиям Пользователя, или что будет функционировать должным образом при использовании совместно с любым другим программным или аппаратным обеспечением. </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Все риски, связанные с качеством работы и производительностью Сайта, возлагаются на Пользователя.</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стремится обеспечить постоянный доступ к Сайту. Однако, Компания вправе приостановить доступ к Сайту в случае сбоев в работе или в связи с обслуживанием, системными нарушениями в Интернете (в том числе на сервере), в случае форс</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мажорных или иных обстоятельств.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вступает в правоотношения с Пользователем с учетом вышеуказанных положений. Такие положения являются существенными.</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Термины и определения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 физическое лицо, которое использует Сайт и заключило Договор путем акцепта Оферты. Пользователь должен отвечать следующим условиям:</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не иметь законодательных ограничений для заключения Договора;</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действовать от своего имени и в своих интересах; </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быть совершеннолетним.</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 ОсОО </w:t>
      </w:r>
      <w:r>
        <w:rPr>
          <w:rFonts w:ascii="default" w:hAnsi="default" w:cs="default" w:eastAsia="default"/>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Глобал Бридж</w:t>
      </w:r>
      <w:r>
        <w:rPr>
          <w:rFonts w:ascii="default" w:hAnsi="default" w:cs="default" w:eastAsia="default"/>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Адрес компании:Кыргызская Республика, г. Бишкек, Октябрьский район, улица Юнусалиева 185/1 Номер ОГРН: 309678-3301-ООО ИНН: 9909704508</w:t>
        <w:br/>
        <w:t xml:space="preserve">Сайт - веб-сайт Компании в сети Интернет, доступ к которому обеспечивается по адресу: </w:t>
      </w:r>
      <w:hyperlink xmlns:r="http://schemas.openxmlformats.org/officeDocument/2006/relationships" r:id="docRId1">
        <w:r>
          <w:rPr>
            <w:rFonts w:ascii="Calibri" w:hAnsi="Calibri" w:cs="Calibri" w:eastAsia="Calibri"/>
            <w:color w:val="0000FF"/>
            <w:spacing w:val="0"/>
            <w:position w:val="0"/>
            <w:sz w:val="22"/>
            <w:u w:val="single"/>
            <w:shd w:fill="FFFF00" w:val="clear"/>
          </w:rPr>
          <w:t xml:space="preserve">https://vibeneura.pro/</w:t>
        </w:r>
      </w:hyperlink>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auto" w:val="clear"/>
        </w:rPr>
        <w:t xml:space="preserve">. Вся информация, указанная на Сайте, признается неотъемлемой частью Оферты. Доступ к Сайту предоставляется на условиях Лицензии.</w:t>
      </w: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Лицензия - следующие условия предоставления доступа к Сайту:</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Вид лицензии: простая (неисключительная) лицензия.</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Территория использования: весь мир (за исключением стран, запрещающих использование Сайта).</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Срок лицензии: на протяжении всего срока существования Личного кабинета.</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Разрешенный вид использования: воспроизведение графической и/или текстовой информации на экране устройства Пользователя с целью доступа к функционалу Сайта.</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Разрешенный способ использования: Сайт допускается использовать с целью заказа услуг у Компании по покупке товаров, а также иных сопутствующих услуг.</w:t>
      </w: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Возможность выдачи сублицензий: Пользователь не наделяется правом выдачи сублицензий на использование Сайта.</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Регистрация - функционал Сайта, направленный на создание Личного кабинета. Процедура Регистрации заключается в вводе Пользователем Регистрационных данных. Успешная Регистрация означает согласие (акцепт) с Офертой, и заключение Договора между Компанией и Пользователем. В процессе Регистрации Пользователь указывает следующие данные о себе:</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Имя;</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w:t>
      </w: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Пароль и подтверждение пароля.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Авторизационные данные - уникальная пара E-mail-пароль, которая присваивается Пользователю по итогу прохождения Регистрации. Авторизационные данные необходимы для входа в Личный кабинет.</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Личный кабинет - функционал Сайта, уникальный для каждого Пользователя, доступный после Регистрации.</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Комиссия - информация о размере агентского вознаграждения, взимаемого Компанией за оказание услуги по покупке товаров. Комиссия является динамической и может изменяться Компанией в любое время. Комиссия указывается на Сайте, в момент заказа услуг. Такая информация о размере Комиссии является неотъемлемой частью Договора.</w:t>
      </w: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Сервис - онлайн-сервис, предоставляемый третьими лицами, не состоящими в договорных отношениях с Компанией.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Конечным пользователем Сервиса должен являться Пользователь. Если конечном пользователем Сервиса является не Пользователь, а третье лицо, то Пользователь гарантирует наличие всех необходимых договоров и соглашений с таким третьим лицом, в объеме, достаточном для законного исполнения Компанией обязательств перед Пользователем.</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Операция возврата - действия Компании, направленные на осуществление возврата Пользователю внесенных денежных средств.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Срок действия и порядок расторжения Договора</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Договор считается заключенным на условиях Оферты с момента Регистрации Пользователя, и действует до полного исполнения сторонами своих обязательств.</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нарушении Пользователем условий Договора, Компания вправе в одностороннем внесудебном порядке отказаться от исполнения обязательств по Договору (расторгнуть договор в одностороннем порядке), путем полного приостановления доступа к Личному кабинету для Пользователя без предоставления ему каких-либо предупреждений и уведомлений.</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Внесение изменений в Оферту и Договор</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вправе в одностороннем порядке вносить изменения в Оферту и Договор, путем публикации Оферты в новой редакции на Сайте.</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обязуется опубликовать новую версию Оферты на Сайте не позднее даты издания Оферты в новой редакции. </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обязуется самостоятельно, с разумной периодичностью, однако не позднее одного (1) раза в две (2) недели проверять Оферту на наличие изменений.</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Использование Пользователем Сайта для получения или оказания услуг после внесения изменений в Оферту означает согласие с изменениями.</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Порядок акцепта настоящей оферты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Акцепт настоящей Оферты совершается Пользователем путем прохождения процедуры оплаты товара, по результатам которой Пользователю становится доступным Личный кабинет. </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До ввода Регистрационных данных Пользователь обязан полностью ознакомиться и согласиться с условиями настоящей Оферты и Политики обработки персональных данных и файлов Cookie. </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случае согласия с условиями настоящей Оферты и Политики обработки персональных данных и файлов Cookie Пользователь вводит Регистрационные данные и осуществляет подтверждение введенного пароля посредством использования функционала Сайта.</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Совершая ввод Регистрационных данных Пользователь гарантирует следующее:[*]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введенные Регистрационные данные являются полными и достоверными; </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является и будет являться единоличным обладателем и правомерным собственником адреса электронной почты (E-mail); ввод чужого адреса электронной почты не допускается;</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понимает, что все действия, совершенные через его Личный кабинет, считаются совершенными им самим;</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осведомлен о необходимости соблюдать должные меры безопасности для того, чтобы не допускать доступа к электронной почте третьих лиц.</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 том случае, если на момент оплаты Пользователем соблюдались все вышеуказанные гарантии, но в процессе исполнения Договора Пользователем перестала соблюдаться одна или несколько вышеуказанных гарантий, он обязан немедленно прекратить использовать Сайт, оказывать или предоставлять услуги, и обязан немедленно известить об этом Компанию. Впоследствии такой Пользователь обязан действовать согласно полученным инструкциям от Компании, а Компания вправе удалить Личный кабинет такого Пользователя и немедленно расторгнуть заключенный Договор.</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Затем Пользователь подтверждает свое согласие с условиями настоящей Оферты и Политики обработки персональных данных и файлов Cookie, проставлением [V] галочки в соответствующем чек-боксе.</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После успешной оплаты Регистрация считается пройденной успешно, Пользователю присваивается Личный кабинет. Пользователь получает доступ в Личный кабинет путем ввода Авторизационных данных.</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имеет право отказать Пользователю в Регистрации [*], если у Компании имеются основания полагать:</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что введенные Пользователем Регистрационные данные являются недостоверными;</w:t>
      </w:r>
    </w:p>
    <w:p>
      <w:pPr>
        <w:numPr>
          <w:ilvl w:val="0"/>
          <w:numId w:val="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что использование Сайта осуществляется или будет осуществляться Пользователем в нарушение предоставленных гарантий (включая гарантию соблюдения требований законодательства);</w:t>
      </w:r>
    </w:p>
    <w:p>
      <w:pPr>
        <w:numPr>
          <w:ilvl w:val="0"/>
          <w:numId w:val="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что Пользователем по усмотрению Компании совершаются действия, которые вредят или могут навредить репутации Компании.</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Компания вправе аннулировать уже произведенную Регистрацию вне зависимости от срока такой регистрации. Аннулирование Регистрации происходит в тех же случаях, что и отказ в Регистрации.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Условия использования Личного кабинета</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После Регистрации Пользователю становится доступен Личный кабинет. Заказ и предоставление услуг осуществляется с использованием Личного кабинета.</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вправе приостановить доступ Пользователя в Личный кабинет в следующих случаях: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Компании выявлены основания для аннулирования Регистрации Пользователя.</w:t>
      </w:r>
    </w:p>
    <w:p>
      <w:pPr>
        <w:numPr>
          <w:ilvl w:val="0"/>
          <w:numId w:val="4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Компанией выявлены подозрительные попытки ввода Авторизационных данных (несанкционированный доступ в Личный кабинет).</w:t>
      </w:r>
    </w:p>
    <w:p>
      <w:pPr>
        <w:numPr>
          <w:ilvl w:val="0"/>
          <w:numId w:val="4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адрес Компании поступил запрос компетентного органа и(или) лица относительно деятельности Пользователя.</w:t>
      </w:r>
    </w:p>
    <w:p>
      <w:pPr>
        <w:numPr>
          <w:ilvl w:val="0"/>
          <w:numId w:val="4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 иным основаниям по усмотрению Компании.</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приостановлении доступа в Личный кабинет Пользователя наступают следующие последствия: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временно утрачивает возможность доступа к Личному кабинету путем ввода Авторизационных данных;</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 вопросам восстановления доступа в Личный кабинет Пользователь вправе написать обращение в Компанию по электронной почте;</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основании поступившего запроса от Пользователя Компания направляет Пользователю запрос о предоставлении информации; </w:t>
      </w:r>
    </w:p>
    <w:p>
      <w:pPr>
        <w:numPr>
          <w:ilvl w:val="0"/>
          <w:numId w:val="5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Запрос о предоставлении информации может быть направлен Компанией по своей инициативе. В любом случае Пользователь обязан действовать согласно содержащимся в запросе требованиям Компании для восстановления доступа к Личному кабинету.</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соблюдении всех требований Компании, а также при отсутствии у Компании иных оснований для приостановления доступа к Личному кабинету Пользователя, Компания восстанавливает доступ к Личному кабинету Пользователя. </w:t>
      </w:r>
    </w:p>
    <w:p>
      <w:pPr>
        <w:numPr>
          <w:ilvl w:val="0"/>
          <w:numId w:val="5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вправе безвозвратно удалить Личный кабинет Пользователя в следующих случаях: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 направленному запросу Пользователя по электронной почте;</w:t>
      </w:r>
    </w:p>
    <w:p>
      <w:pPr>
        <w:numPr>
          <w:ilvl w:val="0"/>
          <w:numId w:val="5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том случае, если причины приостановления доступа в Личный кабинет не были устранены Пользователем в течение 30 (Тридцати) дней от даты направления запроса Компанией.</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удалении Личного кабинета Пользователя наступают следующие последствия: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навсегда утрачивает возможность доступа к Личному кабинету;</w:t>
      </w:r>
    </w:p>
    <w:p>
      <w:pPr>
        <w:numPr>
          <w:ilvl w:val="0"/>
          <w:numId w:val="5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этом Компания вправе хранить информацию обо всех действиях, которые были совершены Пользователем с использованием функционала Личного кабинета, на условиях Политики обработки персональных данных и файлов Cookie.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Ограничение на использование сайта</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использовании Сайта, Пользователь не вправе совершать следующие действия: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использовать Сайт в нарушение условий Договора;</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распространять, продавать, переводить, модифицировать, осуществлять обратный инжиниринг или выполнять обратную компиляцию или декомпиляцию, дизассемблирование или создание производных работ от Сайта;</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осуществлять попыток получить несанкционированный доступ к другим компьютерным системам или сетям, к которым подключен Сайт;</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вмешиваться и предпринимать действия, которые приведут к вмешательству или нарушению работы Сайта, серверов, на которых они размещены;</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использовать любые технологии фрейминга, используя материалы Сайта;</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использовать любые мета</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теги, рекламную модель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плати за клик</w:t>
      </w:r>
      <w:r>
        <w:rPr>
          <w:rFonts w:ascii="Calibri" w:hAnsi="Calibri" w:cs="Calibri" w:eastAsia="Calibri"/>
          <w:color w:val="auto"/>
          <w:spacing w:val="0"/>
          <w:position w:val="0"/>
          <w:sz w:val="22"/>
          <w:shd w:fill="auto" w:val="clear"/>
        </w:rPr>
        <w:t xml:space="preserve">» (pay</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per</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click), </w:t>
      </w:r>
      <w:r>
        <w:rPr>
          <w:rFonts w:ascii="Calibri" w:hAnsi="Calibri" w:cs="Calibri" w:eastAsia="Calibri"/>
          <w:color w:val="auto"/>
          <w:spacing w:val="0"/>
          <w:position w:val="0"/>
          <w:sz w:val="22"/>
          <w:shd w:fill="auto" w:val="clear"/>
        </w:rPr>
        <w:t xml:space="preserve">любой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скрытый текст</w:t>
      </w:r>
      <w:r>
        <w:rPr>
          <w:rFonts w:ascii="Calibri" w:hAnsi="Calibri" w:cs="Calibri" w:eastAsia="Calibri"/>
          <w:color w:val="auto"/>
          <w:spacing w:val="0"/>
          <w:position w:val="0"/>
          <w:sz w:val="22"/>
          <w:shd w:fill="auto" w:val="clear"/>
        </w:rPr>
        <w:t xml:space="preserve">», deeplink</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ссылки, ссылаясь на Сайт;</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обходить любое шифрование или другие средства безопасности;</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использовать технологии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дата майнинг</w:t>
      </w:r>
      <w:r>
        <w:rPr>
          <w:rFonts w:ascii="Calibri" w:hAnsi="Calibri" w:cs="Calibri" w:eastAsia="Calibri"/>
          <w:color w:val="auto"/>
          <w:spacing w:val="0"/>
          <w:position w:val="0"/>
          <w:sz w:val="22"/>
          <w:shd w:fill="auto" w:val="clear"/>
        </w:rPr>
        <w:t xml:space="preserve">» (data mining), «</w:t>
      </w:r>
      <w:r>
        <w:rPr>
          <w:rFonts w:ascii="Calibri" w:hAnsi="Calibri" w:cs="Calibri" w:eastAsia="Calibri"/>
          <w:color w:val="auto"/>
          <w:spacing w:val="0"/>
          <w:position w:val="0"/>
          <w:sz w:val="22"/>
          <w:shd w:fill="auto" w:val="clear"/>
        </w:rPr>
        <w:t xml:space="preserve">скрапинг</w:t>
      </w:r>
      <w:r>
        <w:rPr>
          <w:rFonts w:ascii="Calibri" w:hAnsi="Calibri" w:cs="Calibri" w:eastAsia="Calibri"/>
          <w:color w:val="auto"/>
          <w:spacing w:val="0"/>
          <w:position w:val="0"/>
          <w:sz w:val="22"/>
          <w:shd w:fill="auto" w:val="clear"/>
        </w:rPr>
        <w:t xml:space="preserve">» (scraping) </w:t>
      </w:r>
      <w:r>
        <w:rPr>
          <w:rFonts w:ascii="Calibri" w:hAnsi="Calibri" w:cs="Calibri" w:eastAsia="Calibri"/>
          <w:color w:val="auto"/>
          <w:spacing w:val="0"/>
          <w:position w:val="0"/>
          <w:sz w:val="22"/>
          <w:shd w:fill="auto" w:val="clear"/>
        </w:rPr>
        <w:t xml:space="preserve">или аналогичные инструменты сбора и извлечения данных с Сайта;</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продавать, сдавать в аренду, передавать, распространять, использовать в качестве оказания услуг или иным образом передавать третьим лицам доступ к Сайту, который предоставлен Пользователю;</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вносить какие</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либо изменения в объектный код Сайта, и его составляющие;</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осуществлять иные действия, которые могут отрицательно повлиять на корректную работу Сайта, а также репутацию и доброе имя Компании, ее руководителей, сотрудников, клиентов, контрагентов.</w:t>
      </w:r>
    </w:p>
    <w:p>
      <w:pPr>
        <w:numPr>
          <w:ilvl w:val="0"/>
          <w:numId w:val="6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совершать относительно Сайта действия, нарушающие нормы права России или Киргизии, международные нормы, включающие нормы законодательства об авторском праве и использовании программных средств.</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обязуется не совершать действия, которые могут нанести материальный, технический ущерб или ущерб репутации Компании, ее контрагентов, а также Сайту (в том числе, публичным предоставлением неточной или заведомо ложной информации о Сайте).</w:t>
      </w:r>
    </w:p>
    <w:p>
      <w:pPr>
        <w:numPr>
          <w:ilvl w:val="0"/>
          <w:numId w:val="6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берет на себя обязательство не разглашать сообщения Компании, адресованные Пользователю в связи с использованием Сайта. За соблюдение указанного пункта Пользователь несет личную ответственность.</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Обеспечение безопасности платежей</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7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оплате банковской картой, обработка платежа (включая ввод номера карты) происходит на защищенной странице процессинговой системы, которая прошла международную сертификацию. Безопасность платежей гарантирует процессинговый центр. Это значит, что конфиденциальные данные Пользователя (реквизиты карты, регистрационные данные и др.) не поступают Компании, их обработка полностью защищена и никто, в том числе Компания, не может получить данные банковской карты Пользователя или иные данные, необходимые для осуществления платежа.</w:t>
      </w:r>
    </w:p>
    <w:p>
      <w:pPr>
        <w:numPr>
          <w:ilvl w:val="0"/>
          <w:numId w:val="7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работе с данными карт применяется стандарт защиты информации, разработанный международными платёжными системами Visa и MasterCard - Payment Card Industry Data Security Standard (PCI DSS), что обеспечивает безопасную обработку реквизитов банковской карты Пользователя. Применяемая технология передачи данных гарантирует безопасность по сделкам с банковскими картами путем использования протоколов TLS (Transport Layer Security), Verified by Visa, Secure Code, MIR Accept и закрытых банковских сетей, имеющих высшую степень защиты.</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7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Порядок возврата оплаты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7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Баланс Пользователя положительный, Пользователь вправе потребовать возврата произведенной оплаты без объяснения причин. При этом Пользователь должен помнить, что комиссия платежных сервисов, а также Комиссия Компании, в таком случае ему возвращена не будет.</w:t>
      </w:r>
    </w:p>
    <w:p>
      <w:pPr>
        <w:numPr>
          <w:ilvl w:val="0"/>
          <w:numId w:val="7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Возврат Пользователю денежных средств по Операции возврата осуществляется Компанией в следующем порядке:</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7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направляет на электронную почту Компании заявление об Операции возврата;</w:t>
      </w:r>
    </w:p>
    <w:p>
      <w:pPr>
        <w:numPr>
          <w:ilvl w:val="0"/>
          <w:numId w:val="7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рассматривает заявление в срок до 5 (пяти) рабочих дней;</w:t>
      </w:r>
    </w:p>
    <w:p>
      <w:pPr>
        <w:numPr>
          <w:ilvl w:val="0"/>
          <w:numId w:val="7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Далее возможны два варианта результата рассмотрения заявки на возврат Пользователя: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7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услуга не была оказана, Компания производит возврат средств Пользователю;</w:t>
      </w:r>
    </w:p>
    <w:p>
      <w:pPr>
        <w:numPr>
          <w:ilvl w:val="0"/>
          <w:numId w:val="7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услуга была оказана ненадлежащим образом, Компания предлагает варианты исправления услуги.</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определяет сумму возврата исходя из операций списания денежных средств с Баланса Пользователя в Личном кабинете;</w:t>
      </w:r>
    </w:p>
    <w:p>
      <w:pPr>
        <w:numPr>
          <w:ilvl w:val="0"/>
          <w:numId w:val="8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производит Операцию возврата исключительно по платежным реквизитам Пользователя, которые он вводил при совершении оплаты.</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Предоставление услуг</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соответствии с Договором, Пользователь получает возможность получить услуги Компании. Услуга заказывается и оплачивается с использованием Сайта, и Пользователь уплачивает Компании Комиссию.</w:t>
      </w:r>
    </w:p>
    <w:p>
      <w:pPr>
        <w:numPr>
          <w:ilvl w:val="0"/>
          <w:numId w:val="8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Детали платежа при оказании услуг (общая сумма оплаты; на сколько будет увеличен баланс Сервиса; размер комиссий платежных партнеров; размер Комиссии Компании) будут размещены на Сайте в момент заказа услуги.</w:t>
      </w:r>
    </w:p>
    <w:p>
      <w:pPr>
        <w:numPr>
          <w:ilvl w:val="0"/>
          <w:numId w:val="8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может принять решение о предоставлении персональной скидки Пользователю или полностью освободить Пользователя от обязанности по внесению оплаты за обслуживание Личного кабинета.</w:t>
      </w:r>
    </w:p>
    <w:p>
      <w:pPr>
        <w:numPr>
          <w:ilvl w:val="0"/>
          <w:numId w:val="8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оказании услуги по покупке товаров, Компания выступает в качестве агента, а Пользователь - в качестве принципала. При этом Компания будет являться агентом Пользователя только в части принятия от Пользователя, как Принципала, и перечисления денежных средств в пользу Сервиса, в случаях, порядке и на условиях, предусмотренных настоящей Офертой.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Информационная безопасность</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несет ответственность за сохранность Авторизационных данных. Все действия, совершенные с использованием Авторизационных данных Пользователя, считаются совершенными самим Пользователем. В случае несанкционированного доступа к Личному кабинету или распространения Авторизационных данных, Пользователь обязан незамедлительно сообщить об этом Компании в письменном виде.</w:t>
      </w:r>
    </w:p>
    <w:p>
      <w:pPr>
        <w:numPr>
          <w:ilvl w:val="0"/>
          <w:numId w:val="8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согласен с тем, что при поступлении запроса от государственных органов, Компания вправе раскрыть данные об использовании Сайта Пользователем.</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9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Применимое право и разрешение споров</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9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Настоящая Оферта и Договор регулируется и толкуется в соответствии с законодательством России и Киргизии, независимо от коллизии правовых норм, которые могут потребовать применение законодательства другой юрисдикции. </w:t>
      </w:r>
    </w:p>
    <w:p>
      <w:pPr>
        <w:numPr>
          <w:ilvl w:val="0"/>
          <w:numId w:val="9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Претензионный порядок разрешения споров по Договору обязателен для сторон. Срок рассмотрения письменной претензии составляет 60 (Шестьдесят) календарных дней с даты получения претензии, только по истечении данного срока у направившей претензию стороны должно возникать право на привлечение судов к рассмотрению спора. Надлежащим порядком направления претензии признается направление надлежаще оформленной и подписанной уполномоченным лицом претензии в письменной форме заказным письмом по адресу стороны, указанной в Оферте (для Компании), либо на предоставленную при Регистрации электронную почту (для Пользователя).</w:t>
      </w:r>
    </w:p>
    <w:p>
      <w:pPr>
        <w:numPr>
          <w:ilvl w:val="0"/>
          <w:numId w:val="9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Любой спор, возникающий в связи с Офертой или Договором, включая любой вопрос, касающийся его существования, действительности или расторжения, если не будет взаимно урегулирован дружественным путем в течение 60 (Шестидесяти) дней, может быть передан на рассмотрение и окончательно разрешен Высоким судом Лондона, в соответствии с правом России и Киргизии, язык разбирательства - русский.</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9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Ответственность сторон</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обязуется возместить Компании убытки, причиненные выплатами, взысканными с Компании третьими лицами, в том числе административные штрафы со стороны контрольных и надзорных органов, полученными Компанией из-за нарушений Пользователем положений Договора и законодательства.</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максимальной степени, разрешенной действующим законодательством, Пользователь соглашается с тем, что Компания, ее филиалы, агенты, должностные лица, директоры, сотрудники не несут ответственности за любые претензии, утрату или ущерб, включая последующие или специальные убытки, упущенную выгоды или иное, возникающие в процессе использования Сайта. </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не несет никаких обязательств и ответственности в связи с качеством доступа Пользователя к сети Интернет и качеством Интернет-соединения.</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не несёт ответственности за сбои или иные проблемы в работе телефонных сетей или служб, компьютерных систем, серверов или провайдеров, компьютерного или телефонного оборудования, программного обеспечения, а также за сбои в работе электронной почты или скриптов (программ).</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признает, что при использовании Сайта отправляет информацию по каналам связи, за которые не несет ответственности Компания, и Компания не несет ответственности за сохранность информации, передаваемой по таким каналам электронной связи сети общего пользования.</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не несет ответственности за какие-либо задержки, сбои, неверную или несвоевременную доставку, удаление или потерю каких-либо пользовательских данных или иной информации, передаваемой Пользователем в адрес Компании, в том числе, с использованием доступного функционала Сайта. Совершая указанные действия, Пользователь гарантирует, что имеет резервные копии всей отправляемой информации. </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не несет перед Пользователем никакой ответственности за убытки, вынужденные перерывы в деловой активности, потерю пользовательских и иных данных, за расходы (реальные, косвенные, опосредованные), случайные убытки, упущенную выгоду, недополученные доходы, вызванные использованием и/или связанные с использованием Сайта.</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не несет перед Пользователем никакой ответственности за убытки, вызванные возможными ошибками и опечатками на Сайте. Вместе с тем Компания обязуется принимать разумные меры для недопущения и исправления таких ошибок и опечаток.</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Совокупный размер ответственности Компании при использовании Пользователем Сайта, включая размер штрафных санкций (пеней, неустоек) и/или возмещаемых убытков, по любому иску или претензии ввиду исполнения Договора, ограничивается суммой фактически полученного Компанией Комиссии от Пользователя.</w:t>
      </w:r>
    </w:p>
    <w:p>
      <w:pPr>
        <w:numPr>
          <w:ilvl w:val="0"/>
          <w:numId w:val="9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Компания не несет ответственности за недобросовестные действия третьих лиц в отношении Сайта, включая, но не ограничиваясь, недобросовестными действиями по получению доступа к серверам Сайта, внедрению вирусов, иных вредоносных программ, и совершению прочих недобросовестных действий в отношении Компании и третьих лиц. При этом Компания обязуется ответственно подходить к алгоритмам защиты и предпринимать разумные меры для недопущения подобных ситуаций.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9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Интеллектуальная собственность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0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Исключительные права на Сайт, любое его содержимое, принадлежат Компании, либо ее контрагентам, все права на эти объекты защищены.</w:t>
      </w:r>
    </w:p>
    <w:p>
      <w:pPr>
        <w:numPr>
          <w:ilvl w:val="0"/>
          <w:numId w:val="10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Пользователь не вправе совершать любых действий с Сайтом и его содержимым, кроме как для заказа услуг и получения результата услуг.</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0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Контакты и обмен юридически значимой корреспонденцией</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0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Контакты сторон. В ходе исполнения обязательств между нами может быть (а в некоторых случаях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обязан быть) обмен важной юридической информацией. Такой обмен происходит по официальным контактам сторон (Контактные данные), как в письменной, так и в электронной форме (равнозначно). При этом заключение отдельного соглашения об использовании электронного документооборота не требуется. Наши Контактные данные указываются в Официальном уведомлении в конце этого документа, а ваши Контактные данные указываются вами в Личном кабинете. Пожалуйста, помните, что вы несете все риски, связанные с тем, что ваши Контактные данные утратили актуальность. Следите за тем, чтобы у нас были только актуальные ваши Контактные данные.</w:t>
      </w:r>
    </w:p>
    <w:p>
      <w:pPr>
        <w:numPr>
          <w:ilvl w:val="0"/>
          <w:numId w:val="10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Обмен корреспонденцией. Обмен корреспонденцией возможен только с использованием Контактных данных сторон.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0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Заключительные положения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0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том случае, если отдельные положения Оферты не могут быть применены в указанном объеме ввиду законодательных ограничений, они подлежат замене положениями, максимально приближенными по своему смыслу к первоначальным, и подлежат применению в измененном виде (в том числе, к уже сложившимся правоотношениям).</w:t>
      </w:r>
    </w:p>
    <w:p>
      <w:pPr>
        <w:numPr>
          <w:ilvl w:val="0"/>
          <w:numId w:val="10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Признание недействительным полностью либо частично одного или нескольких положений Оферты не влечет недействительность других положений Оферты , либо Оферты или Договора в целом.</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default" w:hAnsi="default" w:cs="default" w:eastAsia="default"/>
          <w:color w:val="auto"/>
          <w:spacing w:val="0"/>
          <w:position w:val="0"/>
          <w:sz w:val="22"/>
          <w:shd w:fill="auto" w:val="clear"/>
        </w:rPr>
      </w:pPr>
      <w:r>
        <w:rPr>
          <w:rFonts w:ascii="Calibri" w:hAnsi="Calibri" w:cs="Calibri" w:eastAsia="Calibri"/>
          <w:color w:val="auto"/>
          <w:spacing w:val="0"/>
          <w:position w:val="0"/>
          <w:sz w:val="22"/>
          <w:shd w:fill="auto" w:val="clear"/>
        </w:rPr>
        <w:t xml:space="preserve">ОсОО </w:t>
      </w:r>
      <w:r>
        <w:rPr>
          <w:rFonts w:ascii="default" w:hAnsi="default" w:cs="default" w:eastAsia="default"/>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Глобал Бридж</w:t>
      </w:r>
      <w:r>
        <w:rPr>
          <w:rFonts w:ascii="default" w:hAnsi="default" w:cs="default" w:eastAsia="default"/>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Адрес компании: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Кыргызская Республика, г. Бишкек, Октябрьский район, улица Юнусалиева 185/1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Номер ОГРН: 309678-3301-ООО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ИНН: 9909704508</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num w:numId="2">
    <w:abstractNumId w:val="318"/>
  </w:num>
  <w:num w:numId="4">
    <w:abstractNumId w:val="312"/>
  </w:num>
  <w:num w:numId="6">
    <w:abstractNumId w:val="306"/>
  </w:num>
  <w:num w:numId="8">
    <w:abstractNumId w:val="300"/>
  </w:num>
  <w:num w:numId="10">
    <w:abstractNumId w:val="294"/>
  </w:num>
  <w:num w:numId="12">
    <w:abstractNumId w:val="288"/>
  </w:num>
  <w:num w:numId="14">
    <w:abstractNumId w:val="282"/>
  </w:num>
  <w:num w:numId="16">
    <w:abstractNumId w:val="276"/>
  </w:num>
  <w:num w:numId="18">
    <w:abstractNumId w:val="270"/>
  </w:num>
  <w:num w:numId="20">
    <w:abstractNumId w:val="264"/>
  </w:num>
  <w:num w:numId="22">
    <w:abstractNumId w:val="258"/>
  </w:num>
  <w:num w:numId="24">
    <w:abstractNumId w:val="252"/>
  </w:num>
  <w:num w:numId="26">
    <w:abstractNumId w:val="246"/>
  </w:num>
  <w:num w:numId="28">
    <w:abstractNumId w:val="240"/>
  </w:num>
  <w:num w:numId="30">
    <w:abstractNumId w:val="234"/>
  </w:num>
  <w:num w:numId="32">
    <w:abstractNumId w:val="228"/>
  </w:num>
  <w:num w:numId="34">
    <w:abstractNumId w:val="222"/>
  </w:num>
  <w:num w:numId="36">
    <w:abstractNumId w:val="216"/>
  </w:num>
  <w:num w:numId="38">
    <w:abstractNumId w:val="210"/>
  </w:num>
  <w:num w:numId="40">
    <w:abstractNumId w:val="204"/>
  </w:num>
  <w:num w:numId="42">
    <w:abstractNumId w:val="198"/>
  </w:num>
  <w:num w:numId="44">
    <w:abstractNumId w:val="192"/>
  </w:num>
  <w:num w:numId="46">
    <w:abstractNumId w:val="186"/>
  </w:num>
  <w:num w:numId="48">
    <w:abstractNumId w:val="180"/>
  </w:num>
  <w:num w:numId="50">
    <w:abstractNumId w:val="174"/>
  </w:num>
  <w:num w:numId="52">
    <w:abstractNumId w:val="168"/>
  </w:num>
  <w:num w:numId="54">
    <w:abstractNumId w:val="162"/>
  </w:num>
  <w:num w:numId="56">
    <w:abstractNumId w:val="156"/>
  </w:num>
  <w:num w:numId="58">
    <w:abstractNumId w:val="150"/>
  </w:num>
  <w:num w:numId="60">
    <w:abstractNumId w:val="144"/>
  </w:num>
  <w:num w:numId="62">
    <w:abstractNumId w:val="138"/>
  </w:num>
  <w:num w:numId="64">
    <w:abstractNumId w:val="132"/>
  </w:num>
  <w:num w:numId="66">
    <w:abstractNumId w:val="126"/>
  </w:num>
  <w:num w:numId="68">
    <w:abstractNumId w:val="120"/>
  </w:num>
  <w:num w:numId="70">
    <w:abstractNumId w:val="114"/>
  </w:num>
  <w:num w:numId="72">
    <w:abstractNumId w:val="108"/>
  </w:num>
  <w:num w:numId="74">
    <w:abstractNumId w:val="102"/>
  </w:num>
  <w:num w:numId="76">
    <w:abstractNumId w:val="96"/>
  </w:num>
  <w:num w:numId="78">
    <w:abstractNumId w:val="90"/>
  </w:num>
  <w:num w:numId="80">
    <w:abstractNumId w:val="84"/>
  </w:num>
  <w:num w:numId="82">
    <w:abstractNumId w:val="78"/>
  </w:num>
  <w:num w:numId="84">
    <w:abstractNumId w:val="72"/>
  </w:num>
  <w:num w:numId="86">
    <w:abstractNumId w:val="66"/>
  </w:num>
  <w:num w:numId="88">
    <w:abstractNumId w:val="60"/>
  </w:num>
  <w:num w:numId="90">
    <w:abstractNumId w:val="54"/>
  </w:num>
  <w:num w:numId="92">
    <w:abstractNumId w:val="48"/>
  </w:num>
  <w:num w:numId="94">
    <w:abstractNumId w:val="42"/>
  </w:num>
  <w:num w:numId="96">
    <w:abstractNumId w:val="36"/>
  </w:num>
  <w:num w:numId="98">
    <w:abstractNumId w:val="30"/>
  </w:num>
  <w:num w:numId="100">
    <w:abstractNumId w:val="24"/>
  </w:num>
  <w:num w:numId="102">
    <w:abstractNumId w:val="18"/>
  </w:num>
  <w:num w:numId="104">
    <w:abstractNumId w:val="12"/>
  </w:num>
  <w:num w:numId="106">
    <w:abstractNumId w:val="6"/>
  </w:num>
  <w:num w:numId="10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vibeneura.pro/" Id="docRId0" Type="http://schemas.openxmlformats.org/officeDocument/2006/relationships/hyperlink" /><Relationship TargetMode="External" Target="https://vibeneura.pro/"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