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Malgun Gothic" w:cs="Malgun Gothic" w:eastAsia="Malgun Gothic" w:hAnsi="Malgun Gothic"/>
          <w:b/>
          <w:bCs/>
          <w:sz w:val="32"/>
          <w:szCs w:val="32"/>
        </w:rPr>
        <w:t xml:space="preserve">모델 3 검증 결과: Feature Autoencoder</w:t>
      </w:r>
    </w:p>
    <w:p>
      <w:pPr>
        <w:pStyle w:val="Heading2"/>
        <w:spacing w:after="140" w:before="320"/>
      </w:pPr>
      <w:r>
        <w:rPr>
          <w:rFonts w:ascii="Malgun Gothic" w:cs="Malgun Gothic" w:eastAsia="Malgun Gothic" w:hAnsi="Malgun Gothic"/>
          <w:b/>
          <w:bCs/>
          <w:sz w:val="26"/>
          <w:szCs w:val="26"/>
        </w:rPr>
        <w:t xml:space="preserve">핵심 요약</w:t>
      </w:r>
    </w:p>
    <w:p>
      <w:pPr>
        <w:shd w:fill="EAF1E4" w:color="auto" w:val="clear"/>
        <w:spacing w:after="80" w:line="320"/>
        <w:ind w:left="200" w:right="200"/>
      </w:pPr>
      <w:r>
        <w:rPr>
          <w:rFonts w:ascii="Malgun Gothic" w:cs="Malgun Gothic" w:eastAsia="Malgun Gothic" w:hAnsi="Malgun Gothic"/>
          <w:b/>
          <w:bCs/>
          <w:sz w:val="21"/>
          <w:szCs w:val="21"/>
        </w:rPr>
        <w:t xml:space="preserve">판정 성능</w:t>
      </w:r>
      <w:r>
        <w:rPr>
          <w:rFonts w:ascii="Malgun Gothic" w:cs="Malgun Gothic" w:eastAsia="Malgun Gothic" w:hAnsi="Malgun Gothic"/>
          <w:sz w:val="21"/>
          <w:szCs w:val="21"/>
        </w:rPr>
        <w:t xml:space="preserve">: 테스트 분할에서 F1-score는 F1 묶음 0.862, F2 묶음 0.885였다.</w:t>
      </w:r>
    </w:p>
    <w:p>
      <w:pPr>
        <w:shd w:fill="EAF1E4" w:color="auto" w:val="clear"/>
        <w:spacing w:after="80" w:line="320"/>
        <w:ind w:left="200" w:right="200"/>
      </w:pPr>
      <w:r>
        <w:rPr>
          <w:rFonts w:ascii="Malgun Gothic" w:cs="Malgun Gothic" w:eastAsia="Malgun Gothic" w:hAnsi="Malgun Gothic"/>
          <w:b/>
          <w:bCs/>
          <w:sz w:val="21"/>
          <w:szCs w:val="21"/>
        </w:rPr>
        <w:t xml:space="preserve">미탐지</w:t>
      </w:r>
      <w:r>
        <w:rPr>
          <w:rFonts w:ascii="Malgun Gothic" w:cs="Malgun Gothic" w:eastAsia="Malgun Gothic" w:hAnsi="Malgun Gothic"/>
          <w:sz w:val="21"/>
          <w:szCs w:val="21"/>
        </w:rPr>
        <w:t xml:space="preserve">: F1 묶음은 이상 28개를 모두 탐지하였고, F2 묶음은 27개를 탐지하였다(미탐지 1개).</w:t>
      </w:r>
    </w:p>
    <w:p>
      <w:pPr>
        <w:shd w:fill="EAF1E4" w:color="auto" w:val="clear"/>
        <w:spacing w:after="80" w:line="320"/>
        <w:ind w:left="200" w:right="200"/>
      </w:pPr>
      <w:r>
        <w:rPr>
          <w:rFonts w:ascii="Malgun Gothic" w:cs="Malgun Gothic" w:eastAsia="Malgun Gothic" w:hAnsi="Malgun Gothic"/>
          <w:b/>
          <w:bCs/>
          <w:sz w:val="21"/>
          <w:szCs w:val="21"/>
        </w:rPr>
        <w:t xml:space="preserve">오경보</w:t>
      </w:r>
      <w:r>
        <w:rPr>
          <w:rFonts w:ascii="Malgun Gothic" w:cs="Malgun Gothic" w:eastAsia="Malgun Gothic" w:hAnsi="Malgun Gothic"/>
          <w:sz w:val="21"/>
          <w:szCs w:val="21"/>
        </w:rPr>
        <w:t xml:space="preserve">: 정상 상태 B(22개)에서는 두 묶음 모두 오경보가 없었으며, 정상 상태 A(122개)에서 F1 묶음 9개(7.4%), F2 묶음 6개(4.9%)의 오경보가 발생하였다.</w:t>
      </w:r>
    </w:p>
    <w:p>
      <w:pPr>
        <w:shd w:fill="EAF1E4" w:color="auto" w:val="clear"/>
        <w:spacing w:after="80" w:line="320"/>
        <w:ind w:left="200" w:right="200"/>
      </w:pPr>
      <w:r>
        <w:rPr>
          <w:rFonts w:ascii="Malgun Gothic" w:cs="Malgun Gothic" w:eastAsia="Malgun Gothic" w:hAnsi="Malgun Gothic"/>
          <w:b/>
          <w:bCs/>
          <w:sz w:val="21"/>
          <w:szCs w:val="21"/>
        </w:rPr>
        <w:t xml:space="preserve">기준선 방식</w:t>
      </w:r>
      <w:r>
        <w:rPr>
          <w:rFonts w:ascii="Malgun Gothic" w:cs="Malgun Gothic" w:eastAsia="Malgun Gothic" w:hAnsi="Malgun Gothic"/>
          <w:sz w:val="21"/>
          <w:szCs w:val="21"/>
        </w:rPr>
        <w:t xml:space="preserve">: 정상 데이터만으로 오차의 상위 5% 지점을 기준선으로 정하여, 이상 정답은 기준선 결정에 사용하지 않았다. 따라서 정상의 약 5% 수준의 오경보는 설계상 예상된 결과이다.</w:t>
      </w:r>
    </w:p>
    <w:p>
      <w:pPr>
        <w:shd w:fill="EAF1E4" w:color="auto" w:val="clear"/>
        <w:spacing w:after="80" w:line="320"/>
        <w:ind w:left="200" w:right="200"/>
      </w:pPr>
      <w:r>
        <w:rPr>
          <w:rFonts w:ascii="Malgun Gothic" w:cs="Malgun Gothic" w:eastAsia="Malgun Gothic" w:hAnsi="Malgun Gothic"/>
          <w:b/>
          <w:bCs/>
          <w:sz w:val="21"/>
          <w:szCs w:val="21"/>
        </w:rPr>
        <w:t xml:space="preserve">학습</w:t>
      </w:r>
      <w:r>
        <w:rPr>
          <w:rFonts w:ascii="Malgun Gothic" w:cs="Malgun Gothic" w:eastAsia="Malgun Gothic" w:hAnsi="Malgun Gothic"/>
          <w:sz w:val="21"/>
          <w:szCs w:val="21"/>
        </w:rPr>
        <w:t xml:space="preserve">: 두 묶음 모두 최적 시점이 최대 학습 횟수(1,000회)와 같아, 학습이 완전히 수렴하지 않았을 가능성이 있다.</w:t>
      </w:r>
    </w:p>
    <w:p>
      <w:pPr>
        <w:spacing w:after="140" w:line="330"/>
        <w:jc w:val="both"/>
      </w:pPr>
      <w:r>
        <w:rPr>
          <w:rFonts w:ascii="Malgun Gothic" w:cs="Malgun Gothic" w:eastAsia="Malgun Gothic" w:hAnsi="Malgun Gothic"/>
          <w:sz w:val="21"/>
          <w:szCs w:val="21"/>
        </w:rPr>
        <w:t xml:space="preserve">※ 특징 선택 단계에서 전체 이상 데이터가 사용되었으므로, 본 결과는 독립된 테스트가 아닌 탐색적 평가로 해석한다.</w:t>
      </w:r>
    </w:p>
    <w:p>
      <w:pPr>
        <w:pStyle w:val="Heading2"/>
        <w:spacing w:after="140" w:before="320"/>
      </w:pPr>
      <w:r>
        <w:rPr>
          <w:rFonts w:ascii="Malgun Gothic" w:cs="Malgun Gothic" w:eastAsia="Malgun Gothic" w:hAnsi="Malgun Gothic"/>
          <w:b/>
          <w:bCs/>
          <w:sz w:val="26"/>
          <w:szCs w:val="26"/>
        </w:rPr>
        <w:t xml:space="preserve">1. 모델과 데이터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64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내용</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모델</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Feature Autoencoder (완전연결 신경망, 은닉 활성화 tanh, 출력 선형)</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구조</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F1: 8 → 6 → 3 → 6 → 8 / F2: 6 → 4 → 2 → 4 → 6</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 (F1, 8개)</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AI2_period8, AI2_kurt, AI0_rms, AI1_rms, AI2_rms, AI1_skew, ratio_AI0_AI2, ratio_AI1_AI2</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 (F2, 6개)</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F1에서 전류 파형 특징(AI2_period8, AI2_kurt)을 제외</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표준화</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특징별 평균·표준편차를 학습 정상 데이터로만 계산하여 모든 분할에 적용</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 설정</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Adam(학습률 0.001), 묶음 크기 32, L2 0.0001, 난수 시드 42, 최대 1,000회, 조기 종료 인내 80회</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점수</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표준화한 특징값과 복원값의 차이를 제곱하여 특징 차원으로 평균</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w:t>
            </w:r>
          </w:p>
        </w:tc>
        <w:tc>
          <w:tcPr>
            <w:tcW w:type="dxa" w:w="64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보정용 정상 108개의 점수를 정렬하여 104번째 값(목표 꼬리 비율 5%)을 기준선으로 설정, 점수가 기준선을 넘으면 이상</w:t>
            </w:r>
          </w:p>
        </w:tc>
      </w:tr>
    </w:tbl>
    <w:p>
      <w:pPr>
        <w:spacing w:after="220" w:before="80"/>
        <w:jc w:val="center"/>
      </w:pPr>
      <w:r>
        <w:rPr>
          <w:rFonts w:ascii="Malgun Gothic" w:cs="Malgun Gothic" w:eastAsia="Malgun Gothic" w:hAnsi="Malgun Gothic"/>
          <w:color w:val="555555"/>
          <w:sz w:val="18"/>
          <w:szCs w:val="18"/>
        </w:rPr>
        <w:t xml:space="preserve">표 1. 모델 설정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2126"/>
      </w:tblGrid>
      <w:tr>
        <w:trPr>
          <w:cantSplit/>
          <w:tblHeader/>
        </w:trPr>
        <w:tc>
          <w:tcPr>
            <w:tcW w:type="dxa" w:w="18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분할</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정상 A</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정상 B</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이상</w:t>
            </w:r>
          </w:p>
        </w:tc>
        <w:tc>
          <w:tcPr>
            <w:tcW w:type="dxa" w:w="21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용도</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532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93</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모델 학습, 표준화 기준</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142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최적 학습 시점 선택</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보정</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91</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0</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 설정</w:t>
            </w:r>
          </w:p>
        </w:tc>
      </w:tr>
      <w:tr>
        <w:trPr>
          <w:cantSplit/>
          <w:tblHeader w:val="false"/>
        </w:trPr>
        <w:tc>
          <w:tcPr>
            <w:tcW w:type="dxa" w:w="18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테스트</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122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28</w:t>
            </w:r>
          </w:p>
        </w:tc>
        <w:tc>
          <w:tcPr>
            <w:tcW w:type="dxa" w:w="21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성능 평가</w:t>
            </w:r>
          </w:p>
        </w:tc>
      </w:tr>
    </w:tbl>
    <w:p>
      <w:pPr>
        <w:spacing w:after="220" w:before="80"/>
        <w:jc w:val="center"/>
      </w:pPr>
      <w:r>
        <w:rPr>
          <w:rFonts w:ascii="Malgun Gothic" w:cs="Malgun Gothic" w:eastAsia="Malgun Gothic" w:hAnsi="Malgun Gothic"/>
          <w:color w:val="555555"/>
          <w:sz w:val="18"/>
          <w:szCs w:val="18"/>
        </w:rPr>
        <w:t xml:space="preserve">표 2. 데이터 분할 (구간 ID 단위, 이상은 테스트에만 배치)</w:t>
      </w:r>
    </w:p>
    <w:p>
      <w:pPr>
        <w:pStyle w:val="Heading2"/>
        <w:spacing w:after="140" w:before="320"/>
      </w:pPr>
      <w:r>
        <w:rPr>
          <w:rFonts w:ascii="Malgun Gothic" w:cs="Malgun Gothic" w:eastAsia="Malgun Gothic" w:hAnsi="Malgun Gothic"/>
          <w:b/>
          <w:bCs/>
          <w:sz w:val="26"/>
          <w:szCs w:val="26"/>
        </w:rPr>
        <w:t xml:space="preserve">2. 학습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F1 묶음</w:t>
            </w:r>
          </w:p>
        </w:tc>
        <w:tc>
          <w:tcPr>
            <w:tcW w:type="dxa" w:w="3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F2 묶음</w:t>
            </w:r>
          </w:p>
        </w:tc>
      </w:tr>
      <w:tr>
        <w:trPr>
          <w:cantSplit/>
          <w:tblHeader w:val="false"/>
        </w:trPr>
        <w:tc>
          <w:tcPr>
            <w:tcW w:type="dxa" w:w="30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최적 학습 시점</w:t>
            </w:r>
          </w:p>
        </w:tc>
        <w:tc>
          <w:tcPr>
            <w:tcW w:type="dxa" w:w="30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1,000회</w:t>
            </w:r>
          </w:p>
        </w:tc>
        <w:tc>
          <w:tcPr>
            <w:tcW w:type="dxa" w:w="3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1,000회</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실행한 학습 횟수</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1,000회</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1,000회</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정상 오차 (최소)</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0.0676</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0.0936</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 (복원 오차)</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0.2426</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0.4255</w:t>
            </w:r>
          </w:p>
        </w:tc>
      </w:tr>
      <w:tr>
        <w:trPr>
          <w:cantSplit/>
          <w:tblHeader w:val="false"/>
        </w:trPr>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보정 데이터의 실제 오경보율</w:t>
            </w:r>
          </w:p>
        </w:tc>
        <w:tc>
          <w:tcPr>
            <w:tcW w:type="dxa" w:w="30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3.7% (4/108)</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3.7% (4/108)</w:t>
            </w:r>
          </w:p>
        </w:tc>
      </w:tr>
    </w:tbl>
    <w:p>
      <w:pPr>
        <w:spacing w:after="220" w:before="80"/>
        <w:jc w:val="center"/>
      </w:pPr>
      <w:r>
        <w:rPr>
          <w:rFonts w:ascii="Malgun Gothic" w:cs="Malgun Gothic" w:eastAsia="Malgun Gothic" w:hAnsi="Malgun Gothic"/>
          <w:color w:val="555555"/>
          <w:sz w:val="18"/>
          <w:szCs w:val="18"/>
        </w:rPr>
        <w:t xml:space="preserve">표 3. 학습 결과</w:t>
      </w:r>
    </w:p>
    <w:p>
      <w:pPr>
        <w:spacing w:after="140" w:line="330"/>
        <w:jc w:val="both"/>
      </w:pPr>
      <w:r>
        <w:rPr>
          <w:rFonts w:ascii="Malgun Gothic" w:cs="Malgun Gothic" w:eastAsia="Malgun Gothic" w:hAnsi="Malgun Gothic"/>
          <w:sz w:val="21"/>
          <w:szCs w:val="21"/>
        </w:rPr>
        <w:t xml:space="preserve">두 묶음 모두 최적 시점이 최대 학습 횟수와 같아, 조기 종료가 작동하지 않은 채 학습이 끝났다. 검증 정상 오차가 마지막까지 감소하고 있었을 가능성이 있으므로, 최대 학습 횟수를 늘리면 성능이 달라질 수 있다.</w:t>
      </w:r>
    </w:p>
    <w:p>
      <w:pPr>
        <w:pStyle w:val="Heading2"/>
        <w:spacing w:after="140" w:before="320"/>
      </w:pPr>
      <w:r>
        <w:rPr>
          <w:rFonts w:ascii="Malgun Gothic" w:cs="Malgun Gothic" w:eastAsia="Malgun Gothic" w:hAnsi="Malgun Gothic"/>
          <w:b/>
          <w:bCs/>
          <w:sz w:val="26"/>
          <w:szCs w:val="26"/>
        </w:rPr>
        <w:t xml:space="preserve">3. 평가 지표 결과</w:t>
      </w:r>
    </w:p>
    <w:p>
      <w:pPr>
        <w:spacing w:after="140" w:line="330"/>
        <w:jc w:val="both"/>
      </w:pPr>
      <w:r>
        <w:rPr>
          <w:rFonts w:ascii="Malgun Gothic" w:cs="Malgun Gothic" w:eastAsia="Malgun Gothic" w:hAnsi="Malgun Gothic"/>
          <w:sz w:val="21"/>
          <w:szCs w:val="21"/>
        </w:rPr>
        <w:t xml:space="preserve">노란색으로 표시한 행은 오경보와 미탐지를 나타내는 주요 지표이다.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3026"/>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지표</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F1 묶음 (8개)</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F2 묶음 (6개)</w:t>
            </w:r>
          </w:p>
        </w:tc>
        <w:tc>
          <w:tcPr>
            <w:tcW w:type="dxa" w:w="30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의미와 해석</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F1-score</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0.862</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0.885</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F2가 약간 높음</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A 오경보율</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0.074 (9/122)</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0.049 (6/122)</w:t>
            </w:r>
          </w:p>
        </w:tc>
        <w:tc>
          <w:tcPr>
            <w:tcW w:type="dxa" w:w="3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평상 운전의 헛경보. F2가 3개 적음</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B 오경보율</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0.000 (0/22)</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0.000 (0/22)</w:t>
            </w:r>
          </w:p>
        </w:tc>
        <w:tc>
          <w:tcPr>
            <w:tcW w:type="dxa" w:w="3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정상 운전 변화를 이상으로 착각하지 않음</w:t>
            </w:r>
          </w:p>
        </w:tc>
      </w:tr>
      <w:tr>
        <w:trPr>
          <w:cantSplit/>
          <w:tblHeader w:val="false"/>
        </w:trPr>
        <w:tc>
          <w:tcPr>
            <w:tcW w:type="dxa" w:w="26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left"/>
            </w:pPr>
            <w:r>
              <w:rPr>
                <w:rFonts w:ascii="Malgun Gothic" w:cs="Malgun Gothic" w:eastAsia="Malgun Gothic" w:hAnsi="Malgun Gothic"/>
                <w:b/>
                <w:bCs/>
                <w:sz w:val="18"/>
                <w:szCs w:val="18"/>
              </w:rPr>
              <w:t xml:space="preserve">이상 미탐지율</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0.000 (0/28)</w:t>
            </w:r>
          </w:p>
        </w:tc>
        <w:tc>
          <w:tcPr>
            <w:tcW w:type="dxa" w:w="1700"/>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0.036 (1/28)</w:t>
            </w:r>
          </w:p>
        </w:tc>
        <w:tc>
          <w:tcPr>
            <w:tcW w:type="dxa" w:w="3026"/>
            <w:tcBorders>
              <w:top w:val="single" w:color="999999" w:sz="4"/>
              <w:left w:val="single" w:color="999999" w:sz="4"/>
              <w:bottom w:val="single" w:color="999999" w:sz="4"/>
              <w:right w:val="single" w:color="999999" w:sz="4"/>
            </w:tcBorders>
            <w:shd w:fill="FFF2CC" w:color="auto" w:val="clear"/>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F1은 모든 이상 탐지</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정밀도</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0.757</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0.818</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이상 판정 중 실제 이상의 비율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재현율</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0.964</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실제 이상 중 탐지한 비율</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ROC-AUC</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0.998</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기준선과 무관한 구분 능력</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PR-AUC (평균 정밀도)</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1.000</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0.992</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F1은 정상과 이상을 완벽히 구분 가능</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전체 오경보율</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0.0625 (9/144)</w:t>
            </w:r>
          </w:p>
        </w:tc>
        <w:tc>
          <w:tcPr>
            <w:tcW w:type="dxa" w:w="1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0.0417 (6/144)</w:t>
            </w:r>
          </w:p>
        </w:tc>
        <w:tc>
          <w:tcPr>
            <w:tcW w:type="dxa" w:w="30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목표 꼬리 비율 5% 부근</w:t>
            </w:r>
          </w:p>
        </w:tc>
      </w:tr>
    </w:tbl>
    <w:p>
      <w:pPr>
        <w:spacing w:after="220" w:before="80"/>
        <w:jc w:val="center"/>
      </w:pPr>
      <w:r>
        <w:rPr>
          <w:rFonts w:ascii="Malgun Gothic" w:cs="Malgun Gothic" w:eastAsia="Malgun Gothic" w:hAnsi="Malgun Gothic"/>
          <w:color w:val="555555"/>
          <w:sz w:val="18"/>
          <w:szCs w:val="18"/>
        </w:rPr>
        <w:t xml:space="preserve">표 4. 테스트 분할 평가 지표 (괄호 안은 개수)</w:t>
      </w:r>
    </w:p>
    <w:p>
      <w:pPr>
        <w:pStyle w:val="Heading3"/>
        <w:spacing w:after="120" w:before="220"/>
      </w:pPr>
      <w:r>
        <w:rPr>
          <w:rFonts w:ascii="Malgun Gothic" w:cs="Malgun Gothic" w:eastAsia="Malgun Gothic" w:hAnsi="Malgun Gothic"/>
          <w:b/>
          <w:bCs/>
          <w:sz w:val="23"/>
          <w:szCs w:val="23"/>
        </w:rPr>
        <w:t xml:space="preserve">3.1 판정 결과 (혼동행렬)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550"/>
        <w:gridCol w:w="1550"/>
        <w:gridCol w:w="1550"/>
        <w:gridCol w:w="1676"/>
      </w:tblGrid>
      <w:tr>
        <w:trPr>
          <w:cantSplit/>
          <w:tblHeader/>
        </w:trPr>
        <w:tc>
          <w:tcPr>
            <w:tcW w:type="dxa" w:w="27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
            </w:r>
          </w:p>
        </w:tc>
        <w:tc>
          <w:tcPr>
            <w:tcW w:type="dxa" w:w="15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F1: 판정 정상</w:t>
            </w:r>
          </w:p>
        </w:tc>
        <w:tc>
          <w:tcPr>
            <w:tcW w:type="dxa" w:w="15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F1: 판정 이상</w:t>
            </w:r>
          </w:p>
        </w:tc>
        <w:tc>
          <w:tcPr>
            <w:tcW w:type="dxa" w:w="155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F2: 판정 정상</w:t>
            </w:r>
          </w:p>
        </w:tc>
        <w:tc>
          <w:tcPr>
            <w:tcW w:type="dxa" w:w="167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F2: 판정 이상</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실제: 정상 A (122)</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113</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9</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116</w:t>
            </w:r>
          </w:p>
        </w:tc>
        <w:tc>
          <w:tcPr>
            <w:tcW w:type="dxa" w:w="16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6</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실제: 정상 B (22)</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22</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22</w:t>
            </w:r>
          </w:p>
        </w:tc>
        <w:tc>
          <w:tcPr>
            <w:tcW w:type="dxa" w:w="16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w:t>
            </w:r>
          </w:p>
        </w:tc>
      </w:tr>
      <w:tr>
        <w:trPr>
          <w:cantSplit/>
          <w:tblHeader w:val="false"/>
        </w:trPr>
        <w:tc>
          <w:tcPr>
            <w:tcW w:type="dxa" w:w="27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실제: 이상 (28)</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0</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28</w:t>
            </w:r>
          </w:p>
        </w:tc>
        <w:tc>
          <w:tcPr>
            <w:tcW w:type="dxa" w:w="155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1</w:t>
            </w:r>
          </w:p>
        </w:tc>
        <w:tc>
          <w:tcPr>
            <w:tcW w:type="dxa" w:w="167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center"/>
            </w:pPr>
            <w:r>
              <w:rPr>
                <w:rFonts w:ascii="Malgun Gothic" w:cs="Malgun Gothic" w:eastAsia="Malgun Gothic" w:hAnsi="Malgun Gothic"/>
                <w:b w:val="false"/>
                <w:bCs w:val="false"/>
                <w:sz w:val="18"/>
                <w:szCs w:val="18"/>
              </w:rPr>
              <w:t xml:space="preserve">27</w:t>
            </w:r>
          </w:p>
        </w:tc>
      </w:tr>
    </w:tbl>
    <w:p>
      <w:pPr>
        <w:spacing w:after="220" w:before="80"/>
        <w:jc w:val="center"/>
      </w:pPr>
      <w:r>
        <w:rPr>
          <w:rFonts w:ascii="Malgun Gothic" w:cs="Malgun Gothic" w:eastAsia="Malgun Gothic" w:hAnsi="Malgun Gothic"/>
          <w:color w:val="555555"/>
          <w:sz w:val="18"/>
          <w:szCs w:val="18"/>
        </w:rPr>
        <w:t xml:space="preserve">표 5. 판정 결과</w:t>
      </w:r>
    </w:p>
    <w:p>
      <w:pPr>
        <w:pStyle w:val="Heading2"/>
        <w:spacing w:after="140" w:before="320"/>
      </w:pPr>
      <w:r>
        <w:rPr>
          <w:rFonts w:ascii="Malgun Gothic" w:cs="Malgun Gothic" w:eastAsia="Malgun Gothic" w:hAnsi="Malgun Gothic"/>
          <w:b/>
          <w:bCs/>
          <w:sz w:val="26"/>
          <w:szCs w:val="26"/>
        </w:rPr>
        <w:t xml:space="preserve">4. 결과 해석</w:t>
      </w:r>
    </w:p>
    <w:p>
      <w:pPr>
        <w:spacing w:after="140" w:line="330"/>
        <w:jc w:val="both"/>
      </w:pPr>
      <w:r>
        <w:rPr>
          <w:rFonts w:ascii="Malgun Gothic" w:cs="Malgun Gothic" w:eastAsia="Malgun Gothic" w:hAnsi="Malgun Gothic"/>
          <w:b/>
          <w:bCs/>
          <w:sz w:val="21"/>
          <w:szCs w:val="21"/>
        </w:rPr>
        <w:t xml:space="preserve">정상 운전 변화(B)에 대한 오경보가 없었다.</w:t>
      </w:r>
      <w:r>
        <w:rPr>
          <w:rFonts w:ascii="Malgun Gothic" w:cs="Malgun Gothic" w:eastAsia="Malgun Gothic" w:hAnsi="Malgun Gothic"/>
          <w:sz w:val="21"/>
          <w:szCs w:val="21"/>
        </w:rPr>
        <w:t xml:space="preserve"> 두 묶음 모두 상태 B 22개를 모두 정상으로 판정하였다. 이는 Isolation Forest, LSTM-Autoencoder와 같은 결과로, 세 모델 모두 정상 운전 변화를 이상으로 착각하지 않았다.</w:t>
      </w:r>
    </w:p>
    <w:p>
      <w:pPr>
        <w:spacing w:after="140" w:line="330"/>
        <w:jc w:val="both"/>
      </w:pPr>
      <w:r>
        <w:rPr>
          <w:rFonts w:ascii="Malgun Gothic" w:cs="Malgun Gothic" w:eastAsia="Malgun Gothic" w:hAnsi="Malgun Gothic"/>
          <w:b/>
          <w:bCs/>
          <w:sz w:val="21"/>
          <w:szCs w:val="21"/>
        </w:rPr>
        <w:t xml:space="preserve">오경보는 모두 정상 상태 A에서 발생하였다.</w:t>
      </w:r>
      <w:r>
        <w:rPr>
          <w:rFonts w:ascii="Malgun Gothic" w:cs="Malgun Gothic" w:eastAsia="Malgun Gothic" w:hAnsi="Malgun Gothic"/>
          <w:sz w:val="21"/>
          <w:szCs w:val="21"/>
        </w:rPr>
        <w:t xml:space="preserve"> 기준선을 정상 오차의 상위 5% 지점으로 정하였으므로 정상의 약 5%가 오경보로 나타나는 것은 설계상 예상된 결과이며, 실제로 정상 전체 오경보율은 F1 묶음 6.25%, F2 묶음 4.17%로 목표치 부근이었다.</w:t>
      </w:r>
    </w:p>
    <w:p>
      <w:pPr>
        <w:spacing w:after="140" w:line="330"/>
        <w:jc w:val="both"/>
      </w:pPr>
      <w:r>
        <w:rPr>
          <w:rFonts w:ascii="Malgun Gothic" w:cs="Malgun Gothic" w:eastAsia="Malgun Gothic" w:hAnsi="Malgun Gothic"/>
          <w:b/>
          <w:bCs/>
          <w:sz w:val="21"/>
          <w:szCs w:val="21"/>
        </w:rPr>
        <w:t xml:space="preserve">F1 묶음은 정상과 이상을 완벽히 구분할 수 있었다.</w:t>
      </w:r>
      <w:r>
        <w:rPr>
          <w:rFonts w:ascii="Malgun Gothic" w:cs="Malgun Gothic" w:eastAsia="Malgun Gothic" w:hAnsi="Malgun Gothic"/>
          <w:sz w:val="21"/>
          <w:szCs w:val="21"/>
        </w:rPr>
        <w:t xml:space="preserve"> ROC-AUC와 PR-AUC가 모두 1.000으로, 기준선을 적절히 정하면 오경보 없이 모든 이상을 잡을 수 있는 수준이다. 현재의 오경보는 구분 능력의 한계가 아니라 기준선을 정상의 상위 5%에 둔 결과이다. 이는 전류 파형 특징(AI2_period8, AI2_kurt)의 높은 구분력과 같은 경향이다.</w:t>
      </w:r>
    </w:p>
    <w:p>
      <w:pPr>
        <w:spacing w:after="140" w:line="330"/>
        <w:jc w:val="both"/>
      </w:pPr>
      <w:r>
        <w:rPr>
          <w:rFonts w:ascii="Malgun Gothic" w:cs="Malgun Gothic" w:eastAsia="Malgun Gothic" w:hAnsi="Malgun Gothic"/>
          <w:b/>
          <w:bCs/>
          <w:sz w:val="21"/>
          <w:szCs w:val="21"/>
        </w:rPr>
        <w:t xml:space="preserve">F2 묶음은 오경보가 3개 적고 미탐지가 1개 많았다.</w:t>
      </w:r>
      <w:r>
        <w:rPr>
          <w:rFonts w:ascii="Malgun Gothic" w:cs="Malgun Gothic" w:eastAsia="Malgun Gothic" w:hAnsi="Malgun Gothic"/>
          <w:sz w:val="21"/>
          <w:szCs w:val="21"/>
        </w:rPr>
        <w:t xml:space="preserve"> F1-score는 F2가 약간 높으나, 이상 28개라는 작은 표본과 두 묶음의 은닉층 구조가 다르다는 점을 고려하면 어느 묶음이 확정적으로 우수하다고 결론 내릴 수 없다. 다만 전류 파형 특징을 제외해도 이상의 96%를 탐지하여, 모델이 이 특징에만 의존하지 않음을 보여준다.</w:t>
      </w:r>
    </w:p>
    <w:p>
      <w:pPr>
        <w:pStyle w:val="Heading2"/>
        <w:spacing w:after="140" w:before="320"/>
      </w:pPr>
      <w:r>
        <w:rPr>
          <w:rFonts w:ascii="Malgun Gothic" w:cs="Malgun Gothic" w:eastAsia="Malgun Gothic" w:hAnsi="Malgun Gothic"/>
          <w:b/>
          <w:bCs/>
          <w:sz w:val="26"/>
          <w:szCs w:val="26"/>
        </w:rPr>
        <w:t xml:space="preserve">5. 다른 모델과 비교할 때의 유의사항</w:t>
      </w:r>
    </w:p>
    <w:p>
      <w:pPr>
        <w:spacing w:after="140" w:line="330"/>
        <w:jc w:val="both"/>
      </w:pPr>
      <w:r>
        <w:rPr>
          <w:rFonts w:ascii="Malgun Gothic" w:cs="Malgun Gothic" w:eastAsia="Malgun Gothic" w:hAnsi="Malgun Gothic"/>
          <w:sz w:val="21"/>
          <w:szCs w:val="21"/>
        </w:rPr>
        <w:t xml:space="preserve">본 모델은 Isolation Forest, LSTM-Autoencoder와 일부 조건이 달라, 결과의 수치를 그대로 비교할 수 없다.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항목</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Isolation Forest · LSTM-AE</w:t>
            </w:r>
          </w:p>
        </w:tc>
        <w:tc>
          <w:tcPr>
            <w:tcW w:type="dxa" w:w="3526"/>
            <w:tcBorders>
              <w:top w:val="single" w:color="999999" w:sz="4"/>
              <w:left w:val="single" w:color="999999" w:sz="4"/>
              <w:bottom w:val="single" w:color="999999" w:sz="4"/>
              <w:right w:val="single" w:color="999999" w:sz="4"/>
            </w:tcBorders>
            <w:shd w:fill="D9E2F3" w:color="auto" w:val="clear"/>
            <w:tcMar>
              <w:top w:type="dxa" w:w="50"/>
              <w:left w:type="dxa" w:w="90"/>
              <w:bottom w:type="dxa" w:w="50"/>
              <w:right w:type="dxa" w:w="90"/>
            </w:tcMar>
          </w:tcPr>
          <w:p>
            <w:pPr>
              <w:jc w:val="center"/>
            </w:pPr>
            <w:r>
              <w:rPr>
                <w:rFonts w:ascii="Malgun Gothic" w:cs="Malgun Gothic" w:eastAsia="Malgun Gothic" w:hAnsi="Malgun Gothic"/>
                <w:b/>
                <w:bCs/>
                <w:sz w:val="18"/>
                <w:szCs w:val="18"/>
              </w:rPr>
              <w:t xml:space="preserve">Feature Autoencoder</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데이터 분할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상태별 시간순, 이상은 검증 13 / 테스트 15</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구간 ID 단위, 이상 28개 모두 테스트</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평가 데이터</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 (정상 208, 이상 13)</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테스트 분할 (정상 144, 이상 28)</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입력 특징</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학습·검증 데이터로 선택한 F1(7개), F2(5개)</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전체 데이터로 선택한 F1(8개), F2(6개)</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기준선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검증 데이터에서 F1-score 최대</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정상 데이터 오차의 상위 5%</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이상 확률</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확률 보정 후 제공</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제공하지 않음 (점수에 직접 기준선 적용)</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추가 지표</w:t>
            </w:r>
          </w:p>
        </w:tc>
        <w:tc>
          <w:tcPr>
            <w:tcW w:type="dxa" w:w="3300"/>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MCC, Brier 점수, 이상 구간 탐지율, 시간당 오경보 수, 추론 시간</w:t>
            </w:r>
          </w:p>
        </w:tc>
        <w:tc>
          <w:tcPr>
            <w:tcW w:type="dxa" w:w="3526"/>
            <w:tcBorders>
              <w:top w:val="single" w:color="999999" w:sz="4"/>
              <w:left w:val="single" w:color="999999" w:sz="4"/>
              <w:bottom w:val="single" w:color="999999" w:sz="4"/>
              <w:right w:val="single" w:color="999999" w:sz="4"/>
            </w:tcBorders>
            <w:tcMar>
              <w:top w:type="dxa" w:w="50"/>
              <w:left w:type="dxa" w:w="90"/>
              <w:bottom w:type="dxa" w:w="50"/>
              <w:right w:type="dxa" w:w="90"/>
            </w:tcMar>
          </w:tcPr>
          <w:p>
            <w:pPr>
              <w:jc w:val="left"/>
            </w:pPr>
            <w:r>
              <w:rPr>
                <w:rFonts w:ascii="Malgun Gothic" w:cs="Malgun Gothic" w:eastAsia="Malgun Gothic" w:hAnsi="Malgun Gothic"/>
                <w:b w:val="false"/>
                <w:bCs w:val="false"/>
                <w:sz w:val="18"/>
                <w:szCs w:val="18"/>
              </w:rPr>
              <w:t xml:space="preserve">해당 지표 없음</w:t>
            </w:r>
          </w:p>
        </w:tc>
      </w:tr>
    </w:tbl>
    <w:p>
      <w:pPr>
        <w:spacing w:after="220" w:before="80"/>
        <w:jc w:val="center"/>
      </w:pPr>
      <w:r>
        <w:rPr>
          <w:rFonts w:ascii="Malgun Gothic" w:cs="Malgun Gothic" w:eastAsia="Malgun Gothic" w:hAnsi="Malgun Gothic"/>
          <w:color w:val="555555"/>
          <w:sz w:val="18"/>
          <w:szCs w:val="18"/>
        </w:rPr>
        <w:t xml:space="preserve">표 6. 다른 모델과의 조건 차이</w:t>
      </w:r>
    </w:p>
    <w:p>
      <w:pPr>
        <w:spacing w:after="140" w:line="330"/>
        <w:jc w:val="both"/>
      </w:pPr>
      <w:r>
        <w:rPr>
          <w:rFonts w:ascii="Malgun Gothic" w:cs="Malgun Gothic" w:eastAsia="Malgun Gothic" w:hAnsi="Malgun Gothic"/>
          <w:sz w:val="21"/>
          <w:szCs w:val="21"/>
        </w:rPr>
        <w:t xml:space="preserve">특히 기준선 방식의 차이가 오경보 수준을 크게 좌우한다. 다른 두 모델은 검증 데이터에서 F1-score가 최대가 되도록 기준선을 정하여 오경보가 0이었으나, 본 모델은 정상의 약 5%를 오경보로 허용하는 기준을 사용하였다. 반면 본 모델의 방식은 이상 정답을 기준선 결정에 전혀 사용하지 않아 정보 누출 측면에서는 더 엄격하다.</w:t>
      </w:r>
    </w:p>
    <w:p>
      <w:pPr>
        <w:pStyle w:val="Heading2"/>
        <w:spacing w:after="140" w:before="320"/>
      </w:pPr>
      <w:r>
        <w:rPr>
          <w:rFonts w:ascii="Malgun Gothic" w:cs="Malgun Gothic" w:eastAsia="Malgun Gothic" w:hAnsi="Malgun Gothic"/>
          <w:b/>
          <w:bCs/>
          <w:sz w:val="26"/>
          <w:szCs w:val="26"/>
        </w:rPr>
        <w:t xml:space="preserve">6. 해석 시 유의사항</w:t>
      </w:r>
    </w:p>
    <w:p>
      <w:pPr>
        <w:spacing w:after="140" w:line="330"/>
        <w:jc w:val="both"/>
      </w:pPr>
      <w:r>
        <w:rPr>
          <w:rFonts w:ascii="Malgun Gothic" w:cs="Malgun Gothic" w:eastAsia="Malgun Gothic" w:hAnsi="Malgun Gothic"/>
          <w:sz w:val="21"/>
          <w:szCs w:val="21"/>
        </w:rPr>
        <w:t xml:space="preserve">첫째, 특징 선택 단계에서 전체 이상 데이터를 사용하여 구분력을 계산하였으므로, 테스트 분할의 이상 정답이 학습에 직접 사용되지는 않았으나 특징 선택에 반영되었다. 따라서 본 결과는 탐색적 평가로 해석한다. 둘째, 정상과 이상 데이터의 수집일이 달라, 계측 조건의 차이가 이상 신호와 함께 반영되었을 가능성이 있다. 셋째, 이상 윈도 28개는 14개 연속 구간에서 나와 서로 완전히 독립된 표본이 아니다. 넷째, 학습이 최대 횟수에서 종료되어 완전히 수렴하지 않았을 가능성이 있다. 다섯째, 본 분석은 현재 윈도의 이상 탐지이며, 고장 발생 전 예측이나 경보 선행 시간은 검증하지 않았다.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2026-10-06T13:13:50.202Z</dcterms:created>
  <dcterms:modified xsi:type="dcterms:W3CDTF">2026-10-06T13:13:50.212Z</dcterms:modified>
</cp:coreProperties>
</file>

<file path=docProps/custom.xml><?xml version="1.0" encoding="utf-8"?>
<Properties xmlns="http://schemas.openxmlformats.org/officeDocument/2006/custom-properties" xmlns:vt="http://schemas.openxmlformats.org/officeDocument/2006/docPropsVTypes"/>
</file>