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774" w:rsidRDefault="00B91774" w:rsidP="00B91774">
      <w:pPr>
        <w:spacing w:before="156" w:after="156"/>
        <w:ind w:left="569"/>
      </w:pPr>
    </w:p>
    <w:p w:rsidR="00B91774" w:rsidRDefault="00B91774" w:rsidP="00B91774">
      <w:pPr>
        <w:pStyle w:val="2"/>
        <w:spacing w:before="156" w:after="156"/>
        <w:ind w:left="569"/>
      </w:pPr>
      <w:r>
        <w:rPr>
          <w:rFonts w:hint="eastAsia"/>
        </w:rPr>
        <w:t>HEVC</w:t>
      </w:r>
      <w:r>
        <w:rPr>
          <w:rFonts w:hint="eastAsia"/>
        </w:rPr>
        <w:t>关键技术</w:t>
      </w:r>
    </w:p>
    <w:p w:rsidR="00B91774" w:rsidRDefault="00B91774" w:rsidP="00B91774"/>
    <w:p w:rsidR="00B963F4" w:rsidRDefault="00B963F4" w:rsidP="00B963F4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B963F4">
        <w:rPr>
          <w:rFonts w:ascii="宋体" w:eastAsia="宋体" w:hAnsi="宋体" w:cs="Times New Roman" w:hint="eastAsia"/>
          <w:bCs/>
          <w:kern w:val="0"/>
          <w:sz w:val="24"/>
          <w:szCs w:val="24"/>
        </w:rPr>
        <w:t>引言</w:t>
      </w:r>
    </w:p>
    <w:p w:rsidR="00B963F4" w:rsidRDefault="00B963F4" w:rsidP="00B963F4">
      <w:pPr>
        <w:pStyle w:val="3"/>
        <w:spacing w:before="156" w:after="156"/>
        <w:ind w:left="712"/>
      </w:pPr>
      <w:r>
        <w:rPr>
          <w:rFonts w:hint="eastAsia"/>
        </w:rPr>
        <w:t>HEVC</w:t>
      </w:r>
      <w:r w:rsidR="009F7FC6">
        <w:rPr>
          <w:rFonts w:hint="eastAsia"/>
        </w:rPr>
        <w:t>编码整体</w:t>
      </w:r>
      <w:r>
        <w:rPr>
          <w:rFonts w:hint="eastAsia"/>
        </w:rPr>
        <w:t>框架</w:t>
      </w:r>
    </w:p>
    <w:p w:rsidR="00B963F4" w:rsidRDefault="00B963F4" w:rsidP="00B963F4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B963F4">
        <w:rPr>
          <w:rFonts w:ascii="宋体" w:eastAsia="宋体" w:hAnsi="宋体" w:cs="Times New Roman" w:hint="eastAsia"/>
          <w:bCs/>
          <w:kern w:val="0"/>
          <w:sz w:val="24"/>
          <w:szCs w:val="24"/>
        </w:rPr>
        <w:t>HEVC视频编码层沿用以往视频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编码标准的混合编码方式，其整体编码框架如图所示，其输入为原始视频序列，输出为符合HEVC标注你的比特流。简要的编码过程如下。</w:t>
      </w:r>
    </w:p>
    <w:p w:rsidR="00B963F4" w:rsidRDefault="00B963F4" w:rsidP="00B963F4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（1）将每一帧图像划分为大小不同的图像块单元，并将相应的块划分信息加入到码流中，传到解码器。</w:t>
      </w:r>
    </w:p>
    <w:p w:rsidR="00B963F4" w:rsidRDefault="00B963F4" w:rsidP="00512441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（2）对每个单元进行帧内或帧间预测，原始像素值和预测值相减形成该单元的残差；</w:t>
      </w:r>
      <w:r w:rsidR="00512441">
        <w:rPr>
          <w:rFonts w:ascii="宋体" w:eastAsia="宋体" w:hAnsi="宋体" w:cs="Times New Roman" w:hint="eastAsia"/>
          <w:bCs/>
          <w:kern w:val="0"/>
          <w:sz w:val="24"/>
          <w:szCs w:val="24"/>
        </w:rPr>
        <w:t>若为帧间预测，则进行运动估计和运动补偿，对需要用到的重建图像要提前进行去方块滤波和自适应采样值补偿（A</w:t>
      </w:r>
      <w:r w:rsidR="00512441">
        <w:rPr>
          <w:rFonts w:ascii="宋体" w:eastAsia="宋体" w:hAnsi="宋体" w:cs="Times New Roman"/>
          <w:bCs/>
          <w:kern w:val="0"/>
          <w:sz w:val="24"/>
          <w:szCs w:val="24"/>
        </w:rPr>
        <w:t>SO</w:t>
      </w:r>
      <w:r w:rsidR="00512441">
        <w:rPr>
          <w:rFonts w:ascii="宋体" w:eastAsia="宋体" w:hAnsi="宋体" w:cs="Times New Roman" w:hint="eastAsia"/>
          <w:bCs/>
          <w:kern w:val="0"/>
          <w:sz w:val="24"/>
          <w:szCs w:val="24"/>
        </w:rPr>
        <w:t>）滤波。</w:t>
      </w:r>
    </w:p>
    <w:p w:rsidR="00945C8D" w:rsidRDefault="00945C8D" w:rsidP="00512441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（3）对每个单元的残差进行整数变换（近似离散余弦变换和正弦变换），对得到的变换系参数继续进行量化和扫描。</w:t>
      </w:r>
    </w:p>
    <w:p w:rsidR="00B963F4" w:rsidRDefault="00945C8D" w:rsidP="00945C8D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（4）对量化后的变化系数、预测信息、模式信息、运动信息和头信息等进行熵编码，新城压缩的视频码流（语法元素）输出。</w:t>
      </w:r>
    </w:p>
    <w:p w:rsidR="00014A38" w:rsidRDefault="00014A38" w:rsidP="00014A38">
      <w:pPr>
        <w:spacing w:line="360" w:lineRule="auto"/>
        <w:ind w:firstLineChars="200" w:firstLine="480"/>
        <w:jc w:val="center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014A38">
        <w:rPr>
          <w:rFonts w:ascii="宋体" w:eastAsia="宋体" w:hAnsi="宋体" w:cs="Times New Roman"/>
          <w:bCs/>
          <w:noProof/>
          <w:kern w:val="0"/>
          <w:sz w:val="24"/>
          <w:szCs w:val="24"/>
        </w:rPr>
        <w:drawing>
          <wp:inline distT="0" distB="0" distL="0" distR="0" wp14:anchorId="09945E6F" wp14:editId="387DD46A">
            <wp:extent cx="4757846" cy="2231136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5176" cy="226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A38" w:rsidRDefault="005B5DAC" w:rsidP="00014A38">
      <w:pPr>
        <w:pStyle w:val="3"/>
        <w:spacing w:before="156" w:after="156"/>
        <w:ind w:left="712"/>
      </w:pPr>
      <w:r>
        <w:rPr>
          <w:rFonts w:hint="eastAsia"/>
        </w:rPr>
        <w:t>HEVC</w:t>
      </w:r>
      <w:r>
        <w:rPr>
          <w:rFonts w:hint="eastAsia"/>
        </w:rPr>
        <w:t>编码结构</w:t>
      </w:r>
      <w:r w:rsidR="004563D2">
        <w:t xml:space="preserve"> </w:t>
      </w:r>
    </w:p>
    <w:p w:rsidR="00014A38" w:rsidRDefault="005B5DAC" w:rsidP="00014A38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视频序列由若干时间连续的图像组成，在对这些图像进行处理时，HEVC首先将其分为若干图像组（Group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Of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Picture，GOP），其大小可以通过配置文件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lastRenderedPageBreak/>
        <w:t>进行设置。每一组GOP由多帧图像组成，每一帧图像即为HEVC中四叉树划分的基本单位，每一帧图像经过划分，形成覆盖全</w:t>
      </w:r>
      <w:r w:rsidR="00FF2F24">
        <w:rPr>
          <w:rFonts w:ascii="宋体" w:eastAsia="宋体" w:hAnsi="宋体" w:cs="Times New Roman" w:hint="eastAsia"/>
          <w:bCs/>
          <w:kern w:val="0"/>
          <w:sz w:val="24"/>
          <w:szCs w:val="24"/>
        </w:rPr>
        <w:t>帧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的多个同样尺寸的编码</w:t>
      </w:r>
      <w:r w:rsidR="003020A2">
        <w:rPr>
          <w:rFonts w:ascii="宋体" w:eastAsia="宋体" w:hAnsi="宋体" w:cs="Times New Roman" w:hint="eastAsia"/>
          <w:bCs/>
          <w:kern w:val="0"/>
          <w:sz w:val="24"/>
          <w:szCs w:val="24"/>
        </w:rPr>
        <w:t>树</w:t>
      </w:r>
      <w:r w:rsidR="003856F0">
        <w:rPr>
          <w:rFonts w:ascii="宋体" w:eastAsia="宋体" w:hAnsi="宋体" w:cs="Times New Roman" w:hint="eastAsia"/>
          <w:bCs/>
          <w:kern w:val="0"/>
          <w:sz w:val="24"/>
          <w:szCs w:val="24"/>
        </w:rPr>
        <w:t>块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（Coding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Tree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Block，CTB）</w:t>
      </w:r>
      <w:r w:rsidR="00FF2F24">
        <w:rPr>
          <w:rFonts w:ascii="宋体" w:eastAsia="宋体" w:hAnsi="宋体" w:cs="Times New Roman" w:hint="eastAsia"/>
          <w:bCs/>
          <w:kern w:val="0"/>
          <w:sz w:val="24"/>
          <w:szCs w:val="24"/>
        </w:rPr>
        <w:t>。CTB还可以进一步分割为更小的编码块（Coding</w:t>
      </w:r>
      <w:r w:rsidR="00FF2F24"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w:r w:rsidR="00FF2F24">
        <w:rPr>
          <w:rFonts w:ascii="宋体" w:eastAsia="宋体" w:hAnsi="宋体" w:cs="Times New Roman" w:hint="eastAsia"/>
          <w:bCs/>
          <w:kern w:val="0"/>
          <w:sz w:val="24"/>
          <w:szCs w:val="24"/>
        </w:rPr>
        <w:t>Block，CB）。CB时HEVC中进行视频编码算法的基本单位，它还可以划分为预测块（</w:t>
      </w:r>
      <w:r w:rsidR="00E62687">
        <w:rPr>
          <w:rFonts w:ascii="宋体" w:eastAsia="宋体" w:hAnsi="宋体" w:cs="Times New Roman" w:hint="eastAsia"/>
          <w:bCs/>
          <w:kern w:val="0"/>
          <w:sz w:val="24"/>
          <w:szCs w:val="24"/>
        </w:rPr>
        <w:t>Prediction</w:t>
      </w:r>
      <w:r w:rsidR="00E62687"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w:r w:rsidR="00E62687">
        <w:rPr>
          <w:rFonts w:ascii="宋体" w:eastAsia="宋体" w:hAnsi="宋体" w:cs="Times New Roman" w:hint="eastAsia"/>
          <w:bCs/>
          <w:kern w:val="0"/>
          <w:sz w:val="24"/>
          <w:szCs w:val="24"/>
        </w:rPr>
        <w:t>Block，PB</w:t>
      </w:r>
      <w:r w:rsidR="00FF2F24">
        <w:rPr>
          <w:rFonts w:ascii="宋体" w:eastAsia="宋体" w:hAnsi="宋体" w:cs="Times New Roman" w:hint="eastAsia"/>
          <w:bCs/>
          <w:kern w:val="0"/>
          <w:sz w:val="24"/>
          <w:szCs w:val="24"/>
        </w:rPr>
        <w:t>）和变换块（</w:t>
      </w:r>
      <w:r w:rsidR="00E62687">
        <w:rPr>
          <w:rFonts w:ascii="宋体" w:eastAsia="宋体" w:hAnsi="宋体" w:cs="Times New Roman" w:hint="eastAsia"/>
          <w:bCs/>
          <w:kern w:val="0"/>
          <w:sz w:val="24"/>
          <w:szCs w:val="24"/>
        </w:rPr>
        <w:t>Transform</w:t>
      </w:r>
      <w:r w:rsidR="00E62687"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w:r w:rsidR="00E62687">
        <w:rPr>
          <w:rFonts w:ascii="宋体" w:eastAsia="宋体" w:hAnsi="宋体" w:cs="Times New Roman" w:hint="eastAsia"/>
          <w:bCs/>
          <w:kern w:val="0"/>
          <w:sz w:val="24"/>
          <w:szCs w:val="24"/>
        </w:rPr>
        <w:t>Block，TB</w:t>
      </w:r>
      <w:r w:rsidR="00FF2F24">
        <w:rPr>
          <w:rFonts w:ascii="宋体" w:eastAsia="宋体" w:hAnsi="宋体" w:cs="Times New Roman" w:hint="eastAsia"/>
          <w:bCs/>
          <w:kern w:val="0"/>
          <w:sz w:val="24"/>
          <w:szCs w:val="24"/>
        </w:rPr>
        <w:t>）</w:t>
      </w:r>
      <w:r w:rsidR="00A95644">
        <w:rPr>
          <w:rFonts w:ascii="宋体" w:eastAsia="宋体" w:hAnsi="宋体" w:cs="Times New Roman" w:hint="eastAsia"/>
          <w:bCs/>
          <w:kern w:val="0"/>
          <w:sz w:val="24"/>
          <w:szCs w:val="24"/>
        </w:rPr>
        <w:t>。</w:t>
      </w:r>
      <w:r w:rsidR="003020A2">
        <w:rPr>
          <w:rFonts w:ascii="宋体" w:eastAsia="宋体" w:hAnsi="宋体" w:cs="Times New Roman" w:hint="eastAsia"/>
          <w:bCs/>
          <w:kern w:val="0"/>
          <w:sz w:val="24"/>
          <w:szCs w:val="24"/>
        </w:rPr>
        <w:t>接下来依次介绍它们的划分方式。</w:t>
      </w:r>
    </w:p>
    <w:p w:rsidR="000B35F7" w:rsidRDefault="003020A2" w:rsidP="000B35F7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3020A2">
        <w:rPr>
          <w:rFonts w:ascii="宋体" w:eastAsia="宋体" w:hAnsi="宋体" w:cs="Times New Roman" w:hint="eastAsia"/>
          <w:bCs/>
          <w:kern w:val="0"/>
          <w:sz w:val="24"/>
          <w:szCs w:val="24"/>
        </w:rPr>
        <w:t>编码树块（CTB）和编码树单元（CTU）</w:t>
      </w:r>
      <w:r w:rsidR="009A1AA4">
        <w:rPr>
          <w:rFonts w:ascii="宋体" w:eastAsia="宋体" w:hAnsi="宋体" w:cs="Times New Roman" w:hint="eastAsia"/>
          <w:bCs/>
          <w:kern w:val="0"/>
          <w:sz w:val="24"/>
          <w:szCs w:val="24"/>
        </w:rPr>
        <w:t>。</w:t>
      </w:r>
    </w:p>
    <w:p w:rsidR="009A1AA4" w:rsidRPr="009A1AA4" w:rsidRDefault="009A1AA4" w:rsidP="000B35F7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HEVC将一帧编码图像划分为同意大小、相邻但不重叠的</w:t>
      </w:r>
      <w:r w:rsidRPr="0014099D">
        <w:rPr>
          <w:rFonts w:ascii="宋体" w:eastAsia="宋体" w:hAnsi="宋体" w:cs="Times New Roman" w:hint="eastAsia"/>
          <w:bCs/>
          <w:kern w:val="0"/>
          <w:sz w:val="24"/>
          <w:szCs w:val="24"/>
        </w:rPr>
        <w:t>2N×2N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样点的</w:t>
      </w:r>
      <w:r w:rsidR="000B35F7">
        <w:rPr>
          <w:rFonts w:ascii="宋体" w:eastAsia="宋体" w:hAnsi="宋体" w:cs="Times New Roman" w:hint="eastAsia"/>
          <w:bCs/>
          <w:kern w:val="0"/>
          <w:sz w:val="24"/>
          <w:szCs w:val="24"/>
        </w:rPr>
        <w:t>编码快CTB，这一点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类似H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>.264/AVC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中的宏块（Macro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Block，MB）。</w:t>
      </w:r>
      <w:r w:rsidR="0043007A">
        <w:rPr>
          <w:rFonts w:ascii="宋体" w:eastAsia="宋体" w:hAnsi="宋体" w:cs="Times New Roman" w:hint="eastAsia"/>
          <w:bCs/>
          <w:kern w:val="0"/>
          <w:sz w:val="24"/>
          <w:szCs w:val="24"/>
        </w:rPr>
        <w:t>CTB的尺寸可以为16×16、32×32或64×64</w:t>
      </w:r>
      <w:r w:rsidR="00406056">
        <w:rPr>
          <w:rFonts w:ascii="宋体" w:eastAsia="宋体" w:hAnsi="宋体" w:cs="Times New Roman" w:hint="eastAsia"/>
          <w:bCs/>
          <w:kern w:val="0"/>
          <w:sz w:val="24"/>
          <w:szCs w:val="24"/>
        </w:rPr>
        <w:t>。同一位置的亮度CTB和2块色度CTB，以及相应的语法元素和所包含的CU形成一个CTU。</w:t>
      </w:r>
    </w:p>
    <w:p w:rsidR="003020A2" w:rsidRDefault="000E6016" w:rsidP="003020A2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编码块（CB）</w:t>
      </w:r>
      <w:r w:rsidR="009A58C2">
        <w:rPr>
          <w:rFonts w:ascii="宋体" w:eastAsia="宋体" w:hAnsi="宋体" w:cs="Times New Roman" w:hint="eastAsia"/>
          <w:bCs/>
          <w:kern w:val="0"/>
          <w:sz w:val="24"/>
          <w:szCs w:val="24"/>
        </w:rPr>
        <w:t>和编码单元</w:t>
      </w:r>
      <w:r w:rsidR="007B616F">
        <w:rPr>
          <w:rFonts w:ascii="宋体" w:eastAsia="宋体" w:hAnsi="宋体" w:cs="Times New Roman" w:hint="eastAsia"/>
          <w:bCs/>
          <w:kern w:val="0"/>
          <w:sz w:val="24"/>
          <w:szCs w:val="24"/>
        </w:rPr>
        <w:t>（CU）</w:t>
      </w:r>
    </w:p>
    <w:p w:rsidR="007B616F" w:rsidRPr="007B616F" w:rsidRDefault="007B616F" w:rsidP="007B616F">
      <w:pPr>
        <w:spacing w:line="360" w:lineRule="auto"/>
        <w:ind w:firstLineChars="200" w:firstLine="480"/>
        <w:rPr>
          <w:rFonts w:ascii="宋体" w:eastAsia="宋体" w:hAnsi="宋体" w:cs="Times New Roman" w:hint="eastAsia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C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>TU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可以按照四叉树结构分解为若干方型编码单元（CU）,统一层次的CU必须时统一尺寸的4个方块，最多可以有4层，即8×8、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16×16、32×32或64×64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。如果不分解，则一个CTU仅包含一个CU，此时亮度CTU的尺寸就是亮度CB的</w:t>
      </w:r>
      <w:r w:rsidR="001B5CA4">
        <w:rPr>
          <w:rFonts w:ascii="宋体" w:eastAsia="宋体" w:hAnsi="宋体" w:cs="Times New Roman" w:hint="eastAsia"/>
          <w:bCs/>
          <w:kern w:val="0"/>
          <w:sz w:val="24"/>
          <w:szCs w:val="24"/>
        </w:rPr>
        <w:t>最大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尺寸。</w:t>
      </w:r>
      <w:r w:rsidR="00DC2EAC">
        <w:rPr>
          <w:rFonts w:ascii="宋体" w:eastAsia="宋体" w:hAnsi="宋体" w:cs="Times New Roman" w:hint="eastAsia"/>
          <w:bCs/>
          <w:kern w:val="0"/>
          <w:sz w:val="24"/>
          <w:szCs w:val="24"/>
        </w:rPr>
        <w:t>每个CU包含一个亮度编码块（CB）以及两个色度编码块（CB）。同时还包含相应的语法元素，如预测模式（帧内、帧间）、PU划分、从属的PU和TU信息等。CU时决定进行帧内预测还是帧间预测的单元，因此整个CU只会有一种预测模式。</w:t>
      </w:r>
      <w:bookmarkStart w:id="0" w:name="_GoBack"/>
      <w:bookmarkEnd w:id="0"/>
    </w:p>
    <w:p w:rsidR="00A95644" w:rsidRDefault="00A95644" w:rsidP="00014A38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</w:p>
    <w:p w:rsidR="00A95644" w:rsidRPr="00945C8D" w:rsidRDefault="00A95644" w:rsidP="00014A38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</w:p>
    <w:p w:rsidR="00B91774" w:rsidRPr="00B91774" w:rsidRDefault="00B91774" w:rsidP="00B91774">
      <w:pPr>
        <w:pStyle w:val="2"/>
        <w:spacing w:before="156" w:after="156"/>
        <w:ind w:left="569"/>
      </w:pPr>
      <w:r>
        <w:rPr>
          <w:rFonts w:hint="eastAsia"/>
        </w:rPr>
        <w:t>CUDA</w:t>
      </w:r>
      <w:r>
        <w:rPr>
          <w:rFonts w:hint="eastAsia"/>
        </w:rPr>
        <w:t>关键技术</w:t>
      </w:r>
    </w:p>
    <w:p w:rsidR="007645C8" w:rsidRPr="00B963F4" w:rsidRDefault="00B963F4" w:rsidP="00B963F4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B963F4">
        <w:rPr>
          <w:rFonts w:ascii="宋体" w:eastAsia="宋体" w:hAnsi="宋体" w:cs="Times New Roman" w:hint="eastAsia"/>
          <w:bCs/>
          <w:kern w:val="0"/>
          <w:sz w:val="24"/>
          <w:szCs w:val="24"/>
        </w:rPr>
        <w:t>引言</w:t>
      </w:r>
    </w:p>
    <w:sectPr w:rsidR="007645C8" w:rsidRPr="00B96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8AC" w:rsidRDefault="00A558AC" w:rsidP="00B963F4">
      <w:r>
        <w:separator/>
      </w:r>
    </w:p>
  </w:endnote>
  <w:endnote w:type="continuationSeparator" w:id="0">
    <w:p w:rsidR="00A558AC" w:rsidRDefault="00A558AC" w:rsidP="00B96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8AC" w:rsidRDefault="00A558AC" w:rsidP="00B963F4">
      <w:r>
        <w:separator/>
      </w:r>
    </w:p>
  </w:footnote>
  <w:footnote w:type="continuationSeparator" w:id="0">
    <w:p w:rsidR="00A558AC" w:rsidRDefault="00A558AC" w:rsidP="00B96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F5E3D"/>
    <w:multiLevelType w:val="hybridMultilevel"/>
    <w:tmpl w:val="AD4E3592"/>
    <w:lvl w:ilvl="0" w:tplc="D40A25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7E84983"/>
    <w:multiLevelType w:val="multilevel"/>
    <w:tmpl w:val="E61C868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 w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74"/>
    <w:rsid w:val="00014A38"/>
    <w:rsid w:val="000B35F7"/>
    <w:rsid w:val="000E6016"/>
    <w:rsid w:val="0014099D"/>
    <w:rsid w:val="001B5CA4"/>
    <w:rsid w:val="003020A2"/>
    <w:rsid w:val="003856F0"/>
    <w:rsid w:val="00406056"/>
    <w:rsid w:val="0043007A"/>
    <w:rsid w:val="004563D2"/>
    <w:rsid w:val="00512441"/>
    <w:rsid w:val="005B5DAC"/>
    <w:rsid w:val="006905BB"/>
    <w:rsid w:val="007504D2"/>
    <w:rsid w:val="007645C8"/>
    <w:rsid w:val="007B616F"/>
    <w:rsid w:val="008030E8"/>
    <w:rsid w:val="00945C8D"/>
    <w:rsid w:val="00950D40"/>
    <w:rsid w:val="009A1AA4"/>
    <w:rsid w:val="009A58C2"/>
    <w:rsid w:val="009F7FC6"/>
    <w:rsid w:val="00A558AC"/>
    <w:rsid w:val="00A95644"/>
    <w:rsid w:val="00B91774"/>
    <w:rsid w:val="00B963F4"/>
    <w:rsid w:val="00DC2EAC"/>
    <w:rsid w:val="00E62687"/>
    <w:rsid w:val="00FF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D588A"/>
  <w15:chartTrackingRefBased/>
  <w15:docId w15:val="{AB170FAF-1463-4F26-9541-14A756F8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B91774"/>
    <w:pPr>
      <w:keepNext/>
      <w:pageBreakBefore/>
      <w:numPr>
        <w:numId w:val="1"/>
      </w:numPr>
      <w:tabs>
        <w:tab w:val="num" w:pos="601"/>
      </w:tabs>
      <w:wordWrap w:val="0"/>
      <w:spacing w:beforeLines="100" w:before="100" w:afterLines="100" w:after="100" w:line="360" w:lineRule="auto"/>
      <w:ind w:left="601" w:hanging="601"/>
      <w:jc w:val="center"/>
      <w:outlineLvl w:val="0"/>
    </w:pPr>
    <w:rPr>
      <w:rFonts w:ascii="Times New Roman" w:eastAsia="黑体" w:hAnsi="Times New Roman" w:cs="Times New Roman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91774"/>
    <w:pPr>
      <w:keepNext/>
      <w:keepLines/>
      <w:numPr>
        <w:ilvl w:val="1"/>
        <w:numId w:val="1"/>
      </w:numPr>
      <w:wordWrap w:val="0"/>
      <w:adjustRightInd w:val="0"/>
      <w:snapToGrid w:val="0"/>
      <w:spacing w:beforeLines="50" w:before="120" w:afterLines="50" w:after="120" w:line="360" w:lineRule="auto"/>
      <w:ind w:leftChars="-2" w:left="568" w:hangingChars="204" w:hanging="573"/>
      <w:outlineLvl w:val="1"/>
    </w:pPr>
    <w:rPr>
      <w:rFonts w:ascii="Times New Roman" w:eastAsia="黑体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91774"/>
    <w:pPr>
      <w:keepNext/>
      <w:keepLines/>
      <w:numPr>
        <w:ilvl w:val="2"/>
        <w:numId w:val="1"/>
      </w:numPr>
      <w:tabs>
        <w:tab w:val="left" w:pos="709"/>
      </w:tabs>
      <w:wordWrap w:val="0"/>
      <w:snapToGrid w:val="0"/>
      <w:spacing w:beforeLines="50" w:before="120" w:afterLines="50" w:after="120" w:line="360" w:lineRule="auto"/>
      <w:ind w:leftChars="-3" w:left="711" w:hangingChars="298" w:hanging="718"/>
      <w:outlineLvl w:val="2"/>
    </w:pPr>
    <w:rPr>
      <w:rFonts w:ascii="Times New Roman" w:eastAsia="黑体" w:hAnsi="Times New Roman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1774"/>
    <w:pPr>
      <w:keepNext/>
      <w:keepLines/>
      <w:numPr>
        <w:ilvl w:val="3"/>
        <w:numId w:val="1"/>
      </w:numPr>
      <w:wordWrap w:val="0"/>
      <w:spacing w:before="120" w:beforeAutospacing="1" w:after="120" w:afterAutospacing="1" w:line="120" w:lineRule="exact"/>
      <w:ind w:left="862" w:hanging="862"/>
      <w:outlineLvl w:val="3"/>
    </w:pPr>
    <w:rPr>
      <w:rFonts w:ascii="Times New Roman" w:eastAsia="黑体" w:hAnsi="Times New Roman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rsid w:val="00B91774"/>
    <w:pPr>
      <w:keepNext/>
      <w:keepLines/>
      <w:numPr>
        <w:ilvl w:val="4"/>
        <w:numId w:val="1"/>
      </w:numPr>
      <w:wordWrap w:val="0"/>
      <w:spacing w:before="280" w:after="290" w:line="376" w:lineRule="auto"/>
      <w:ind w:firstLine="0"/>
      <w:outlineLvl w:val="4"/>
    </w:pPr>
    <w:rPr>
      <w:rFonts w:ascii="Times New Roman" w:eastAsia="宋体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1774"/>
    <w:pPr>
      <w:keepNext/>
      <w:keepLines/>
      <w:numPr>
        <w:ilvl w:val="5"/>
        <w:numId w:val="1"/>
      </w:numPr>
      <w:wordWrap w:val="0"/>
      <w:spacing w:before="240" w:after="64" w:line="320" w:lineRule="auto"/>
      <w:ind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1774"/>
    <w:pPr>
      <w:keepNext/>
      <w:keepLines/>
      <w:numPr>
        <w:ilvl w:val="6"/>
        <w:numId w:val="1"/>
      </w:numPr>
      <w:wordWrap w:val="0"/>
      <w:spacing w:before="240" w:after="64" w:line="320" w:lineRule="auto"/>
      <w:ind w:firstLine="0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1774"/>
    <w:pPr>
      <w:keepNext/>
      <w:keepLines/>
      <w:numPr>
        <w:ilvl w:val="7"/>
        <w:numId w:val="1"/>
      </w:numPr>
      <w:wordWrap w:val="0"/>
      <w:spacing w:before="240" w:after="64" w:line="320" w:lineRule="auto"/>
      <w:ind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1774"/>
    <w:pPr>
      <w:keepNext/>
      <w:keepLines/>
      <w:numPr>
        <w:ilvl w:val="8"/>
        <w:numId w:val="1"/>
      </w:numPr>
      <w:wordWrap w:val="0"/>
      <w:spacing w:before="240" w:after="64" w:line="320" w:lineRule="auto"/>
      <w:ind w:firstLine="0"/>
      <w:outlineLvl w:val="8"/>
    </w:pPr>
    <w:rPr>
      <w:rFonts w:asciiTheme="majorHAnsi" w:eastAsiaTheme="majorEastAsia" w:hAnsiTheme="majorHAnsi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1774"/>
    <w:rPr>
      <w:rFonts w:ascii="Times New Roman" w:eastAsia="黑体" w:hAnsi="Times New Roman" w:cs="Times New Roman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B91774"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B91774"/>
    <w:rPr>
      <w:rFonts w:ascii="Times New Roman" w:eastAsia="黑体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B91774"/>
    <w:rPr>
      <w:rFonts w:ascii="Times New Roman" w:eastAsia="黑体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91774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9177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91774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9177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91774"/>
    <w:rPr>
      <w:rFonts w:asciiTheme="majorHAnsi" w:eastAsiaTheme="majorEastAsia" w:hAnsiTheme="majorHAnsi" w:cstheme="majorBidi"/>
      <w:sz w:val="24"/>
      <w:szCs w:val="21"/>
    </w:rPr>
  </w:style>
  <w:style w:type="paragraph" w:styleId="a3">
    <w:name w:val="header"/>
    <w:basedOn w:val="a"/>
    <w:link w:val="a4"/>
    <w:uiPriority w:val="99"/>
    <w:unhideWhenUsed/>
    <w:rsid w:val="00B96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63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63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63F4"/>
    <w:rPr>
      <w:sz w:val="18"/>
      <w:szCs w:val="18"/>
    </w:rPr>
  </w:style>
  <w:style w:type="paragraph" w:styleId="a7">
    <w:name w:val="List Paragraph"/>
    <w:basedOn w:val="a"/>
    <w:uiPriority w:val="34"/>
    <w:qFormat/>
    <w:rsid w:val="003020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子恒 董</dc:creator>
  <cp:keywords/>
  <dc:description/>
  <cp:lastModifiedBy>子恒 董</cp:lastModifiedBy>
  <cp:revision>22</cp:revision>
  <dcterms:created xsi:type="dcterms:W3CDTF">2019-05-15T04:11:00Z</dcterms:created>
  <dcterms:modified xsi:type="dcterms:W3CDTF">2019-05-15T08:29:00Z</dcterms:modified>
</cp:coreProperties>
</file>