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774" w:rsidRDefault="00B91774" w:rsidP="00B91774">
      <w:pPr>
        <w:spacing w:before="156" w:after="156"/>
        <w:ind w:left="569"/>
      </w:pPr>
    </w:p>
    <w:p w:rsidR="00B91774" w:rsidRDefault="00B91774" w:rsidP="00B91774">
      <w:pPr>
        <w:pStyle w:val="2"/>
        <w:spacing w:before="156" w:after="156"/>
        <w:ind w:left="569"/>
      </w:pPr>
      <w:r>
        <w:rPr>
          <w:rFonts w:hint="eastAsia"/>
        </w:rPr>
        <w:t>HEVC</w:t>
      </w:r>
      <w:r>
        <w:rPr>
          <w:rFonts w:hint="eastAsia"/>
        </w:rPr>
        <w:t>关键技术</w:t>
      </w:r>
    </w:p>
    <w:p w:rsidR="00B91774" w:rsidRDefault="00B91774" w:rsidP="00B91774"/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引言</w:t>
      </w:r>
    </w:p>
    <w:p w:rsidR="00B963F4" w:rsidRDefault="00B963F4" w:rsidP="00B963F4">
      <w:pPr>
        <w:pStyle w:val="3"/>
        <w:spacing w:before="156" w:after="156"/>
        <w:ind w:left="712"/>
      </w:pPr>
      <w:r>
        <w:rPr>
          <w:rFonts w:hint="eastAsia"/>
        </w:rPr>
        <w:t>HEVC</w:t>
      </w:r>
      <w:r w:rsidR="009F7FC6">
        <w:rPr>
          <w:rFonts w:hint="eastAsia"/>
        </w:rPr>
        <w:t>编码整体</w:t>
      </w:r>
      <w:r>
        <w:rPr>
          <w:rFonts w:hint="eastAsia"/>
        </w:rPr>
        <w:t>框架</w:t>
      </w:r>
    </w:p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HEVC视频编码层沿用以往视频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编码标准的混合编码方式，其整体编码框架如图所示，其输入为原始视频序列，输出为符合HEVC标注你的比特流。简要的编码过程如下。</w:t>
      </w:r>
    </w:p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（1）将每一帧图像划分为大小不同的图像块单元，并将相应的块划分信息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加入到码流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中，传到解码器。</w:t>
      </w:r>
    </w:p>
    <w:p w:rsidR="00B963F4" w:rsidRDefault="00B963F4" w:rsidP="0051244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（2）对每个单元进行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帧内或帧间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预测，原始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值和预测值相减形成该单元的残差；</w:t>
      </w:r>
      <w:proofErr w:type="gramStart"/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若为帧间预测</w:t>
      </w:r>
      <w:proofErr w:type="gramEnd"/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，则进行运动估计和运动补偿，对需要用到的重建图像要提前进行去方块滤波和自适应采样值补偿（A</w:t>
      </w:r>
      <w:r w:rsidR="00512441">
        <w:rPr>
          <w:rFonts w:ascii="宋体" w:eastAsia="宋体" w:hAnsi="宋体" w:cs="Times New Roman"/>
          <w:bCs/>
          <w:kern w:val="0"/>
          <w:sz w:val="24"/>
          <w:szCs w:val="24"/>
        </w:rPr>
        <w:t>SO</w:t>
      </w:r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）滤波。</w:t>
      </w:r>
    </w:p>
    <w:p w:rsidR="00945C8D" w:rsidRDefault="00945C8D" w:rsidP="0051244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（3）对每个单元的残差进行整数变换（近似离散余弦变换和正弦变换），对得到的变换系参数继续进行量化和扫描。</w:t>
      </w:r>
    </w:p>
    <w:p w:rsidR="00904765" w:rsidRDefault="00945C8D" w:rsidP="00904765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（4）对量化后的变化系数、预测信息、模式信息、运动信息和头信息等进行熵编码，新城压缩的视频码流（语法元素）输出。</w:t>
      </w:r>
    </w:p>
    <w:p w:rsidR="00904765" w:rsidRDefault="00904765" w:rsidP="00904765">
      <w:pPr>
        <w:spacing w:line="360" w:lineRule="auto"/>
        <w:ind w:firstLineChars="200" w:firstLine="480"/>
        <w:jc w:val="center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noProof/>
          <w:kern w:val="0"/>
          <w:sz w:val="24"/>
          <w:szCs w:val="24"/>
        </w:rPr>
        <w:drawing>
          <wp:inline distT="0" distB="0" distL="0" distR="0">
            <wp:extent cx="4507839" cy="2076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VC编码流程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926" cy="20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38" w:rsidRDefault="00014A38" w:rsidP="00D44EC2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014A38" w:rsidRDefault="005B5DAC" w:rsidP="00014A38">
      <w:pPr>
        <w:pStyle w:val="3"/>
        <w:spacing w:before="156" w:after="156"/>
        <w:ind w:left="712"/>
      </w:pPr>
      <w:r>
        <w:rPr>
          <w:rFonts w:hint="eastAsia"/>
        </w:rPr>
        <w:t>HEVC</w:t>
      </w:r>
      <w:r>
        <w:rPr>
          <w:rFonts w:hint="eastAsia"/>
        </w:rPr>
        <w:t>编码结构</w:t>
      </w:r>
      <w:r w:rsidR="004563D2">
        <w:t xml:space="preserve"> </w:t>
      </w:r>
    </w:p>
    <w:p w:rsidR="007D4E6A" w:rsidRDefault="007D4E6A" w:rsidP="00014A38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在HEVC中，一个很重要的革新之处就是其图像分块方式。HEVC针对预测和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变换编码而对图像采取了一种基于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四叉树的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划分方式。其基本划分层次如图所示。</w:t>
      </w:r>
    </w:p>
    <w:p w:rsidR="007D4E6A" w:rsidRDefault="00B431DF" w:rsidP="00014A38">
      <w:pPr>
        <w:spacing w:line="360" w:lineRule="auto"/>
        <w:ind w:firstLineChars="200" w:firstLine="42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object w:dxaOrig="20460" w:dyaOrig="9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80.65pt;height:171.55pt" o:ole="">
            <v:imagedata r:id="rId8" o:title=""/>
          </v:shape>
          <o:OLEObject Type="Embed" ProgID="Visio.Drawing.15" ShapeID="_x0000_i1036" DrawAspect="Content" ObjectID="_1619468164" r:id="rId9"/>
        </w:object>
      </w:r>
    </w:p>
    <w:p w:rsidR="003B2119" w:rsidRDefault="005B5DAC" w:rsidP="00522765">
      <w:pPr>
        <w:spacing w:line="360" w:lineRule="auto"/>
        <w:ind w:firstLineChars="200" w:firstLine="48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视频序列由若干时间连续的图像组成，在对这些图像进行处理时，HEVC首先将其分为若干图像组（Group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Of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Picture，GOP），其大小可以通过配置文件进行设置。每一组GOP由多帧图像组成，每一帧图像即为HEVC中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四叉树划分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的基本单位，每一帧图像经过划分，形成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覆盖全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帧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的多个同样尺寸的编码</w:t>
      </w:r>
      <w:r w:rsid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树</w:t>
      </w:r>
      <w:r w:rsidR="003856F0">
        <w:rPr>
          <w:rFonts w:ascii="宋体" w:eastAsia="宋体" w:hAnsi="宋体" w:cs="Times New Roman" w:hint="eastAsia"/>
          <w:bCs/>
          <w:kern w:val="0"/>
          <w:sz w:val="24"/>
          <w:szCs w:val="24"/>
        </w:rPr>
        <w:t>块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（Coding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Tree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Block，CTB）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。CTB还可以进一步分割为更小的编码块（Coding</w:t>
      </w:r>
      <w:r w:rsidR="00FF2F24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Block，CB）。CB时HEVC中进行视频编码算法的基本单位，它还可以划分为预测块（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Prediction</w:t>
      </w:r>
      <w:r w:rsidR="00E62687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Block，PB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）和变换块（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Transform</w:t>
      </w:r>
      <w:r w:rsidR="00E62687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Block，TB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）</w:t>
      </w:r>
      <w:r w:rsidR="00A95644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  <w:r w:rsid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接下来依次介绍它们的划分方式。</w:t>
      </w:r>
    </w:p>
    <w:p w:rsidR="006E37E6" w:rsidRDefault="003020A2" w:rsidP="006E37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编码树块（CTB）和编码树单元（CTU）</w:t>
      </w:r>
      <w:r w:rsidR="00885600">
        <w:rPr>
          <w:rFonts w:ascii="宋体" w:eastAsia="宋体" w:hAnsi="宋体" w:cs="Times New Roman" w:hint="eastAsia"/>
          <w:bCs/>
          <w:kern w:val="0"/>
          <w:sz w:val="24"/>
          <w:szCs w:val="24"/>
        </w:rPr>
        <w:t>的划分</w:t>
      </w:r>
    </w:p>
    <w:p w:rsidR="006E37E6" w:rsidRPr="006E37E6" w:rsidRDefault="006E37E6" w:rsidP="006E37E6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HEVC将一帧编码图像划分为同意大小、相邻但不重叠的2N×2N样点的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编码快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CTB，这一点类似H</w:t>
      </w: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t>.264/AVC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中的宏块（Macro</w:t>
      </w: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Block，MB）。CTB的尺寸可以为16×16、32×32或64×64。同一位置的亮度CTB和2块色度CTB，以及相应的语法元素和所包含的CU形成一个CTU。</w:t>
      </w:r>
    </w:p>
    <w:p w:rsidR="006E37E6" w:rsidRPr="006E37E6" w:rsidRDefault="006E37E6" w:rsidP="006E37E6">
      <w:pPr>
        <w:spacing w:line="360" w:lineRule="auto"/>
        <w:ind w:firstLineChars="200" w:firstLine="48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C</w:t>
      </w: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t>TU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可以按照四叉树结构分解为若干方型编码单元（CU）,统一层次的CU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必须时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统一尺寸的4个方块，最多可以有4层，即8×8、16×16、32×32或64×64。如果不分解，则一个CTU仅包含一个CU，此时亮度CTU的尺寸就是亮度CB的最大尺寸。每个CU包含一个亮度编码块（CB）以及两个色度编码块（CB）。同时还包含相应的语法元素，如预测模式（帧内、帧间）、PU划分、从属的PU和TU信息等。CU时决定进行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帧内预测还是帧间预测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的单元，因此整个CU只会有一种预测模式。</w:t>
      </w:r>
    </w:p>
    <w:p w:rsidR="006E37E6" w:rsidRPr="006E37E6" w:rsidRDefault="006E37E6" w:rsidP="006E37E6">
      <w:pPr>
        <w:spacing w:line="360" w:lineRule="auto"/>
        <w:ind w:firstLineChars="200" w:firstLine="48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CTB与CB之间的关系可以用一棵四叉树表示。CTB为树的根节点，往下还可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以划分为更小的方块，由于分一层划分都是等分为四块，因此在树结构上形成四个分支，最后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构成四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叉树。以64×64尺寸的CTB为例，其划分方式如图（a）所示，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对应四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叉树结构如图（b）所示，扫描顺序按图（a）中索引顺序。</w:t>
      </w:r>
    </w:p>
    <w:p w:rsidR="006E37E6" w:rsidRDefault="00F15A22" w:rsidP="003B701F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object w:dxaOrig="8731" w:dyaOrig="10636">
          <v:shape id="_x0000_i1092" type="#_x0000_t75" style="width:206.6pt;height:251.7pt" o:ole="">
            <v:imagedata r:id="rId10" o:title=""/>
          </v:shape>
          <o:OLEObject Type="Embed" ProgID="Visio.Drawing.15" ShapeID="_x0000_i1092" DrawAspect="Content" ObjectID="_1619468165" r:id="rId11"/>
        </w:object>
      </w:r>
      <w:r w:rsidR="006E37E6" w:rsidRPr="006E37E6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</w:p>
    <w:p w:rsidR="00D56DF4" w:rsidRPr="006E37E6" w:rsidRDefault="00D56DF4" w:rsidP="00D56DF4">
      <w:pPr>
        <w:spacing w:line="360" w:lineRule="auto"/>
        <w:ind w:firstLineChars="200" w:firstLine="420"/>
        <w:jc w:val="center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object w:dxaOrig="8101" w:dyaOrig="3661">
          <v:shape id="_x0000_i1105" type="#_x0000_t75" style="width:341.2pt;height:154pt" o:ole="">
            <v:imagedata r:id="rId12" o:title=""/>
          </v:shape>
          <o:OLEObject Type="Embed" ProgID="Visio.Drawing.15" ShapeID="_x0000_i1105" DrawAspect="Content" ObjectID="_1619468166" r:id="rId13"/>
        </w:object>
      </w:r>
    </w:p>
    <w:p w:rsidR="006E37E6" w:rsidRDefault="00393A04" w:rsidP="006E37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预测单元的划分</w:t>
      </w:r>
    </w:p>
    <w:p w:rsidR="00393A04" w:rsidRDefault="00393A04" w:rsidP="0046266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预测单元PU是HEVC进行预测运算的基本单元，只能定义在不能继续划分的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最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底层CU中。CU决定了其包含的所有PU的预测方式，包括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和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帧间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预测。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一个CU可以划分为一个或多个预测单元PU。CU到PU的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划分仅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允许一层。若CU的大小为2N×2N，当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金星帧内预测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，则可选的PU模式有2N×2N和N×N两种；如果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进行帧间预测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，则划分方式除了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2N×2N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、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N×N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、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2N×N、N×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2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N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以外，还有4种非对称划分方式。除此之外，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帧间预测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的跳过模式中只允许2N×2N的划分。</w:t>
      </w:r>
    </w:p>
    <w:p w:rsidR="00FA14D2" w:rsidRDefault="00FA14D2" w:rsidP="0046266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PU具体的划分方式如下图所示。</w:t>
      </w:r>
    </w:p>
    <w:p w:rsidR="000F6401" w:rsidRPr="00393A04" w:rsidRDefault="00F15A22" w:rsidP="00F15A22">
      <w:pPr>
        <w:spacing w:line="360" w:lineRule="auto"/>
        <w:jc w:val="center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object w:dxaOrig="9046" w:dyaOrig="7216">
          <v:shape id="_x0000_i1098" type="#_x0000_t75" style="width:354.35pt;height:281.75pt" o:ole="">
            <v:imagedata r:id="rId14" o:title=""/>
          </v:shape>
          <o:OLEObject Type="Embed" ProgID="Visio.Drawing.15" ShapeID="_x0000_i1098" DrawAspect="Content" ObjectID="_1619468167" r:id="rId15"/>
        </w:object>
      </w:r>
    </w:p>
    <w:p w:rsidR="00393A04" w:rsidRPr="006E37E6" w:rsidRDefault="00393A04" w:rsidP="006E37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变换单元的划分</w:t>
      </w:r>
    </w:p>
    <w:p w:rsidR="006E37E6" w:rsidRDefault="0046266B" w:rsidP="0046266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46266B">
        <w:rPr>
          <w:rFonts w:ascii="宋体" w:eastAsia="宋体" w:hAnsi="宋体" w:cs="Times New Roman" w:hint="eastAsia"/>
          <w:bCs/>
          <w:kern w:val="0"/>
          <w:sz w:val="24"/>
          <w:szCs w:val="24"/>
        </w:rPr>
        <w:t>变换单元是进行变换和量化操作的基本单元，和PU划分类似，他也是在CU的基础上进行划分的，但它</w:t>
      </w:r>
      <w:r w:rsidR="00A70F06">
        <w:rPr>
          <w:rFonts w:ascii="宋体" w:eastAsia="宋体" w:hAnsi="宋体" w:cs="Times New Roman" w:hint="eastAsia"/>
          <w:bCs/>
          <w:kern w:val="0"/>
          <w:sz w:val="24"/>
          <w:szCs w:val="24"/>
        </w:rPr>
        <w:t>不受所在CU的预测单元（PU）划分的限制。TU的划分方式也是一种</w:t>
      </w:r>
      <w:proofErr w:type="gramStart"/>
      <w:r w:rsidR="00A70F06"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四叉树划分</w:t>
      </w:r>
      <w:proofErr w:type="gramEnd"/>
      <w:r w:rsidR="00A70F06">
        <w:rPr>
          <w:rFonts w:ascii="宋体" w:eastAsia="宋体" w:hAnsi="宋体" w:cs="Times New Roman" w:hint="eastAsia"/>
          <w:bCs/>
          <w:kern w:val="0"/>
          <w:sz w:val="24"/>
          <w:szCs w:val="24"/>
        </w:rPr>
        <w:t>。HEVC中TU的尺寸可以为4×4、8×8或32×32，这是因为最大DCT变换运算的尺寸为32×32</w:t>
      </w:r>
      <w:r w:rsidR="005F0D7D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变换单元的最大尺寸以及</w:t>
      </w:r>
      <w:proofErr w:type="gramStart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四叉树的</w:t>
      </w:r>
      <w:proofErr w:type="gramEnd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层级可以根据不同的应用进行相应的配置，对实时</w:t>
      </w:r>
      <w:proofErr w:type="gramStart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性胡复杂</w:t>
      </w:r>
      <w:proofErr w:type="gramEnd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度较低的应用可以通过</w:t>
      </w:r>
      <w:proofErr w:type="gramStart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增加四叉树</w:t>
      </w:r>
      <w:proofErr w:type="gramEnd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的深度来提高编码效率。如图所示是一个深度为3的TU</w:t>
      </w:r>
      <w:proofErr w:type="gramStart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四叉树划分</w:t>
      </w:r>
      <w:proofErr w:type="gramEnd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8D340A" w:rsidRDefault="00D15AA9" w:rsidP="003E1FB4">
      <w:pPr>
        <w:spacing w:line="360" w:lineRule="auto"/>
        <w:ind w:firstLineChars="200" w:firstLine="420"/>
        <w:jc w:val="center"/>
      </w:pPr>
      <w:r>
        <w:object w:dxaOrig="5071" w:dyaOrig="1831">
          <v:shape id="_x0000_i1111" type="#_x0000_t75" style="width:300.5pt;height:108.95pt" o:ole="">
            <v:imagedata r:id="rId16" o:title=""/>
          </v:shape>
          <o:OLEObject Type="Embed" ProgID="Visio.Drawing.15" ShapeID="_x0000_i1111" DrawAspect="Content" ObjectID="_1619468168" r:id="rId17"/>
        </w:object>
      </w:r>
    </w:p>
    <w:p w:rsidR="002154C2" w:rsidRDefault="002154C2" w:rsidP="002154C2">
      <w:pPr>
        <w:pStyle w:val="3"/>
        <w:spacing w:before="156" w:after="156"/>
        <w:ind w:left="712"/>
      </w:pPr>
      <w:r>
        <w:rPr>
          <w:rFonts w:hint="eastAsia"/>
        </w:rPr>
        <w:lastRenderedPageBreak/>
        <w:t>HEVC</w:t>
      </w:r>
      <w:proofErr w:type="gramStart"/>
      <w:r>
        <w:rPr>
          <w:rFonts w:hint="eastAsia"/>
        </w:rPr>
        <w:t>帧内预测编码</w:t>
      </w:r>
      <w:proofErr w:type="gramEnd"/>
    </w:p>
    <w:p w:rsidR="002154C2" w:rsidRDefault="002154C2" w:rsidP="002154C2">
      <w:pPr>
        <w:pStyle w:val="3"/>
        <w:spacing w:before="156" w:after="156"/>
        <w:ind w:left="712"/>
      </w:pPr>
      <w:r>
        <w:rPr>
          <w:rFonts w:hint="eastAsia"/>
        </w:rPr>
        <w:t>HEVC</w:t>
      </w:r>
      <w:r>
        <w:rPr>
          <w:rFonts w:hint="eastAsia"/>
        </w:rPr>
        <w:t>帧</w:t>
      </w:r>
      <w:r>
        <w:rPr>
          <w:rFonts w:hint="eastAsia"/>
        </w:rPr>
        <w:t>间</w:t>
      </w:r>
      <w:bookmarkStart w:id="0" w:name="_GoBack"/>
      <w:bookmarkEnd w:id="0"/>
      <w:r>
        <w:rPr>
          <w:rFonts w:hint="eastAsia"/>
        </w:rPr>
        <w:t>预测编码</w:t>
      </w:r>
    </w:p>
    <w:p w:rsidR="002154C2" w:rsidRPr="002154C2" w:rsidRDefault="002154C2" w:rsidP="002154C2">
      <w:pPr>
        <w:rPr>
          <w:rFonts w:hint="eastAsia"/>
        </w:rPr>
      </w:pPr>
    </w:p>
    <w:p w:rsidR="002154C2" w:rsidRPr="0046266B" w:rsidRDefault="002154C2" w:rsidP="003E1FB4">
      <w:pPr>
        <w:spacing w:line="360" w:lineRule="auto"/>
        <w:ind w:firstLineChars="200" w:firstLine="480"/>
        <w:jc w:val="center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</w:p>
    <w:p w:rsidR="00B91774" w:rsidRPr="00B91774" w:rsidRDefault="00B91774" w:rsidP="00B91774">
      <w:pPr>
        <w:pStyle w:val="2"/>
        <w:spacing w:before="156" w:after="156"/>
        <w:ind w:left="569"/>
      </w:pPr>
      <w:r>
        <w:rPr>
          <w:rFonts w:hint="eastAsia"/>
        </w:rPr>
        <w:t>CUDA</w:t>
      </w:r>
      <w:r>
        <w:rPr>
          <w:rFonts w:hint="eastAsia"/>
        </w:rPr>
        <w:t>关键技术</w:t>
      </w:r>
    </w:p>
    <w:p w:rsidR="007645C8" w:rsidRP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引言</w:t>
      </w:r>
    </w:p>
    <w:sectPr w:rsidR="007645C8" w:rsidRPr="00B9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340" w:rsidRDefault="00327340" w:rsidP="00B963F4">
      <w:r>
        <w:separator/>
      </w:r>
    </w:p>
  </w:endnote>
  <w:endnote w:type="continuationSeparator" w:id="0">
    <w:p w:rsidR="00327340" w:rsidRDefault="00327340" w:rsidP="00B9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340" w:rsidRDefault="00327340" w:rsidP="00B963F4">
      <w:r>
        <w:separator/>
      </w:r>
    </w:p>
  </w:footnote>
  <w:footnote w:type="continuationSeparator" w:id="0">
    <w:p w:rsidR="00327340" w:rsidRDefault="00327340" w:rsidP="00B9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5E3D"/>
    <w:multiLevelType w:val="hybridMultilevel"/>
    <w:tmpl w:val="F078CB96"/>
    <w:lvl w:ilvl="0" w:tplc="065077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DD4B9F"/>
    <w:multiLevelType w:val="hybridMultilevel"/>
    <w:tmpl w:val="AD4E3592"/>
    <w:lvl w:ilvl="0" w:tplc="D40A25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B4C101E"/>
    <w:multiLevelType w:val="hybridMultilevel"/>
    <w:tmpl w:val="AD4E3592"/>
    <w:lvl w:ilvl="0" w:tplc="D40A25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7E84983"/>
    <w:multiLevelType w:val="multilevel"/>
    <w:tmpl w:val="E61C86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74"/>
    <w:rsid w:val="00014A38"/>
    <w:rsid w:val="000B35F7"/>
    <w:rsid w:val="000D7D1E"/>
    <w:rsid w:val="000E6016"/>
    <w:rsid w:val="000F6401"/>
    <w:rsid w:val="0014099D"/>
    <w:rsid w:val="001B5CA4"/>
    <w:rsid w:val="002154C2"/>
    <w:rsid w:val="003020A2"/>
    <w:rsid w:val="00327340"/>
    <w:rsid w:val="003856F0"/>
    <w:rsid w:val="00393A04"/>
    <w:rsid w:val="003B2119"/>
    <w:rsid w:val="003B701F"/>
    <w:rsid w:val="003E1FB4"/>
    <w:rsid w:val="00406056"/>
    <w:rsid w:val="0043007A"/>
    <w:rsid w:val="004563D2"/>
    <w:rsid w:val="0046266B"/>
    <w:rsid w:val="00512441"/>
    <w:rsid w:val="00522765"/>
    <w:rsid w:val="00572B34"/>
    <w:rsid w:val="005B58E0"/>
    <w:rsid w:val="005B5DAC"/>
    <w:rsid w:val="005F0D7D"/>
    <w:rsid w:val="006905BB"/>
    <w:rsid w:val="006E37E6"/>
    <w:rsid w:val="007215FC"/>
    <w:rsid w:val="007504D2"/>
    <w:rsid w:val="007645C8"/>
    <w:rsid w:val="007B616F"/>
    <w:rsid w:val="007D4E6A"/>
    <w:rsid w:val="008030E8"/>
    <w:rsid w:val="00885600"/>
    <w:rsid w:val="008D340A"/>
    <w:rsid w:val="00904765"/>
    <w:rsid w:val="00925A5A"/>
    <w:rsid w:val="00945C8D"/>
    <w:rsid w:val="00950D40"/>
    <w:rsid w:val="009A1AA4"/>
    <w:rsid w:val="009A58C2"/>
    <w:rsid w:val="009F7FC6"/>
    <w:rsid w:val="00A558AC"/>
    <w:rsid w:val="00A70F06"/>
    <w:rsid w:val="00A95644"/>
    <w:rsid w:val="00B35970"/>
    <w:rsid w:val="00B431DF"/>
    <w:rsid w:val="00B91774"/>
    <w:rsid w:val="00B963F4"/>
    <w:rsid w:val="00BA2CB8"/>
    <w:rsid w:val="00D15AA9"/>
    <w:rsid w:val="00D30C71"/>
    <w:rsid w:val="00D44EC2"/>
    <w:rsid w:val="00D56DF4"/>
    <w:rsid w:val="00DC2EAC"/>
    <w:rsid w:val="00E62687"/>
    <w:rsid w:val="00F15A22"/>
    <w:rsid w:val="00FA14D2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B0AD5"/>
  <w15:chartTrackingRefBased/>
  <w15:docId w15:val="{AB170FAF-1463-4F26-9541-14A756F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91774"/>
    <w:pPr>
      <w:keepNext/>
      <w:pageBreakBefore/>
      <w:numPr>
        <w:numId w:val="1"/>
      </w:numPr>
      <w:tabs>
        <w:tab w:val="num" w:pos="601"/>
      </w:tabs>
      <w:wordWrap w:val="0"/>
      <w:spacing w:beforeLines="100" w:before="100" w:afterLines="100" w:after="100" w:line="360" w:lineRule="auto"/>
      <w:ind w:left="601" w:hanging="601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1774"/>
    <w:pPr>
      <w:keepNext/>
      <w:keepLines/>
      <w:numPr>
        <w:ilvl w:val="1"/>
        <w:numId w:val="1"/>
      </w:numPr>
      <w:wordWrap w:val="0"/>
      <w:adjustRightInd w:val="0"/>
      <w:snapToGrid w:val="0"/>
      <w:spacing w:beforeLines="50" w:before="120" w:afterLines="50" w:after="120" w:line="360" w:lineRule="auto"/>
      <w:ind w:leftChars="-2" w:left="568" w:hangingChars="204" w:hanging="573"/>
      <w:outlineLvl w:val="1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1774"/>
    <w:pPr>
      <w:keepNext/>
      <w:keepLines/>
      <w:numPr>
        <w:ilvl w:val="2"/>
        <w:numId w:val="1"/>
      </w:numPr>
      <w:tabs>
        <w:tab w:val="left" w:pos="709"/>
      </w:tabs>
      <w:wordWrap w:val="0"/>
      <w:snapToGrid w:val="0"/>
      <w:spacing w:beforeLines="50" w:before="120" w:afterLines="50" w:after="120" w:line="360" w:lineRule="auto"/>
      <w:ind w:leftChars="-3" w:left="711" w:hangingChars="298" w:hanging="718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1774"/>
    <w:pPr>
      <w:keepNext/>
      <w:keepLines/>
      <w:numPr>
        <w:ilvl w:val="3"/>
        <w:numId w:val="1"/>
      </w:numPr>
      <w:wordWrap w:val="0"/>
      <w:spacing w:before="120" w:beforeAutospacing="1" w:after="120" w:afterAutospacing="1" w:line="120" w:lineRule="exact"/>
      <w:ind w:left="862" w:hanging="862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B91774"/>
    <w:pPr>
      <w:keepNext/>
      <w:keepLines/>
      <w:numPr>
        <w:ilvl w:val="4"/>
        <w:numId w:val="1"/>
      </w:numPr>
      <w:wordWrap w:val="0"/>
      <w:spacing w:before="280" w:after="290" w:line="376" w:lineRule="auto"/>
      <w:ind w:firstLine="0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774"/>
    <w:pPr>
      <w:keepNext/>
      <w:keepLines/>
      <w:numPr>
        <w:ilvl w:val="5"/>
        <w:numId w:val="1"/>
      </w:numPr>
      <w:wordWrap w:val="0"/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774"/>
    <w:pPr>
      <w:keepNext/>
      <w:keepLines/>
      <w:numPr>
        <w:ilvl w:val="6"/>
        <w:numId w:val="1"/>
      </w:numPr>
      <w:wordWrap w:val="0"/>
      <w:spacing w:before="240" w:after="64" w:line="320" w:lineRule="auto"/>
      <w:ind w:firstLine="0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774"/>
    <w:pPr>
      <w:keepNext/>
      <w:keepLines/>
      <w:numPr>
        <w:ilvl w:val="7"/>
        <w:numId w:val="1"/>
      </w:numPr>
      <w:wordWrap w:val="0"/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774"/>
    <w:pPr>
      <w:keepNext/>
      <w:keepLines/>
      <w:numPr>
        <w:ilvl w:val="8"/>
        <w:numId w:val="1"/>
      </w:numPr>
      <w:wordWrap w:val="0"/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774"/>
    <w:rPr>
      <w:rFonts w:ascii="Times New Roman" w:eastAsia="黑体" w:hAnsi="Times New Roman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91774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91774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91774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1774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917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91774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917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9177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B9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3F4"/>
    <w:rPr>
      <w:sz w:val="18"/>
      <w:szCs w:val="18"/>
    </w:rPr>
  </w:style>
  <w:style w:type="paragraph" w:styleId="a7">
    <w:name w:val="List Paragraph"/>
    <w:basedOn w:val="a"/>
    <w:uiPriority w:val="34"/>
    <w:qFormat/>
    <w:rsid w:val="00302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</dc:creator>
  <cp:keywords/>
  <dc:description/>
  <cp:lastModifiedBy>董 子恒</cp:lastModifiedBy>
  <cp:revision>40</cp:revision>
  <dcterms:created xsi:type="dcterms:W3CDTF">2019-05-15T04:11:00Z</dcterms:created>
  <dcterms:modified xsi:type="dcterms:W3CDTF">2019-05-15T15:28:00Z</dcterms:modified>
</cp:coreProperties>
</file>