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Business Rules Catalog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IMETS-BR-007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64"/>
      </w:pPr>
      <w:r>
        <w:t xml:space="preserve">This catalog enumerates the business rules that govern platform behaviour — the constraints, derivations, and policies that must hold regardless of UI. Rules are grouped by domain, each with a stable ID (BR-&lt;area&gt;-&lt;n&gt;), the rule statement, and its rationale or source in the existing system. Rules are authoritative inputs to validation, server-side enforcement and test design.</w:t>
      </w:r>
    </w:p>
    <w:p>
      <w:pPr>
        <w:pStyle w:val="Heading1"/>
      </w:pPr>
      <w:r>
        <w:t xml:space="preserve">2. Lead Scoring Rules</w:t>
      </w:r>
    </w:p>
    <w:p>
      <w:pPr>
        <w:spacing w:after="120" w:line="264"/>
      </w:pPr>
      <w:r>
        <w:t xml:space="preserve">The lead score is a capped 0–100 value derived deterministically from profile signals. It must be reproducible and explainable (a contribution breakdown is shown to counselors).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valid email address adds +10 to the lead score.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lib/lead-scoring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phone number with at least 7 digits adds +10.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lib/lead-scoring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course of interest adds +5, capped at +20 total.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lib/lead-scoring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senior job title (manager, director, head, lead, chief, principal, consultant, senior, specialist, coordinator, supervisor, founder, owner) adds +15; any other non-empty title adds +5.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SENIOR_TITLE_RE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specified education level adds +5; a country adds +8; a specialty adds +3.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lib/lead-scoring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BR-SCORE-6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total score is capped at 100.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lib/lead-scoring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BR-SCORE-7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contribution is labelled ‘earned’ or ‘available’ so the counselor sees how to improve the score.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ScoreContribution</w:t>
            </w:r>
          </w:p>
        </w:tc>
      </w:tr>
    </w:tbl>
    <w:p>
      <w:pPr>
        <w:pStyle w:val="Heading1"/>
      </w:pPr>
      <w:r>
        <w:t xml:space="preserve">3. Lead &amp; Pipeline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creating a lead, the system shall check for an existing lead with the same phone number and warn the user.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check-phone endpoint; duplicate prevention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lead may belong to multiple pipelines simultaneously, each tracking its own current stage.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Lead.pipelines[] (LeadPipelineRef)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stages are ordered; a lead's progress is its stage's position within its pipeline.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PipelineStage.order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stage change shall be recorded as an activity with a timestamp.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LeadActivity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Moving a lead to ‘Waiting for Payment’ should prompt creation of an invoice/payment plan.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design notes (stage automation)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BR-LEAD-6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Moving a lead to ‘Enrolled’ shall provision LMS/group access and reflect the enrolment commercially.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Convert-to-enrolment flow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BR-LEAD-7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follow-up is overdue when its due date is past and status ≠ done; overdue follow-ups are surfaced for action.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LeadFollowUp.status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BR-LEAD-8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(hot/warm/cold) should align with score and recent activity (recommended: auto-derive rather than purely manual).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review recommendation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BR-LEAD-9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Counselors see only their assigned leads; managers/admins see all (scope enforced server-side).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 ‘Self’ scope</w:t>
            </w:r>
          </w:p>
        </w:tc>
      </w:tr>
    </w:tbl>
    <w:p>
      <w:pPr>
        <w:pStyle w:val="Heading1"/>
      </w:pPr>
      <w:r>
        <w:t xml:space="preserve">4. Enrolment &amp; Group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BR-ENR-1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student is enrolled into a group with a per-student total fee, paid amount, progress and completion flag.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GroupStudentInput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BR-ENR-2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status follows the lifecycle pending → inprogress/active → finished/completed.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Group.status enum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BR-ENR-3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group's revenue, collected and outstanding are derived from its students' fees and payments.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financial fields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BR-ENR-4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gain access to LMS course content only when assigned (directly or via their group).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student/group to LMS course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BR-ENR-5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group schedule (lecture day, start/end time, Zoom link) is surfaced to enrolled students' schedules.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GroupSchedule → student schedule</w:t>
            </w:r>
          </w:p>
        </w:tc>
      </w:tr>
    </w:tbl>
    <w:p>
      <w:pPr>
        <w:pStyle w:val="Heading1"/>
      </w:pPr>
      <w:r>
        <w:t xml:space="preserve">5. Payment, Installment &amp; Refund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Monetary amounts carry a currency from {EGP, SAR, USD}; financial reporting requires a base-currency view.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currency enum; multi-currency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 installment plan comprises ordered installments, each with amount, due date and status (PAID/DUE/SCHEDULED).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LeadInstallment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plan's status is PENDING (nothing paid), PARTIAL (some paid), or PAID (all paid).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LeadPaymentPlan.status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Marking a bank-transfer/cash payment paid should require a proof-of-payment receipt and finance verification (recommended hardening).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review; LeadReceipt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Outstanding = total − collected; at-risk revenue includes plans with overdue installments.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KPIs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BR-PAY-6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Reminders should be sent for upcoming and overdue installments via the student's preferred channel.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review recommendation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BR-PAY-7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Refunds follow the workflow requested → approved → processed (or rejected); each step is recorded.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refunds.service; CRM review</w:t>
            </w:r>
          </w:p>
        </w:tc>
      </w:tr>
    </w:tbl>
    <w:p>
      <w:pPr>
        <w:pStyle w:val="Heading1"/>
      </w:pPr>
      <w:r>
        <w:t xml:space="preserve">6. Assessment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BR-QZ-1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quiz attempt is time-bound; answers are saved incrementally and the attempt is scored on submit.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attempts (start/answers/submit)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BR-QZ-2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On time expiry, the attempt is auto-submitted with whatever answers were saved.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timed-attempt semantics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BR-QZ-3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student's latest attempt/result is retrievable and contributes to their grades/transcript.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MY_LATEST; transcript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BR-QZ-4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Bulk-uploaded quiz questions (Excel) must be validated before acceptance.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upload-excel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BR-ASG-1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assignment submission is visible to the instructor and progresses to a graded status.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assignments submissions</w:t>
            </w:r>
          </w:p>
        </w:tc>
      </w:tr>
    </w:tbl>
    <w:p>
      <w:pPr>
        <w:pStyle w:val="Heading1"/>
      </w:pPr>
      <w:r>
        <w:t xml:space="preserve">7. Certificate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BR-CRT-1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certificate carries a unique verification code resolvable on a public verification page.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verifyCertificateByCode; /certificates/verify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BR-CRT-2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PDFs are served via a proxy to control access/rendering.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/api/certificates/pdf-proxy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BR-CRT-3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certificate is associated with a specific student and course/enrolment.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 entity</w:t>
            </w:r>
          </w:p>
        </w:tc>
      </w:tr>
    </w:tbl>
    <w:p>
      <w:pPr>
        <w:pStyle w:val="Heading1"/>
      </w:pPr>
      <w:r>
        <w:t xml:space="preserve">8. Security, Access &amp; Content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BR-SEC-1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requests must present a bearer token; a 401 response signals session expiry and triggers re-auth/refresh.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api-client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BR-SEC-2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 areas are mutually exclusive by role: admin, employee/CRM, and student areas gate each other.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middleware roleAccessMap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BR-SEC-3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videos are streamed via short-lived, server-issued OTP tokens (default TTL 300s) and must not be directly downloadable.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vdocipher/otp; DEFAULT_TTL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BR-SEC-4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secrets (e.g. VdoCipher) are resolved from secure settings or environment, never exposed to the client.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resolveApiSecret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BR-SEC-5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GET endpoints are cached (ISR, default 300s); authenticated reads and all mutations are no-store (always fresh).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api-client caching policy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BR-SEC-6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CRM actions (assignment, conversion, export, refunds) are recorded in an audit trail with actor and timestamp.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AuditDAL</w:t>
            </w:r>
          </w:p>
        </w:tc>
      </w:tr>
    </w:tbl>
    <w:p>
      <w:pPr>
        <w:pStyle w:val="Heading1"/>
      </w:pPr>
      <w:r>
        <w:t xml:space="preserve">9. Data Protection &amp; Compliance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BR-DP-1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On a verified data-subject request, the system shall export every record held about the individual (access + portability).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/api/crm/data-export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BR-DP-2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Data-subject exports shall themselves be logged and (recommended) rate-limited and admin/finance-authorised.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data-export route TODOs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BR-DP-3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Marketing-communication consent (WhatsApp/email/SMS opt-in) should be captured at lead creation (recommended for PDPL/GDPR).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review recommendation</w:t>
            </w:r>
          </w:p>
        </w:tc>
      </w:tr>
    </w:tbl>
    <w:p>
      <w:pPr>
        <w:pStyle w:val="Heading1"/>
      </w:pPr>
      <w:r>
        <w:t xml:space="preserve">10. Internationalisation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710"/>
        <w:gridCol w:w="25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 / source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BR-I18N-1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English is the default locale and served without a URL prefix; Arabic is served under /ar.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next-intl routing (as-needed)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BR-I18N-2</w:t>
            </w:r>
          </w:p>
        </w:tc>
        <w:tc>
          <w:tcPr>
            <w:tcW w:type="dxa" w:w="5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Catalog, instructor and marketing entities store bilingual fields; the locale determines which is rendered.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*Ar/*En fields</w:t>
            </w:r>
          </w:p>
        </w:tc>
      </w:tr>
    </w:tbl>
    <w:p>
      <w:pPr>
        <w:pStyle w:val="Heading1"/>
      </w:pPr>
      <w:r>
        <w:t xml:space="preserve">11. Recommended New Rules (from CRM review)</w:t>
      </w:r>
    </w:p>
    <w:p>
      <w:pPr>
        <w:spacing w:after="120" w:line="264"/>
      </w:pPr>
      <w:r>
        <w:t xml:space="preserve">The legacy CRM review surfaced gaps worth formalising as rules in the new build: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Capture loss reason on ‘Lost/Dropped’ leads (price, timing, competitor, ghosted) for funnel analytics.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Apply stage-age SLA colouring (green→amber→red) and a 5-minute first-response SLA on fresh leads.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Detect and offer to merge duplicate leads (same phone/email), not merely warn at creation.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Track counselor commission per closed enrolment with payout status.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Treat scholarships/discounts as first-class entities rather than tags.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IMETS-BR-007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Business Rules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2026-06-13T23:08:33.297Z</dcterms:created>
  <dcterms:modified xsi:type="dcterms:W3CDTF">2026-06-13T23:08:33.297Z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