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Non-Functional Requirements (NFR)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IMETS-NFR-009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20" w:line="264"/>
      </w:pPr>
      <w:r>
        <w:t xml:space="preserve">This document specifies the non-functional requirements (NFRs) — the quality attributes the IMETS LMS + CRM platform must satisfy regardless of feature. They are derived from the existing system's characteristics (Next.js 16 App Router frontend, NestJS/MongoDB API, secure video, multi-currency, bilingual, regulated personal data) and constrain the new build. Each NFR is testable.</w:t>
      </w:r>
    </w:p>
    <w:p>
      <w:pPr>
        <w:pStyle w:val="Heading1"/>
      </w:pPr>
      <w:r>
        <w:t xml:space="preserve">2. Performance &amp;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catalog pages shall use incremental static regeneration (ISR) so visitors are not blocked on cold API calls.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GETs cached ~300s; TTFB &lt; 1s on cached pages.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reads and all mutations shall always return fresh data (no-store).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stale data after a write; verified by integration tests.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endpoints shall be paginated with server-side filtering.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page size bounded; p95 list response &lt; 800ms.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CRM Kanban and dashboards shall remain responsive with realistic data volumes.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p95 board render &lt; 1.5s for ≤ 1,000 visible leads.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NFR-PERF-5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platform shall scale horizontally behind the existing API without code change.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Stateless frontend; sessions in token/cookie.</w:t>
            </w:r>
          </w:p>
        </w:tc>
      </w:tr>
    </w:tbl>
    <w:p>
      <w:pPr>
        <w:pStyle w:val="Heading1"/>
      </w:pPr>
      <w:r>
        <w:t xml:space="preserve">3.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API traffic shall be over HTTPS/TLS.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plaintext transport; HSTS enabled.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shall use bearer access tokens with refresh tokens; 401 triggers re-auth/refresh.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Tokens never logged; refresh rotates.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Authorisation shall be enforced server-side for every endpoint; client gating is UX-only.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Penetration test: no privilege escalation via client.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secrets (VdoCipher, Proxycurl, gateways) shall never reach the client.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Secrets only in server env / secure settings.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video shall use DRM/secure streaming via short-lived OTP; direct download blocked.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TTL ≤ 300s; no direct media URL.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NFR-SEC-6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actions shall be recorded in an immutable audit trail (actor, action, timestamp).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entries for assignment, conversion, refund, export.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NFR-SEC-7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Inputs shall be validated at the boundary (schema validation) before persistence.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Zod/DTO validation; malformed input rejected.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NFR-SEC-8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Obfuscated/dynamic code-execution mechanisms shall not be present in the new build.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Legacy internal-rules loader excluded; code review clean.</w:t>
            </w:r>
          </w:p>
        </w:tc>
      </w:tr>
    </w:tbl>
    <w:p>
      <w:pPr>
        <w:pStyle w:val="Heading1"/>
      </w:pPr>
      <w:r>
        <w:t xml:space="preserve">4.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frontend shall degrade gracefully when the API or an integration is unavailable.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Result.ok=false surfaces a user-friendly message; no white screen.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enrichment shall fail open (manual entry continues) if Proxycurl is unavailable.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data loss on enrichment failure.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attempts shall auto-save and auto-submit on time expiry to avoid lost work.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Answers persisted incrementally.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availability for the platform.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99.5% monthly (excl. planned maintenance).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NFR-REL-5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Backups and recovery for the system of record (MongoDB).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RPO ≤ 24h, RTO ≤ 4h (to be confirmed with ops).</w:t>
            </w:r>
          </w:p>
        </w:tc>
      </w:tr>
    </w:tbl>
    <w:p>
      <w:pPr>
        <w:pStyle w:val="Heading1"/>
      </w:pPr>
      <w:r>
        <w:t xml:space="preserve">5. Usability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application shall be fully bilingual (English default, Arabic under /ar) with locale-aware routing.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user-facing strings localised; RTL supported for Arabic.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workflows shall minimise clicks for high-frequency actions (call/WhatsApp/stage move).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lead action ≤ 2 clicks.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UI should meet WCAG 2.1 AA (delivered separately by the UI workstream).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Audited by the design team (out of scope here).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NFR-USE-4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messages shall be human-readable and actionable.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raw stack traces shown to users.</w:t>
            </w:r>
          </w:p>
        </w:tc>
      </w:tr>
    </w:tbl>
    <w:p>
      <w:pPr>
        <w:pStyle w:val="Heading1"/>
      </w:pPr>
      <w:r>
        <w:t xml:space="preserve">6. Compliance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NFR-CMP-1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platform shall support data-subject access &amp; portability (GDPR / Saudi PDPL).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export per subject available on request.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NFR-CMP-2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Data-subject exports shall be authorised, rate-limited and logged.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recorded in audit trail; admin/finance only.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NFR-CMP-3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Marketing-communication consent shall be capturable and respected.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Opt-in flags stored per channel (recommended).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NFR-CMP-4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data shall be retained only as long as necessary and be erasable on request.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Retention policy + erasure workflow (to define).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NFR-CMP-5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Financial records shall support multi-currency reporting with a base-currency view.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EGP/SAR/USD normalised for reporting.</w:t>
            </w:r>
          </w:p>
        </w:tc>
      </w:tr>
    </w:tbl>
    <w:p>
      <w:pPr>
        <w:pStyle w:val="Heading1"/>
      </w:pPr>
      <w:r>
        <w:t xml:space="preserve">7. Maintainability &amp; 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NFR-MNT-1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I/O shall flow through a single typed service/HTTP layer (no ad-hoc fetch/URL building).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calls via services + endpoint catalogs.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NFR-MNT-2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API base URL and auth-token source shall be configurable, not hard-coded.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Delivered: configurable api-client (integration package).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NFR-MNT-3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Endpoints shall be defined once in catalogs and reused, ensuring a single source of truth.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23 endpoint catalogs; no duplicated literals.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NFR-MNT-4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codebase shall be strictly typed and pass type-checking in CI.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tsc --noEmit passes (integration package verified).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NFR-MNT-5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integration layer shall be framework-agnostic enough to reuse in the new project.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Decoupled from store/Next runtime; injectable token.</w:t>
            </w:r>
          </w:p>
        </w:tc>
      </w:tr>
    </w:tbl>
    <w:p>
      <w:pPr>
        <w:pStyle w:val="Heading1"/>
      </w:pPr>
      <w:r>
        <w:t xml:space="preserve">8.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NFR-OBS-1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business events (conversions, payments, refunds, logins) shall be observable.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Events captured for analytics/audit.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NFR-OBS-2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Errors shall be captured with enough context to diagnose without exposing PII.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monitoring integrated (to select).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NFR-OBS-3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dashboards shall reflect platform health and business KPIs.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+ ops metrics.</w:t>
            </w:r>
          </w:p>
        </w:tc>
      </w:tr>
    </w:tbl>
    <w:p>
      <w:pPr>
        <w:pStyle w:val="Heading1"/>
      </w:pPr>
      <w:r>
        <w:t xml:space="preserve">9. Internationalisation &amp; Localisation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/ metric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NFR-I18N-1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Locale selection shall be URL-based (as-needed prefix) and persisted per user where applicable.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 (en) and /ar resolve correctly.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NFR-I18N-2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Dates, currencies and numbers shall format per locale; times stored in UTC.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times UTC, rendered in student TZ.</w:t>
            </w:r>
          </w:p>
        </w:tc>
      </w:tr>
    </w:tbl>
    <w:p>
      <w:pPr>
        <w:pStyle w:val="Heading1"/>
      </w:pPr>
      <w:r>
        <w:t xml:space="preserve">10. Constraints &amp; Assumptions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The backend API is an existing, reusable service; the new build integrates rather than re-platforms it.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Browser support targets modern evergreen browsers; the frontend stack assumes Next.js App Router/React capabilities.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Secure video requires a configured VdoCipher account; enrichment requires a Proxycurl key (optional, degrades gracefully).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Regulatory scope includes GDPR and Saudi PDPL; final retention/erasure policy to be confirmed with the DPO.</w:t>
      </w:r>
    </w:p>
    <w:p>
      <w:pPr>
        <w:pStyle w:val="Heading1"/>
      </w:pPr>
      <w:r>
        <w:t xml:space="preserve">11. Verification Approach</w:t>
      </w:r>
    </w:p>
    <w:p>
      <w:pPr>
        <w:spacing w:after="120" w:line="264"/>
      </w:pPr>
      <w:r>
        <w:t xml:space="preserve">NFRs shall be verified through a mix of automated tests (type-checking, integration tests for caching/auth behaviour, schema-validation tests), non-functional testing (load tests for performance targets, security review/penetration test for SEC NFRs), and operational evidence (availability/backup metrics from ops). Each NFR above states a concrete acceptance metric to make verification objective.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IMETS-NFR-009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Non-Functional Requirements (NFR)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2026-06-13T23:08:33.859Z</dcterms:created>
  <dcterms:modified xsi:type="dcterms:W3CDTF">2026-06-13T23:08:33.859Z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