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7.png" ContentType="image/png"/>
  <Override PartName="/word/media/rId74.png" ContentType="image/png"/>
  <Override PartName="/word/media/rId61.png" ContentType="image/png"/>
  <Override PartName="/word/media/rId78.png" ContentType="image/png"/>
  <Override PartName="/word/media/rId65.png" ContentType="image/png"/>
  <Override PartName="/word/media/rId82.png" ContentType="image/png"/>
  <Override PartName="/word/media/rId69.png" ContentType="image/png"/>
  <Override PartName="/word/media/rId86.png" ContentType="image/png"/>
  <Override PartName="/word/media/rId44.png" ContentType="image/png"/>
  <Override PartName="/word/media/rId40.png" ContentType="image/png"/>
  <Override PartName="/word/media/rId52.png" ContentType="image/png"/>
  <Override PartName="/word/media/rId48.png" ContentType="image/png"/>
  <Override PartName="/word/media/rId24.png" ContentType="image/png"/>
  <Override PartName="/word/media/rId2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Services</w:t>
      </w:r>
      <w:r>
        <w:t xml:space="preserve"> </w:t>
      </w:r>
      <w:r>
        <w:t xml:space="preserve">trade</w:t>
      </w:r>
      <w:r>
        <w:t xml:space="preserve"> </w:t>
      </w:r>
      <w:r>
        <w:t xml:space="preserve">and</w:t>
      </w:r>
      <w:r>
        <w:t xml:space="preserve"> </w:t>
      </w:r>
      <w:r>
        <w:t xml:space="preserve">the</w:t>
      </w:r>
      <w:r>
        <w:t xml:space="preserve"> </w:t>
      </w:r>
      <w:r>
        <w:t xml:space="preserve">Indonesian</w:t>
      </w:r>
      <w:r>
        <w:t xml:space="preserve"> </w:t>
      </w:r>
      <w:r>
        <w:t xml:space="preserve">third</w:t>
      </w:r>
      <w:r>
        <w:t xml:space="preserve"> </w:t>
      </w:r>
      <w:r>
        <w:t xml:space="preserve">unbundling</w:t>
      </w:r>
    </w:p>
    <w:p>
      <w:pPr>
        <w:pStyle w:val="Author"/>
      </w:pPr>
      <w:r>
        <w:t xml:space="preserve">Krisna</w:t>
      </w:r>
      <w:r>
        <w:t xml:space="preserve"> </w:t>
      </w:r>
      <w:r>
        <w:t xml:space="preserve">Gupta</w:t>
      </w:r>
    </w:p>
    <w:p>
      <w:pPr>
        <w:pStyle w:val="Author"/>
      </w:pPr>
      <w:r>
        <w:t xml:space="preserve">Dhany</w:t>
      </w:r>
      <w:r>
        <w:t xml:space="preserve"> </w:t>
      </w:r>
      <w:r>
        <w:t xml:space="preserve">S.</w:t>
      </w:r>
      <w:r>
        <w:t xml:space="preserve"> </w:t>
      </w:r>
      <w:r>
        <w:t xml:space="preserve">Ratana</w:t>
      </w:r>
    </w:p>
    <w:p>
      <w:pPr>
        <w:pStyle w:val="Date"/>
      </w:pPr>
      <w:r>
        <w:t xml:space="preserve">July</w:t>
      </w:r>
      <w:r>
        <w:t xml:space="preserve"> </w:t>
      </w:r>
      <w:r>
        <w:t xml:space="preserve">14,</w:t>
      </w:r>
      <w:r>
        <w:t xml:space="preserve"> </w:t>
      </w:r>
      <w:r>
        <w:t xml:space="preserve">2024</w:t>
      </w:r>
    </w:p>
    <w:p>
      <w:pPr>
        <w:pStyle w:val="AbstractTitle"/>
      </w:pPr>
      <w:r>
        <w:t xml:space="preserve">abstract</w:t>
      </w:r>
    </w:p>
    <w:p>
      <w:pPr>
        <w:pStyle w:val="Abstract"/>
      </w:pPr>
      <w:r>
        <w:t xml:space="preserve">Awokowkoawkoawk.</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imedk\AppData\Local\Program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document is a work in progress. Please do not cite. Comments are welcomed. For replication see</w:t>
            </w:r>
            <w:r>
              <w:t xml:space="preserve"> </w:t>
            </w:r>
            <w:hyperlink r:id="rId23">
              <w:r>
                <w:rPr>
                  <w:rStyle w:val="Hyperlink"/>
                </w:rPr>
                <w:t xml:space="preserve">here</w:t>
              </w:r>
            </w:hyperlink>
          </w:p>
        </w:tc>
      </w:tr>
    </w:tbl>
    <w:bookmarkStart w:id="32" w:name="introduction"/>
    <w:p>
      <w:pPr>
        <w:pStyle w:val="Heading2"/>
      </w:pPr>
      <w:r>
        <w:t xml:space="preserve">Introduction</w:t>
      </w:r>
    </w:p>
    <w:p>
      <w:pPr>
        <w:pStyle w:val="FirstParagraph"/>
      </w:pPr>
      <w:r>
        <w:t xml:space="preserve">Trade in services is growing in importance all over the world, Indonesia included.</w:t>
      </w:r>
      <w:r>
        <w:t xml:space="preserve"> </w:t>
      </w:r>
      <w:hyperlink w:anchor="fig-1">
        <w:r>
          <w:rPr>
            <w:rStyle w:val="Hyperlink"/>
          </w:rPr>
          <w:t xml:space="preserve">Figure 1</w:t>
        </w:r>
      </w:hyperlink>
      <w:r>
        <w:t xml:space="preserve"> </w:t>
      </w:r>
      <w:r>
        <w:t xml:space="preserve">shows Indonesia’s export and import in services taken from Indonesian Statistic Bureau compiled by the Central Bank</w:t>
      </w:r>
      <w:r>
        <w:t xml:space="preserve"> </w:t>
      </w:r>
      <w:r>
        <w:t xml:space="preserve">(Bank Indonesia, n.d.)</w:t>
      </w:r>
      <w:r>
        <w:t xml:space="preserve">. Indonesia’s services trade is growing steadily from 2000, only to be interrupted by the COVID-19 pandemic. Export service is dominated by tourism, while import services is dominated by logistics. While the trend is increasing, it is evident that Indonesia’s import of services has always been dominating exports.</w:t>
      </w:r>
    </w:p>
    <w:tbl>
      <w:tblPr>
        <w:tblStyle w:val="Table"/>
        <w:tblW w:type="pct" w:w="5000"/>
        <w:tblLook w:firstRow="0" w:lastRow="0" w:firstColumn="0" w:lastColumn="0" w:noHBand="0" w:noVBand="0" w:val="0000"/>
        <w:jc w:val="start"/>
        <w:tblLayout w:type="fixed"/>
      </w:tblPr>
      <w:tblGrid>
        <w:gridCol w:w="7920"/>
      </w:tblGrid>
      <w:tr>
        <w:tc>
          <w:tcPr/>
          <w:bookmarkStart w:id="27" w:name="fig-1"/>
          <w:p>
            <w:pPr>
              <w:pStyle w:val="Compact"/>
              <w:jc w:val="center"/>
            </w:pPr>
            <w:r>
              <w:drawing>
                <wp:inline>
                  <wp:extent cx="4620126" cy="3696101"/>
                  <wp:effectExtent b="0" l="0" r="0" t="0"/>
                  <wp:docPr descr="" title="" id="25" name="Picture"/>
                  <a:graphic>
                    <a:graphicData uri="http://schemas.openxmlformats.org/drawingml/2006/picture">
                      <pic:pic>
                        <pic:nvPicPr>
                          <pic:cNvPr descr="services_document_files/figure-docx/fig-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Indonesian trade in services</w:t>
            </w:r>
          </w:p>
          <w:bookmarkEnd w:id="27"/>
        </w:tc>
      </w:tr>
    </w:tbl>
    <w:p>
      <w:pPr>
        <w:pStyle w:val="BodyText"/>
      </w:pPr>
      <w:r>
        <w:t xml:space="preserve">Indonesian government often concerned with deficit trade, but trade in services has often neglected in the discussion. Indeed, trade balance in goods are often far outweight the deficit in its services counterpart, as made apparent by</w:t>
      </w:r>
      <w:r>
        <w:t xml:space="preserve"> </w:t>
      </w:r>
      <w:hyperlink w:anchor="fig-2">
        <w:r>
          <w:rPr>
            <w:rStyle w:val="Hyperlink"/>
          </w:rPr>
          <w:t xml:space="preserve">Figure 2</w:t>
        </w:r>
      </w:hyperlink>
      <w:r>
        <w:t xml:space="preserve">. However, while Indonesia’s trade balance fluctuates along with commodity prices and global demand in general, services trade deficit is consistent. Additionally, Indonesia’s reliance on services import went up right after COVID-19 and seems to stabilize in a higher than pre-pandemic level. With the increasing role of services in the global trade, the deficit looks to be even more important in Indonesia’s current account in the future.</w:t>
      </w:r>
    </w:p>
    <w:tbl>
      <w:tblPr>
        <w:tblStyle w:val="Table"/>
        <w:tblW w:type="pct" w:w="5000"/>
        <w:tblLook w:firstRow="0" w:lastRow="0" w:firstColumn="0" w:lastColumn="0" w:noHBand="0" w:noVBand="0" w:val="0000"/>
        <w:jc w:val="start"/>
        <w:tblLayout w:type="fixed"/>
      </w:tblPr>
      <w:tblGrid>
        <w:gridCol w:w="7920"/>
      </w:tblGrid>
      <w:tr>
        <w:tc>
          <w:tcPr/>
          <w:bookmarkStart w:id="31" w:name="fig-2"/>
          <w:p>
            <w:pPr>
              <w:pStyle w:val="Compact"/>
              <w:jc w:val="center"/>
            </w:pPr>
            <w:r>
              <w:drawing>
                <wp:inline>
                  <wp:extent cx="4620126" cy="3696101"/>
                  <wp:effectExtent b="0" l="0" r="0" t="0"/>
                  <wp:docPr descr="" title="" id="29" name="Picture"/>
                  <a:graphic>
                    <a:graphicData uri="http://schemas.openxmlformats.org/drawingml/2006/picture">
                      <pic:pic>
                        <pic:nvPicPr>
                          <pic:cNvPr descr="services_document_files/figure-docx/fig-2-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Net trade in goods and services of Indonesia, 200</w:t>
            </w:r>
          </w:p>
          <w:bookmarkEnd w:id="31"/>
        </w:tc>
      </w:tr>
    </w:tbl>
    <w:p>
      <w:pPr>
        <w:pStyle w:val="BodyText"/>
      </w:pPr>
      <w:r>
        <w:t xml:space="preserve">The importance of trade in services goes beyond current account. With the ever decreasing cost of trade, separating a value up to tasks level (i.e., the third unbundling) is on the horizon</w:t>
      </w:r>
      <w:r>
        <w:t xml:space="preserve"> </w:t>
      </w:r>
      <w:r>
        <w:t xml:space="preserve">(Baldwin 2011; Kimura 2018)</w:t>
      </w:r>
      <w:r>
        <w:t xml:space="preserve">. Feedback mechanism from the third unbundling may benefits domestic manufacturing</w:t>
      </w:r>
      <w:r>
        <w:t xml:space="preserve"> </w:t>
      </w:r>
      <w:r>
        <w:t xml:space="preserve">(Kimura 2018)</w:t>
      </w:r>
      <w:r>
        <w:t xml:space="preserve">. Therefore, services trade may be important in the next stage of globalization.</w:t>
      </w:r>
    </w:p>
    <w:p>
      <w:pPr>
        <w:pStyle w:val="BodyText"/>
      </w:pPr>
      <w:r>
        <w:t xml:space="preserve">This chapter have at least two objectives. First, we explores the general trade in services in Indonesia. We use BaTIS data</w:t>
      </w:r>
      <w:r>
        <w:t xml:space="preserve"> </w:t>
      </w:r>
      <w:r>
        <w:t xml:space="preserve">(WTO/OECD 2022; Liberatore and Wettstein 2021)</w:t>
      </w:r>
      <w:r>
        <w:t xml:space="preserve"> </w:t>
      </w:r>
      <w:r>
        <w:t xml:space="preserve">to show Indonesia’s most important services trade and country partners for both export and import. Trade in services has been increasing in importance, especially in the rise of deep trade agreements involving integration in trade in services as well as goods</w:t>
      </w:r>
      <w:r>
        <w:t xml:space="preserve"> </w:t>
      </w:r>
      <w:r>
        <w:t xml:space="preserve">(Patunru 2023)</w:t>
      </w:r>
      <w:r>
        <w:t xml:space="preserve">. Thus, trade in services’ profile of Indonesia will be most useful to Indonesian academics and policy makers.</w:t>
      </w:r>
    </w:p>
    <w:p>
      <w:pPr>
        <w:pStyle w:val="BodyText"/>
      </w:pPr>
      <w:r>
        <w:t xml:space="preserve">Secondly, we investigate the potency of the feedback mechanism from the third unbundling a la</w:t>
      </w:r>
      <w:r>
        <w:t xml:space="preserve"> </w:t>
      </w:r>
      <w:r>
        <w:t xml:space="preserve">Kimura (2018)</w:t>
      </w:r>
      <w:r>
        <w:t xml:space="preserve">. That is, we look at how much imported services are embedded in Indonesia’s manufacturing sectors aggregated into ICIO classifications. We do this in two ways. First, we use ARDL</w:t>
      </w:r>
      <w:r>
        <w:t xml:space="preserve"> </w:t>
      </w:r>
      <w:r>
        <w:t xml:space="preserve">(Pesaran and Smith 1995)</w:t>
      </w:r>
      <w:r>
        <w:t xml:space="preserve"> </w:t>
      </w:r>
      <w:r>
        <w:t xml:space="preserve">to see whether services imports cointegrate with manufacturing exports and GDP. Secondly, we utilize Inter-Country Input-Output (ICIO) data from OECD</w:t>
      </w:r>
      <w:r>
        <w:t xml:space="preserve"> </w:t>
      </w:r>
      <w:r>
        <w:t xml:space="preserve">(OECD 2023)</w:t>
      </w:r>
      <w:r>
        <w:t xml:space="preserve"> </w:t>
      </w:r>
      <w:r>
        <w:t xml:space="preserve">to look at the importance of services for Indonesian manufacturing.</w:t>
      </w:r>
    </w:p>
    <w:p>
      <w:pPr>
        <w:pStyle w:val="BodyText"/>
      </w:pPr>
      <w:r>
        <w:t xml:space="preserve">We arrange this chapter in the following. Section 2 discusses the development in research concerning services trade and its development in Indonesia, section 3 discusses about data and methods, section 4 explores Indonesian services trade as well as some third unbundling results, and section 5 concludes.</w:t>
      </w:r>
    </w:p>
    <w:bookmarkEnd w:id="32"/>
    <w:bookmarkStart w:id="33" w:name="review-on-services-trade"/>
    <w:p>
      <w:pPr>
        <w:pStyle w:val="Heading2"/>
      </w:pPr>
      <w:r>
        <w:t xml:space="preserve">Review on services trade</w:t>
      </w:r>
    </w:p>
    <w:p>
      <w:pPr>
        <w:pStyle w:val="FirstParagraph"/>
      </w:pPr>
      <w:r>
        <w:t xml:space="preserve">kimura</w:t>
      </w:r>
    </w:p>
    <w:p>
      <w:pPr>
        <w:pStyle w:val="BodyText"/>
      </w:pPr>
      <w:r>
        <w:t xml:space="preserve">gupta</w:t>
      </w:r>
    </w:p>
    <w:bookmarkEnd w:id="33"/>
    <w:bookmarkStart w:id="39" w:name="data-and-method"/>
    <w:p>
      <w:pPr>
        <w:pStyle w:val="Heading2"/>
      </w:pPr>
      <w:r>
        <w:t xml:space="preserve">Data and Method</w:t>
      </w:r>
    </w:p>
    <w:p>
      <w:pPr>
        <w:pStyle w:val="FirstParagraph"/>
      </w:pPr>
      <w:r>
        <w:t xml:space="preserve">There are two main dataset used in this chapter. Namely, Balanced Trade in Services (BaTIS) and the OECD Inter-Country Input-Output (ICIO) dataset.</w:t>
      </w:r>
    </w:p>
    <w:p>
      <w:pPr>
        <w:pStyle w:val="BodyText"/>
      </w:pPr>
      <w:r>
        <w:t xml:space="preserve">The BaTIS database was first launched in 2017 by World Trade organization (WTO) and Organization of Economic Cooperation and Development (OECD) in tandem</w:t>
      </w:r>
      <w:r>
        <w:t xml:space="preserve"> </w:t>
      </w:r>
      <w:r>
        <w:t xml:space="preserve">(Liberatore and Wettstein 2021)</w:t>
      </w:r>
      <w:r>
        <w:t xml:space="preserve">. Unlike trade in goods, trade in services are harder to track than trade in goods amid gap in data collection by various countries. BaTIS collect both ways from pairs of trading partners, reconcile difference between reporting countries’ trade. BaTIS is also used to build Trade in Value Added (TiVA) database and the ICIO database. BaTIS follows EBOPS 2010 sector classification</w:t>
      </w:r>
      <w:r>
        <w:t xml:space="preserve"> </w:t>
      </w:r>
      <w:r>
        <w:t xml:space="preserve">(Liberatore et al. 2021)</w:t>
      </w:r>
      <w:r>
        <w:t xml:space="preserve"> </w:t>
      </w:r>
      <w:r>
        <w:t xml:space="preserve">which can be observed in</w:t>
      </w:r>
      <w:r>
        <w:t xml:space="preserve"> </w:t>
      </w:r>
      <w:hyperlink w:anchor="tbl-1">
        <w:r>
          <w:rPr>
            <w:rStyle w:val="Hyperlink"/>
          </w:rPr>
          <w:t xml:space="preserve">Table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4" w:name="tbl-1"/>
          <w:p>
            <w:pPr>
              <w:jc w:val="center"/>
            </w:pPr>
            <w:pPr>
              <w:jc w:val="start"/>
              <w:spacing w:before="200"/>
              <w:pStyle w:val="ImageCaption"/>
            </w:pPr>
            <w:r>
              <w:t xml:space="preserve">Table 1: Services classification in BaTIS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Code</w:t>
                  </w:r>
                </w:p>
              </w:tc>
              <w:tc>
                <w:tcPr/>
                <w:p>
                  <w:pPr>
                    <w:pStyle w:val="Compact"/>
                    <w:jc w:val="left"/>
                    <w:jc w:val="center"/>
                  </w:pPr>
                  <w:r>
                    <w:t xml:space="preserve">Category description</w:t>
                  </w:r>
                </w:p>
              </w:tc>
            </w:tr>
            <w:tr>
              <w:tc>
                <w:tcPr/>
                <w:p>
                  <w:pPr>
                    <w:pStyle w:val="Compact"/>
                    <w:jc w:val="left"/>
                    <w:jc w:val="center"/>
                  </w:pPr>
                  <w:r>
                    <w:t xml:space="preserve">SA</w:t>
                  </w:r>
                </w:p>
              </w:tc>
              <w:tc>
                <w:tcPr/>
                <w:p>
                  <w:pPr>
                    <w:pStyle w:val="Compact"/>
                    <w:jc w:val="left"/>
                    <w:jc w:val="center"/>
                  </w:pPr>
                  <w:r>
                    <w:t xml:space="preserve">Manufacturing services on physical inputs owned by others</w:t>
                  </w:r>
                </w:p>
              </w:tc>
            </w:tr>
            <w:tr>
              <w:tc>
                <w:tcPr/>
                <w:p>
                  <w:pPr>
                    <w:pStyle w:val="Compact"/>
                    <w:jc w:val="left"/>
                    <w:jc w:val="center"/>
                  </w:pPr>
                  <w:r>
                    <w:t xml:space="preserve">SB</w:t>
                  </w:r>
                </w:p>
              </w:tc>
              <w:tc>
                <w:tcPr/>
                <w:p>
                  <w:pPr>
                    <w:pStyle w:val="Compact"/>
                    <w:jc w:val="left"/>
                    <w:jc w:val="center"/>
                  </w:pPr>
                  <w:r>
                    <w:t xml:space="preserve">Maintenance and repair services n.i.e.</w:t>
                  </w:r>
                </w:p>
              </w:tc>
            </w:tr>
            <w:tr>
              <w:tc>
                <w:tcPr/>
                <w:p>
                  <w:pPr>
                    <w:pStyle w:val="Compact"/>
                    <w:jc w:val="left"/>
                    <w:jc w:val="center"/>
                  </w:pPr>
                  <w:r>
                    <w:t xml:space="preserve">SC</w:t>
                  </w:r>
                </w:p>
              </w:tc>
              <w:tc>
                <w:tcPr/>
                <w:p>
                  <w:pPr>
                    <w:pStyle w:val="Compact"/>
                    <w:jc w:val="left"/>
                    <w:jc w:val="center"/>
                  </w:pPr>
                  <w:r>
                    <w:t xml:space="preserve">Transport</w:t>
                  </w:r>
                </w:p>
              </w:tc>
            </w:tr>
            <w:tr>
              <w:tc>
                <w:tcPr/>
                <w:p>
                  <w:pPr>
                    <w:pStyle w:val="Compact"/>
                    <w:jc w:val="left"/>
                    <w:jc w:val="center"/>
                  </w:pPr>
                  <w:r>
                    <w:t xml:space="preserve">SD</w:t>
                  </w:r>
                </w:p>
              </w:tc>
              <w:tc>
                <w:tcPr/>
                <w:p>
                  <w:pPr>
                    <w:pStyle w:val="Compact"/>
                    <w:jc w:val="left"/>
                    <w:jc w:val="center"/>
                  </w:pPr>
                  <w:r>
                    <w:t xml:space="preserve">Travel</w:t>
                  </w:r>
                </w:p>
              </w:tc>
            </w:tr>
            <w:tr>
              <w:tc>
                <w:tcPr/>
                <w:p>
                  <w:pPr>
                    <w:pStyle w:val="Compact"/>
                    <w:jc w:val="left"/>
                    <w:jc w:val="center"/>
                  </w:pPr>
                  <w:r>
                    <w:t xml:space="preserve">SE</w:t>
                  </w:r>
                </w:p>
              </w:tc>
              <w:tc>
                <w:tcPr/>
                <w:p>
                  <w:pPr>
                    <w:pStyle w:val="Compact"/>
                    <w:jc w:val="left"/>
                    <w:jc w:val="center"/>
                  </w:pPr>
                  <w:r>
                    <w:t xml:space="preserve">Construction</w:t>
                  </w:r>
                </w:p>
              </w:tc>
            </w:tr>
            <w:tr>
              <w:tc>
                <w:tcPr/>
                <w:p>
                  <w:pPr>
                    <w:pStyle w:val="Compact"/>
                    <w:jc w:val="left"/>
                    <w:jc w:val="center"/>
                  </w:pPr>
                  <w:r>
                    <w:t xml:space="preserve">SF</w:t>
                  </w:r>
                </w:p>
              </w:tc>
              <w:tc>
                <w:tcPr/>
                <w:p>
                  <w:pPr>
                    <w:pStyle w:val="Compact"/>
                    <w:jc w:val="left"/>
                    <w:jc w:val="center"/>
                  </w:pPr>
                  <w:r>
                    <w:t xml:space="preserve">Insurance and pension services</w:t>
                  </w:r>
                </w:p>
              </w:tc>
            </w:tr>
            <w:tr>
              <w:tc>
                <w:tcPr/>
                <w:p>
                  <w:pPr>
                    <w:pStyle w:val="Compact"/>
                    <w:jc w:val="left"/>
                    <w:jc w:val="center"/>
                  </w:pPr>
                  <w:r>
                    <w:t xml:space="preserve">SG</w:t>
                  </w:r>
                </w:p>
              </w:tc>
              <w:tc>
                <w:tcPr/>
                <w:p>
                  <w:pPr>
                    <w:pStyle w:val="Compact"/>
                    <w:jc w:val="left"/>
                    <w:jc w:val="center"/>
                  </w:pPr>
                  <w:r>
                    <w:t xml:space="preserve">Financial services</w:t>
                  </w:r>
                </w:p>
              </w:tc>
            </w:tr>
            <w:tr>
              <w:tc>
                <w:tcPr/>
                <w:p>
                  <w:pPr>
                    <w:pStyle w:val="Compact"/>
                    <w:jc w:val="left"/>
                    <w:jc w:val="center"/>
                  </w:pPr>
                  <w:r>
                    <w:t xml:space="preserve">SH</w:t>
                  </w:r>
                </w:p>
              </w:tc>
              <w:tc>
                <w:tcPr/>
                <w:p>
                  <w:pPr>
                    <w:pStyle w:val="Compact"/>
                    <w:jc w:val="left"/>
                    <w:jc w:val="center"/>
                  </w:pPr>
                  <w:r>
                    <w:t xml:space="preserve">Charges for the use of intellectual property n.i.e.</w:t>
                  </w:r>
                </w:p>
              </w:tc>
            </w:tr>
            <w:tr>
              <w:tc>
                <w:tcPr/>
                <w:p>
                  <w:pPr>
                    <w:pStyle w:val="Compact"/>
                    <w:jc w:val="left"/>
                    <w:jc w:val="center"/>
                  </w:pPr>
                  <w:r>
                    <w:t xml:space="preserve">SI</w:t>
                  </w:r>
                </w:p>
              </w:tc>
              <w:tc>
                <w:tcPr/>
                <w:p>
                  <w:pPr>
                    <w:pStyle w:val="Compact"/>
                    <w:jc w:val="left"/>
                    <w:jc w:val="center"/>
                  </w:pPr>
                  <w:r>
                    <w:t xml:space="preserve">Telecommunications, computer, and information services</w:t>
                  </w:r>
                </w:p>
              </w:tc>
            </w:tr>
            <w:tr>
              <w:tc>
                <w:tcPr/>
                <w:p>
                  <w:pPr>
                    <w:pStyle w:val="Compact"/>
                    <w:jc w:val="left"/>
                    <w:jc w:val="center"/>
                  </w:pPr>
                  <w:r>
                    <w:t xml:space="preserve">SJ</w:t>
                  </w:r>
                </w:p>
              </w:tc>
              <w:tc>
                <w:tcPr/>
                <w:p>
                  <w:pPr>
                    <w:pStyle w:val="Compact"/>
                    <w:jc w:val="left"/>
                    <w:jc w:val="center"/>
                  </w:pPr>
                  <w:r>
                    <w:t xml:space="preserve">Other business services</w:t>
                  </w:r>
                </w:p>
              </w:tc>
            </w:tr>
            <w:tr>
              <w:tc>
                <w:tcPr/>
                <w:p>
                  <w:pPr>
                    <w:pStyle w:val="Compact"/>
                    <w:jc w:val="left"/>
                    <w:jc w:val="center"/>
                  </w:pPr>
                  <w:r>
                    <w:t xml:space="preserve">SK</w:t>
                  </w:r>
                </w:p>
              </w:tc>
              <w:tc>
                <w:tcPr/>
                <w:p>
                  <w:pPr>
                    <w:pStyle w:val="Compact"/>
                    <w:jc w:val="left"/>
                    <w:jc w:val="center"/>
                  </w:pPr>
                  <w:r>
                    <w:t xml:space="preserve">Personal, cultural and recreational services</w:t>
                  </w:r>
                </w:p>
              </w:tc>
            </w:tr>
            <w:tr>
              <w:tc>
                <w:tcPr/>
                <w:p>
                  <w:pPr>
                    <w:pStyle w:val="Compact"/>
                    <w:jc w:val="left"/>
                    <w:jc w:val="center"/>
                  </w:pPr>
                  <w:r>
                    <w:t xml:space="preserve">SL</w:t>
                  </w:r>
                </w:p>
              </w:tc>
              <w:tc>
                <w:tcPr/>
                <w:p>
                  <w:pPr>
                    <w:pStyle w:val="Compact"/>
                    <w:jc w:val="left"/>
                    <w:jc w:val="center"/>
                  </w:pPr>
                  <w:r>
                    <w:t xml:space="preserve">Government goods and services n.i.e.</w:t>
                  </w:r>
                </w:p>
              </w:tc>
            </w:tr>
          </w:tbl>
          <w:bookmarkEnd w:id="34"/>
          <w:p/>
        </w:tc>
      </w:tr>
    </w:tbl>
    <w:p>
      <w:pPr>
        <w:pStyle w:val="BodyText"/>
      </w:pPr>
      <w:r>
        <w:t xml:space="preserve">Trade services statistics are challenging in nature</w:t>
      </w:r>
      <w:r>
        <w:t xml:space="preserve"> </w:t>
      </w:r>
      <w:r>
        <w:t xml:space="preserve">(Liberatore and Wettstein 2021)</w:t>
      </w:r>
      <w:r>
        <w:t xml:space="preserve">. Only around 65% of total number of trade in services are recorded bilaterally. Unlike trade in goods, exports are recoreded better than imports, mainly due to advance countries being the majority of service exporters. Only 59% of trade value in BaTIS are fully reported, which are the reported 65% pair. The remaining 41% are estimated using share interpolations and gravity estimations. Since BaTIS is used for other databases including TiVA and ICIO, we should expect similar problems in these two databases.</w:t>
      </w:r>
    </w:p>
    <w:p>
      <w:pPr>
        <w:pStyle w:val="BodyText"/>
      </w:pPr>
      <w:r>
        <w:t xml:space="preserve">Additionally, we also use the Indonesian trade in services statistics compiled by the Indonesian central bank called</w:t>
      </w:r>
      <w:r>
        <w:t xml:space="preserve"> </w:t>
      </w:r>
      <w:r>
        <w:rPr>
          <w:iCs/>
          <w:i/>
        </w:rPr>
        <w:t xml:space="preserve">Statistik Ekonomi dan Keuangan Indonesia</w:t>
      </w:r>
      <w:r>
        <w:t xml:space="preserve"> </w:t>
      </w:r>
      <w:r>
        <w:t xml:space="preserve">(SEKI)</w:t>
      </w:r>
      <w:r>
        <w:t xml:space="preserve"> </w:t>
      </w:r>
      <w:r>
        <w:t xml:space="preserve">(Bank Indonesia, n.d.)</w:t>
      </w:r>
      <w:r>
        <w:t xml:space="preserve">. It records Indonesia’s trade in services in the same manner as BaTIS, but with less detail on the trading partners. Moreover, SEKI is also used to observe Indonesia’s manufacturing GDP and goods exports and imports to estimate the third unbundling effect.</w:t>
      </w:r>
    </w:p>
    <w:p>
      <w:pPr>
        <w:pStyle w:val="BodyText"/>
      </w:pPr>
      <w:r>
        <w:t xml:space="preserve">The OECD Inter-Country Input-Output (ICIO) decribes the sale and purchase relationships between sectors, consumers and the government within and across borders. ICIO estimates trades amonng 76 countries and 45 unique industries based on ISIC Revision 4(OECD, 2023). The database shows how much sectoral value added, both foreign and domestic, that is used by a certain industry.</w:t>
      </w:r>
    </w:p>
    <w:p>
      <w:pPr>
        <w:pStyle w:val="BodyText"/>
      </w:pPr>
      <w:r>
        <w:t xml:space="preserve">In this study, we focus the manufacturing sector, specifically ISIC 10-27 in the ISIC rev. 4 classification. The ICIO aggregates these sectors into 16 sectors. We then aggregates all services that sell to these sectors into two categories, namely domestic services and foreign services.</w:t>
      </w:r>
    </w:p>
    <w:p>
      <w:pPr>
        <w:pStyle w:val="BodyText"/>
      </w:pPr>
      <w:r>
        <w:t xml:space="preserve">On the third unbundling discussion, a good quality of firm-level data with information of its services sourced. Unfortunately, this information is not widely distributed in the Indonesian context. The second-best approach is to use international input-output table, which in this case ICIO is used.</w:t>
      </w:r>
    </w:p>
    <w:p>
      <w:pPr>
        <w:pStyle w:val="BodyText"/>
      </w:pPr>
      <w:r>
        <w:t xml:space="preserve">Assume a manufacturing output and value added as a function of its factor or production. The nest of factor of production produces fully complementarily with its goods and services inputs. Let services inputs be complementarily used with goods inputs, but within the value produced by services, there is a degree of substitutability between foreign and domestic input as such:</w:t>
      </w:r>
    </w:p>
    <w:p>
      <w:pPr>
        <w:pStyle w:val="BodyText"/>
      </w:pPr>
      <w:bookmarkStart w:id="35" w:name="eq-1"/>
      <m:oMathPara>
        <m:oMathParaPr>
          <m:jc m:val="center"/>
        </m:oMathParaPr>
        <m:oMath>
          <m:sSub>
            <m:e>
              <m:r>
                <m:t>Y</m:t>
              </m:r>
            </m:e>
            <m:sub>
              <m:r>
                <m:t>i</m:t>
              </m:r>
              <m:r>
                <m:t>t</m:t>
              </m:r>
            </m:sub>
          </m:sSub>
          <m:r>
            <m:rPr>
              <m:sty m:val="p"/>
            </m:rPr>
            <m:t>=</m:t>
          </m:r>
          <m:r>
            <m:t>f</m:t>
          </m:r>
          <m:d>
            <m:dPr>
              <m:begChr m:val="("/>
              <m:endChr m:val=")"/>
              <m:sepChr m:val=""/>
              <m:grow/>
            </m:dPr>
            <m:e>
              <m:r>
                <m:t>A</m:t>
              </m:r>
              <m:sSubSup>
                <m:e>
                  <m:r>
                    <m:t>S</m:t>
                  </m:r>
                </m:e>
                <m:sub>
                  <m:r>
                    <m:t>i</m:t>
                  </m:r>
                  <m:r>
                    <m:t>t</m:t>
                  </m:r>
                </m:sub>
                <m:sup>
                  <m:r>
                    <m:t>D</m:t>
                  </m:r>
                </m:sup>
              </m:sSubSup>
              <m:r>
                <m:rPr>
                  <m:sty m:val="p"/>
                </m:rPr>
                <m:t>,</m:t>
              </m:r>
              <m:r>
                <m:t>A</m:t>
              </m:r>
              <m:sSubSup>
                <m:e>
                  <m:r>
                    <m:t>S</m:t>
                  </m:r>
                </m:e>
                <m:sub>
                  <m:r>
                    <m:t>i</m:t>
                  </m:r>
                  <m:r>
                    <m:t>t</m:t>
                  </m:r>
                </m:sub>
                <m:sup>
                  <m:r>
                    <m:t>F</m:t>
                  </m:r>
                </m:sup>
              </m:sSubSup>
            </m:e>
          </m:d>
          <m:r>
            <m:t>  </m:t>
          </m:r>
          <m:d>
            <m:dPr>
              <m:begChr m:val="("/>
              <m:endChr m:val=")"/>
              <m:sepChr m:val=""/>
              <m:grow/>
            </m:dPr>
            <m:e>
              <m:r>
                <m:t>1</m:t>
              </m:r>
            </m:e>
          </m:d>
        </m:oMath>
      </m:oMathPara>
      <w:bookmarkEnd w:id="35"/>
    </w:p>
    <w:p>
      <w:pPr>
        <w:pStyle w:val="FirstParagraph"/>
      </w:pPr>
      <w:r>
        <w:t xml:space="preserve">for all</w:t>
      </w:r>
      <w:r>
        <w:t xml:space="preserve"> </w:t>
      </w:r>
      <m:oMath>
        <m:r>
          <m:t>i</m:t>
        </m:r>
        <m:r>
          <m:rPr>
            <m:sty m:val="p"/>
          </m:rPr>
          <m:t>=</m:t>
        </m:r>
      </m:oMath>
      <w:r>
        <w:t xml:space="preserve"> </w:t>
      </w:r>
      <w:r>
        <w:t xml:space="preserve">manufacturing sectors and</w:t>
      </w:r>
      <w:r>
        <w:t xml:space="preserve"> </w:t>
      </w:r>
      <m:oMath>
        <m:r>
          <m:t>t</m:t>
        </m:r>
        <m:r>
          <m:rPr>
            <m:sty m:val="p"/>
          </m:rPr>
          <m:t>=</m:t>
        </m:r>
        <m:r>
          <m:t>y</m:t>
        </m:r>
        <m:r>
          <m:t>e</m:t>
        </m:r>
        <m:r>
          <m:t>a</m:t>
        </m:r>
        <m:r>
          <m:t>r</m:t>
        </m:r>
      </m:oMath>
      <w:r>
        <w:t xml:space="preserve">. A is the nest multiplier,</w:t>
      </w:r>
      <w:r>
        <w:t xml:space="preserve"> </w:t>
      </w:r>
      <m:oMath>
        <m:sSubSup>
          <m:e>
            <m:r>
              <m:t>S</m:t>
            </m:r>
          </m:e>
          <m:sub>
            <m:r>
              <m:t>i</m:t>
            </m:r>
          </m:sub>
          <m:sup>
            <m:r>
              <m:t>D</m:t>
            </m:r>
          </m:sup>
        </m:sSubSup>
      </m:oMath>
      <w:r>
        <w:t xml:space="preserve"> </w:t>
      </w:r>
      <w:r>
        <w:t xml:space="preserve">and</w:t>
      </w:r>
      <w:r>
        <w:t xml:space="preserve"> </w:t>
      </w:r>
      <m:oMath>
        <m:sSubSup>
          <m:e>
            <m:r>
              <m:t>S</m:t>
            </m:r>
          </m:e>
          <m:sub>
            <m:r>
              <m:t>i</m:t>
            </m:r>
          </m:sub>
          <m:sup>
            <m:r>
              <m:t>F</m:t>
            </m:r>
          </m:sup>
        </m:sSubSup>
      </m:oMath>
      <w:r>
        <w:t xml:space="preserve"> </w:t>
      </w:r>
      <w:r>
        <w:t xml:space="preserve">are total services purchased by industry</w:t>
      </w:r>
      <w:r>
        <w:t xml:space="preserve"> </w:t>
      </w:r>
      <m:oMath>
        <m:r>
          <m:t>i</m:t>
        </m:r>
      </m:oMath>
      <w:r>
        <w:t xml:space="preserve">, domestically and imported respectively.</w:t>
      </w:r>
    </w:p>
    <w:p>
      <w:pPr>
        <w:pStyle w:val="BodyText"/>
      </w:pPr>
      <w:r>
        <w:t xml:space="preserve">Assuming a cobb-douglass relationship, then we can log-linearize</w:t>
      </w:r>
      <w:r>
        <w:t xml:space="preserve"> </w:t>
      </w:r>
      <w:hyperlink w:anchor="eq-1">
        <w:r>
          <w:rPr>
            <w:rStyle w:val="Hyperlink"/>
          </w:rPr>
          <w:t xml:space="preserve">Equation 1</w:t>
        </w:r>
      </w:hyperlink>
      <w:r>
        <w:t xml:space="preserve"> </w:t>
      </w:r>
      <w:r>
        <w:t xml:space="preserve">to a simple linear system as such:</w:t>
      </w:r>
    </w:p>
    <w:p>
      <w:pPr>
        <w:pStyle w:val="BodyText"/>
      </w:pPr>
      <w:bookmarkStart w:id="36" w:name="eq-2"/>
      <m:oMathPara>
        <m:oMathParaPr>
          <m:jc m:val="center"/>
        </m:oMathParaPr>
        <m:oMath>
          <m:sSub>
            <m:e>
              <m:r>
                <m:t>y</m:t>
              </m:r>
            </m:e>
            <m:sub>
              <m:r>
                <m:t>i</m:t>
              </m:r>
              <m:r>
                <m:t>t</m:t>
              </m:r>
            </m:sub>
          </m:sSub>
          <m:r>
            <m:rPr>
              <m:sty m:val="p"/>
            </m:rPr>
            <m:t>=</m:t>
          </m:r>
          <m:r>
            <m:t>a</m:t>
          </m:r>
          <m:r>
            <m:rPr>
              <m:sty m:val="p"/>
            </m:rPr>
            <m:t>+</m:t>
          </m:r>
          <m:sSub>
            <m:e>
              <m:r>
                <m:t>β</m:t>
              </m:r>
            </m:e>
            <m:sub>
              <m:r>
                <m:t>d</m:t>
              </m:r>
            </m:sub>
          </m:sSub>
          <m:sSubSup>
            <m:e>
              <m:r>
                <m:t>s</m:t>
              </m:r>
            </m:e>
            <m:sub>
              <m:r>
                <m:t>i</m:t>
              </m:r>
              <m:r>
                <m:t>t</m:t>
              </m:r>
            </m:sub>
            <m:sup>
              <m:r>
                <m:t>D</m:t>
              </m:r>
            </m:sup>
          </m:sSubSup>
          <m:r>
            <m:rPr>
              <m:sty m:val="p"/>
            </m:rPr>
            <m:t>+</m:t>
          </m:r>
          <m:sSub>
            <m:e>
              <m:r>
                <m:t>β</m:t>
              </m:r>
            </m:e>
            <m:sub>
              <m:r>
                <m:t>f</m:t>
              </m:r>
            </m:sub>
          </m:sSub>
          <m:sSubSup>
            <m:e>
              <m:r>
                <m:t>s</m:t>
              </m:r>
            </m:e>
            <m:sub>
              <m:r>
                <m:t>i</m:t>
              </m:r>
              <m:r>
                <m:t>t</m:t>
              </m:r>
            </m:sub>
            <m:sup>
              <m:r>
                <m:t>F</m:t>
              </m:r>
            </m:sup>
          </m:sSubSup>
          <m:r>
            <m:rPr>
              <m:sty m:val="p"/>
            </m:rPr>
            <m:t>+</m:t>
          </m:r>
          <m:sSub>
            <m:e>
              <m:r>
                <m:t>ε</m:t>
              </m:r>
            </m:e>
            <m:sub>
              <m:r>
                <m:t>i</m:t>
              </m:r>
              <m:r>
                <m:t>t</m:t>
              </m:r>
            </m:sub>
          </m:sSub>
          <m:r>
            <m:t>  </m:t>
          </m:r>
          <m:d>
            <m:dPr>
              <m:begChr m:val="("/>
              <m:endChr m:val=")"/>
              <m:sepChr m:val=""/>
              <m:grow/>
            </m:dPr>
            <m:e>
              <m:r>
                <m:t>2</m:t>
              </m:r>
            </m:e>
          </m:d>
        </m:oMath>
      </m:oMathPara>
      <w:bookmarkEnd w:id="36"/>
    </w:p>
    <w:p>
      <w:pPr>
        <w:pStyle w:val="FirstParagraph"/>
      </w:pPr>
      <w:r>
        <w:t xml:space="preserve">with a lower case represents the natural log of its uppercase counterpart.</w:t>
      </w:r>
    </w:p>
    <w:p>
      <w:pPr>
        <w:pStyle w:val="BodyText"/>
      </w:pPr>
      <w:r>
        <w:t xml:space="preserve">To construct the dataset for the regression, we aggregate non-factor inputs from each manufacuring sectors, separated by whether it is from Indonesia or from other countries. All inputs from foreign countries are aggregated into foreign.</w:t>
      </w:r>
    </w:p>
    <w:p>
      <w:pPr>
        <w:pStyle w:val="BodyText"/>
      </w:pPr>
      <w:r>
        <w:t xml:space="preserve">For comparison purpose, we also do the same for 4 countries in the region, namely Singapore, Malaysia, Thailand and Vietnam. Data from these 5 countries are then concatenated to add one more dimension, countries. Summary statistics on the data is shown in</w:t>
      </w:r>
      <w:r>
        <w:t xml:space="preserve"> </w:t>
      </w:r>
      <w:hyperlink w:anchor="tbl-icio">
        <w:r>
          <w:rPr>
            <w:rStyle w:val="Hyperlink"/>
          </w:rPr>
          <w:t xml:space="preserve">Table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tbl-icio"/>
          <w:p>
            <w:pPr>
              <w:jc w:val="center"/>
            </w:pPr>
            <w:pPr>
              <w:jc w:val="start"/>
              <w:spacing w:before="200"/>
              <w:pStyle w:val="ImageCaption"/>
            </w:pPr>
            <w:r>
              <w:t xml:space="preserve">Table 2: Summary Statistics from ICIO, million USD, 2002-2021.</w:t>
            </w:r>
          </w:p>
          <w:tbl>
            <w:tblPr>
              <w:tblStyle w:val="Table"/>
              <w:tblW w:type="pct" w:w="4740"/>
              <w:tblLook w:firstRow="1" w:lastRow="0" w:firstColumn="0" w:lastColumn="0" w:noHBand="0" w:noVBand="0" w:val="0020"/>
              <w:jc w:val="start"/>
              <w:tblLayout w:type="fixed"/>
            </w:tblPr>
            <w:tblGrid>
              <w:gridCol w:w="1815"/>
              <w:gridCol w:w="907"/>
              <w:gridCol w:w="907"/>
              <w:gridCol w:w="990"/>
              <w:gridCol w:w="907"/>
              <w:gridCol w:w="907"/>
              <w:gridCol w:w="1072"/>
            </w:tblGrid>
            <w:tr>
              <w:trPr>
                <w:tblHeader w:val="true"/>
              </w:trPr>
              <w:tc>
                <w:tcPr/>
                <w:p>
                  <w:pPr>
                    <w:pStyle w:val="Compact"/>
                  </w:pPr>
                </w:p>
              </w:tc>
              <w:tc>
                <w:tcPr>
                  <w:gridSpan w:val="3"/>
                </w:tcPr>
                <w:p>
                  <w:pPr>
                    <w:pStyle w:val="Compact"/>
                    <w:jc w:val="left"/>
                    <w:jc w:val="center"/>
                  </w:pPr>
                  <w:r>
                    <w:t xml:space="preserve">all</w:t>
                  </w:r>
                </w:p>
              </w:tc>
              <w:tc>
                <w:tcPr>
                  <w:gridSpan w:val="3"/>
                </w:tcPr>
                <w:p>
                  <w:pPr>
                    <w:pStyle w:val="Compact"/>
                    <w:jc w:val="left"/>
                    <w:jc w:val="center"/>
                  </w:pPr>
                  <w:r>
                    <w:t xml:space="preserve">IDN</w:t>
                  </w:r>
                </w:p>
              </w:tc>
            </w:tr>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c>
                <w:tcPr/>
                <w:p>
                  <w:pPr>
                    <w:pStyle w:val="Compact"/>
                    <w:jc w:val="left"/>
                    <w:jc w:val="center"/>
                  </w:pPr>
                  <w:r>
                    <w:t xml:space="preserve">Mean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value added</w:t>
                  </w:r>
                </w:p>
              </w:tc>
              <w:tc>
                <w:tcPr/>
                <w:p>
                  <w:pPr>
                    <w:pStyle w:val="Compact"/>
                    <w:jc w:val="left"/>
                    <w:jc w:val="center"/>
                  </w:pPr>
                  <w:r>
                    <w:t xml:space="preserve">4181.70</w:t>
                  </w:r>
                </w:p>
              </w:tc>
              <w:tc>
                <w:tcPr/>
                <w:p>
                  <w:pPr>
                    <w:pStyle w:val="Compact"/>
                    <w:jc w:val="left"/>
                    <w:jc w:val="center"/>
                  </w:pPr>
                  <w:r>
                    <w:t xml:space="preserve">6845.40</w:t>
                  </w:r>
                </w:p>
              </w:tc>
              <w:tc>
                <w:tcPr/>
                <w:p>
                  <w:pPr>
                    <w:pStyle w:val="Compact"/>
                    <w:jc w:val="left"/>
                    <w:jc w:val="center"/>
                  </w:pPr>
                  <w:r>
                    <w:t xml:space="preserve">▇▁</w:t>
                  </w:r>
                </w:p>
              </w:tc>
              <w:tc>
                <w:tcPr/>
                <w:p>
                  <w:pPr>
                    <w:pStyle w:val="Compact"/>
                    <w:jc w:val="left"/>
                    <w:jc w:val="center"/>
                  </w:pPr>
                  <w:r>
                    <w:t xml:space="preserve">8150.56</w:t>
                  </w:r>
                </w:p>
              </w:tc>
              <w:tc>
                <w:tcPr/>
                <w:p>
                  <w:pPr>
                    <w:pStyle w:val="Compact"/>
                    <w:jc w:val="left"/>
                    <w:jc w:val="center"/>
                  </w:pPr>
                  <w:r>
                    <w:t xml:space="preserve">12191.95</w:t>
                  </w:r>
                </w:p>
              </w:tc>
              <w:tc>
                <w:tcPr/>
                <w:p>
                  <w:pPr>
                    <w:pStyle w:val="Compact"/>
                    <w:jc w:val="left"/>
                    <w:jc w:val="center"/>
                  </w:pPr>
                  <w:r>
                    <w:t xml:space="preserve">▇▁</w:t>
                  </w:r>
                </w:p>
              </w:tc>
            </w:tr>
            <w:tr>
              <w:tc>
                <w:tcPr/>
                <w:p>
                  <w:pPr>
                    <w:pStyle w:val="Compact"/>
                    <w:jc w:val="left"/>
                    <w:jc w:val="center"/>
                  </w:pPr>
                  <w:r>
                    <w:t xml:space="preserve">output</w:t>
                  </w:r>
                </w:p>
              </w:tc>
              <w:tc>
                <w:tcPr/>
                <w:p>
                  <w:pPr>
                    <w:pStyle w:val="Compact"/>
                    <w:jc w:val="left"/>
                    <w:jc w:val="center"/>
                  </w:pPr>
                  <w:r>
                    <w:t xml:space="preserve">15930.67</w:t>
                  </w:r>
                </w:p>
              </w:tc>
              <w:tc>
                <w:tcPr/>
                <w:p>
                  <w:pPr>
                    <w:pStyle w:val="Compact"/>
                    <w:jc w:val="left"/>
                    <w:jc w:val="center"/>
                  </w:pPr>
                  <w:r>
                    <w:t xml:space="preserve">21741.55</w:t>
                  </w:r>
                </w:p>
              </w:tc>
              <w:tc>
                <w:tcPr/>
                <w:p>
                  <w:pPr>
                    <w:pStyle w:val="Compact"/>
                    <w:jc w:val="left"/>
                    <w:jc w:val="center"/>
                  </w:pPr>
                  <w:r>
                    <w:t xml:space="preserve">▇▁</w:t>
                  </w:r>
                </w:p>
              </w:tc>
              <w:tc>
                <w:tcPr/>
                <w:p>
                  <w:pPr>
                    <w:pStyle w:val="Compact"/>
                    <w:jc w:val="left"/>
                    <w:jc w:val="center"/>
                  </w:pPr>
                  <w:r>
                    <w:t xml:space="preserve">21529.33</w:t>
                  </w:r>
                </w:p>
              </w:tc>
              <w:tc>
                <w:tcPr/>
                <w:p>
                  <w:pPr>
                    <w:pStyle w:val="Compact"/>
                    <w:jc w:val="left"/>
                    <w:jc w:val="center"/>
                  </w:pPr>
                  <w:r>
                    <w:t xml:space="preserve">29317.48</w:t>
                  </w:r>
                </w:p>
              </w:tc>
              <w:tc>
                <w:tcPr/>
                <w:p>
                  <w:pPr>
                    <w:pStyle w:val="Compact"/>
                    <w:jc w:val="left"/>
                    <w:jc w:val="center"/>
                  </w:pPr>
                  <w:r>
                    <w:t xml:space="preserve">▇▁▁</w:t>
                  </w:r>
                </w:p>
              </w:tc>
            </w:tr>
            <w:tr>
              <w:tc>
                <w:tcPr/>
                <w:p>
                  <w:pPr>
                    <w:pStyle w:val="Compact"/>
                    <w:jc w:val="left"/>
                    <w:jc w:val="center"/>
                  </w:pPr>
                  <w:r>
                    <w:t xml:space="preserve">domestic services</w:t>
                  </w:r>
                </w:p>
              </w:tc>
              <w:tc>
                <w:tcPr/>
                <w:p>
                  <w:pPr>
                    <w:pStyle w:val="Compact"/>
                    <w:jc w:val="left"/>
                    <w:jc w:val="center"/>
                  </w:pPr>
                  <w:r>
                    <w:t xml:space="preserve">2804.36</w:t>
                  </w:r>
                </w:p>
              </w:tc>
              <w:tc>
                <w:tcPr/>
                <w:p>
                  <w:pPr>
                    <w:pStyle w:val="Compact"/>
                    <w:jc w:val="left"/>
                    <w:jc w:val="center"/>
                  </w:pPr>
                  <w:r>
                    <w:t xml:space="preserve">3889.86</w:t>
                  </w:r>
                </w:p>
              </w:tc>
              <w:tc>
                <w:tcPr/>
                <w:p>
                  <w:pPr>
                    <w:pStyle w:val="Compact"/>
                    <w:jc w:val="left"/>
                    <w:jc w:val="center"/>
                  </w:pPr>
                  <w:r>
                    <w:t xml:space="preserve">▇▂▁</w:t>
                  </w:r>
                </w:p>
              </w:tc>
              <w:tc>
                <w:tcPr/>
                <w:p>
                  <w:pPr>
                    <w:pStyle w:val="Compact"/>
                    <w:jc w:val="left"/>
                    <w:jc w:val="center"/>
                  </w:pPr>
                  <w:r>
                    <w:t xml:space="preserve">3735.21</w:t>
                  </w:r>
                </w:p>
              </w:tc>
              <w:tc>
                <w:tcPr/>
                <w:p>
                  <w:pPr>
                    <w:pStyle w:val="Compact"/>
                    <w:jc w:val="left"/>
                    <w:jc w:val="center"/>
                  </w:pPr>
                  <w:r>
                    <w:t xml:space="preserve">4176.07</w:t>
                  </w:r>
                </w:p>
              </w:tc>
              <w:tc>
                <w:tcPr/>
                <w:p>
                  <w:pPr>
                    <w:pStyle w:val="Compact"/>
                    <w:jc w:val="left"/>
                    <w:jc w:val="center"/>
                  </w:pPr>
                  <w:r>
                    <w:t xml:space="preserve">▇▅▁</w:t>
                  </w:r>
                </w:p>
              </w:tc>
            </w:tr>
            <w:tr>
              <w:tc>
                <w:tcPr/>
                <w:p>
                  <w:pPr>
                    <w:pStyle w:val="Compact"/>
                    <w:jc w:val="left"/>
                    <w:jc w:val="center"/>
                  </w:pPr>
                  <w:r>
                    <w:t xml:space="preserve">foreign services</w:t>
                  </w:r>
                </w:p>
              </w:tc>
              <w:tc>
                <w:tcPr/>
                <w:p>
                  <w:pPr>
                    <w:pStyle w:val="Compact"/>
                    <w:jc w:val="left"/>
                    <w:jc w:val="center"/>
                  </w:pPr>
                  <w:r>
                    <w:t xml:space="preserve">845.74</w:t>
                  </w:r>
                </w:p>
              </w:tc>
              <w:tc>
                <w:tcPr/>
                <w:p>
                  <w:pPr>
                    <w:pStyle w:val="Compact"/>
                    <w:jc w:val="left"/>
                    <w:jc w:val="center"/>
                  </w:pPr>
                  <w:r>
                    <w:t xml:space="preserve">1730.29</w:t>
                  </w:r>
                </w:p>
              </w:tc>
              <w:tc>
                <w:tcPr/>
                <w:p>
                  <w:pPr>
                    <w:pStyle w:val="Compact"/>
                    <w:jc w:val="left"/>
                    <w:jc w:val="center"/>
                  </w:pPr>
                  <w:r>
                    <w:t xml:space="preserve">▇</w:t>
                  </w:r>
                </w:p>
              </w:tc>
              <w:tc>
                <w:tcPr/>
                <w:p>
                  <w:pPr>
                    <w:pStyle w:val="Compact"/>
                    <w:jc w:val="left"/>
                    <w:jc w:val="center"/>
                  </w:pPr>
                  <w:r>
                    <w:t xml:space="preserve">420.05</w:t>
                  </w:r>
                </w:p>
              </w:tc>
              <w:tc>
                <w:tcPr/>
                <w:p>
                  <w:pPr>
                    <w:pStyle w:val="Compact"/>
                    <w:jc w:val="left"/>
                    <w:jc w:val="center"/>
                  </w:pPr>
                  <w:r>
                    <w:t xml:space="preserve">339.95</w:t>
                  </w:r>
                </w:p>
              </w:tc>
              <w:tc>
                <w:tcPr/>
                <w:p>
                  <w:pPr>
                    <w:pStyle w:val="Compact"/>
                    <w:jc w:val="left"/>
                    <w:jc w:val="center"/>
                  </w:pPr>
                  <w:r>
                    <w:t xml:space="preserve">▇▆▄▃▂▁</w:t>
                  </w:r>
                </w:p>
              </w:tc>
            </w:tr>
            <w:tr>
              <w:tc>
                <w:tcPr/>
                <w:p>
                  <w:pPr>
                    <w:pStyle w:val="Compact"/>
                    <w:jc w:val="left"/>
                    <w:jc w:val="center"/>
                  </w:pPr>
                  <w:r>
                    <w:t xml:space="preserve">domestic goods</w:t>
                  </w:r>
                </w:p>
              </w:tc>
              <w:tc>
                <w:tcPr/>
                <w:p>
                  <w:pPr>
                    <w:pStyle w:val="Compact"/>
                    <w:jc w:val="left"/>
                    <w:jc w:val="center"/>
                  </w:pPr>
                  <w:r>
                    <w:t xml:space="preserve">5213.09</w:t>
                  </w:r>
                </w:p>
              </w:tc>
              <w:tc>
                <w:tcPr/>
                <w:p>
                  <w:pPr>
                    <w:pStyle w:val="Compact"/>
                    <w:jc w:val="left"/>
                    <w:jc w:val="center"/>
                  </w:pPr>
                  <w:r>
                    <w:t xml:space="preserve">9008.54</w:t>
                  </w:r>
                </w:p>
              </w:tc>
              <w:tc>
                <w:tcPr/>
                <w:p>
                  <w:pPr>
                    <w:pStyle w:val="Compact"/>
                    <w:jc w:val="left"/>
                    <w:jc w:val="center"/>
                  </w:pPr>
                  <w:r>
                    <w:t xml:space="preserve">▇▁</w:t>
                  </w:r>
                </w:p>
              </w:tc>
              <w:tc>
                <w:tcPr/>
                <w:p>
                  <w:pPr>
                    <w:pStyle w:val="Compact"/>
                    <w:jc w:val="left"/>
                    <w:jc w:val="center"/>
                  </w:pPr>
                  <w:r>
                    <w:t xml:space="preserve">7123.05</w:t>
                  </w:r>
                </w:p>
              </w:tc>
              <w:tc>
                <w:tcPr/>
                <w:p>
                  <w:pPr>
                    <w:pStyle w:val="Compact"/>
                    <w:jc w:val="left"/>
                    <w:jc w:val="center"/>
                  </w:pPr>
                  <w:r>
                    <w:t xml:space="preserve">12296.21</w:t>
                  </w:r>
                </w:p>
              </w:tc>
              <w:tc>
                <w:tcPr/>
                <w:p>
                  <w:pPr>
                    <w:pStyle w:val="Compact"/>
                    <w:jc w:val="left"/>
                    <w:jc w:val="center"/>
                  </w:pPr>
                  <w:r>
                    <w:t xml:space="preserve">▇▁</w:t>
                  </w:r>
                </w:p>
              </w:tc>
            </w:tr>
            <w:tr>
              <w:tc>
                <w:tcPr/>
                <w:p>
                  <w:pPr>
                    <w:pStyle w:val="Compact"/>
                    <w:jc w:val="left"/>
                    <w:jc w:val="center"/>
                  </w:pPr>
                  <w:r>
                    <w:t xml:space="preserve">foreign goods</w:t>
                  </w:r>
                </w:p>
              </w:tc>
              <w:tc>
                <w:tcPr/>
                <w:p>
                  <w:pPr>
                    <w:pStyle w:val="Compact"/>
                    <w:jc w:val="left"/>
                    <w:jc w:val="center"/>
                  </w:pPr>
                  <w:r>
                    <w:t xml:space="preserve">7057.46</w:t>
                  </w:r>
                </w:p>
              </w:tc>
              <w:tc>
                <w:tcPr/>
                <w:p>
                  <w:pPr>
                    <w:pStyle w:val="Compact"/>
                    <w:jc w:val="left"/>
                    <w:jc w:val="center"/>
                  </w:pPr>
                  <w:r>
                    <w:t xml:space="preserve">9172.47</w:t>
                  </w:r>
                </w:p>
              </w:tc>
              <w:tc>
                <w:tcPr/>
                <w:p>
                  <w:pPr>
                    <w:pStyle w:val="Compact"/>
                    <w:jc w:val="left"/>
                    <w:jc w:val="center"/>
                  </w:pPr>
                  <w:r>
                    <w:t xml:space="preserve">▇▁▁</w:t>
                  </w:r>
                </w:p>
              </w:tc>
              <w:tc>
                <w:tcPr/>
                <w:p>
                  <w:pPr>
                    <w:pStyle w:val="Compact"/>
                    <w:jc w:val="left"/>
                    <w:jc w:val="center"/>
                  </w:pPr>
                  <w:r>
                    <w:t xml:space="preserve">10240.63</w:t>
                  </w:r>
                </w:p>
              </w:tc>
              <w:tc>
                <w:tcPr/>
                <w:p>
                  <w:pPr>
                    <w:pStyle w:val="Compact"/>
                    <w:jc w:val="left"/>
                    <w:jc w:val="center"/>
                  </w:pPr>
                  <w:r>
                    <w:t xml:space="preserve">12983.59</w:t>
                  </w:r>
                </w:p>
              </w:tc>
              <w:tc>
                <w:tcPr/>
                <w:p>
                  <w:pPr>
                    <w:pStyle w:val="Compact"/>
                    <w:jc w:val="left"/>
                    <w:jc w:val="center"/>
                  </w:pPr>
                  <w:r>
                    <w:t xml:space="preserve">▇▁▁</w:t>
                  </w:r>
                </w:p>
              </w:tc>
            </w:tr>
            <w:tr>
              <w:tc>
                <w:tcPr/>
                <w:p>
                  <w:pPr>
                    <w:pStyle w:val="Compact"/>
                    <w:jc w:val="left"/>
                    <w:jc w:val="center"/>
                  </w:pPr>
                  <w:r>
                    <w:t xml:space="preserve">for. services share</w:t>
                  </w:r>
                </w:p>
              </w:tc>
              <w:tc>
                <w:tcPr/>
                <w:p>
                  <w:pPr>
                    <w:pStyle w:val="Compact"/>
                    <w:jc w:val="left"/>
                    <w:jc w:val="center"/>
                  </w:pPr>
                  <w:r>
                    <w:t xml:space="preserve">5.76</w:t>
                  </w:r>
                </w:p>
              </w:tc>
              <w:tc>
                <w:tcPr/>
                <w:p>
                  <w:pPr>
                    <w:pStyle w:val="Compact"/>
                    <w:jc w:val="left"/>
                    <w:jc w:val="center"/>
                  </w:pPr>
                  <w:r>
                    <w:t xml:space="preserve">3.70</w:t>
                  </w:r>
                </w:p>
              </w:tc>
              <w:tc>
                <w:tcPr/>
                <w:p>
                  <w:pPr>
                    <w:pStyle w:val="Compact"/>
                    <w:jc w:val="left"/>
                    <w:jc w:val="center"/>
                  </w:pPr>
                  <w:r>
                    <w:t xml:space="preserve">▃▇▃▁</w:t>
                  </w:r>
                </w:p>
              </w:tc>
              <w:tc>
                <w:tcPr/>
                <w:p>
                  <w:pPr>
                    <w:pStyle w:val="Compact"/>
                    <w:jc w:val="left"/>
                    <w:jc w:val="center"/>
                  </w:pPr>
                  <w:r>
                    <w:t xml:space="preserve">2.45</w:t>
                  </w:r>
                </w:p>
              </w:tc>
              <w:tc>
                <w:tcPr/>
                <w:p>
                  <w:pPr>
                    <w:pStyle w:val="Compact"/>
                    <w:jc w:val="left"/>
                    <w:jc w:val="center"/>
                  </w:pPr>
                  <w:r>
                    <w:t xml:space="preserve">1.34</w:t>
                  </w:r>
                </w:p>
              </w:tc>
              <w:tc>
                <w:tcPr/>
                <w:p>
                  <w:pPr>
                    <w:pStyle w:val="Compact"/>
                    <w:jc w:val="left"/>
                    <w:jc w:val="center"/>
                  </w:pPr>
                  <w:r>
                    <w:t xml:space="preserve">▇▆▆▇▄▃▂▂▁</w:t>
                  </w:r>
                </w:p>
              </w:tc>
            </w:tr>
            <w:tr>
              <w:tc>
                <w:tcPr/>
                <w:p>
                  <w:pPr>
                    <w:pStyle w:val="Compact"/>
                    <w:jc w:val="left"/>
                    <w:jc w:val="center"/>
                  </w:pPr>
                  <w:r>
                    <w:t xml:space="preserve">dom. services share</w:t>
                  </w:r>
                </w:p>
              </w:tc>
              <w:tc>
                <w:tcPr/>
                <w:p>
                  <w:pPr>
                    <w:pStyle w:val="Compact"/>
                    <w:jc w:val="left"/>
                    <w:jc w:val="center"/>
                  </w:pPr>
                  <w:r>
                    <w:t xml:space="preserve">18.02</w:t>
                  </w:r>
                </w:p>
              </w:tc>
              <w:tc>
                <w:tcPr/>
                <w:p>
                  <w:pPr>
                    <w:pStyle w:val="Compact"/>
                    <w:jc w:val="left"/>
                    <w:jc w:val="center"/>
                  </w:pPr>
                  <w:r>
                    <w:t xml:space="preserve">6.73</w:t>
                  </w:r>
                </w:p>
              </w:tc>
              <w:tc>
                <w:tcPr/>
                <w:p>
                  <w:pPr>
                    <w:pStyle w:val="Compact"/>
                    <w:jc w:val="left"/>
                    <w:jc w:val="center"/>
                  </w:pPr>
                  <w:r>
                    <w:t xml:space="preserve">▂▇▇▇▅▃▁▁</w:t>
                  </w:r>
                </w:p>
              </w:tc>
              <w:tc>
                <w:tcPr/>
                <w:p>
                  <w:pPr>
                    <w:pStyle w:val="Compact"/>
                    <w:jc w:val="left"/>
                    <w:jc w:val="center"/>
                  </w:pPr>
                  <w:r>
                    <w:t xml:space="preserve">18.55</w:t>
                  </w:r>
                </w:p>
              </w:tc>
              <w:tc>
                <w:tcPr/>
                <w:p>
                  <w:pPr>
                    <w:pStyle w:val="Compact"/>
                    <w:jc w:val="left"/>
                    <w:jc w:val="center"/>
                  </w:pPr>
                  <w:r>
                    <w:t xml:space="preserve">5.41</w:t>
                  </w:r>
                </w:p>
              </w:tc>
              <w:tc>
                <w:tcPr/>
                <w:p>
                  <w:pPr>
                    <w:pStyle w:val="Compact"/>
                    <w:jc w:val="left"/>
                    <w:jc w:val="center"/>
                  </w:pPr>
                  <w:r>
                    <w:t xml:space="preserve">▂▆▇▇▅▄▅▃▁</w:t>
                  </w:r>
                </w:p>
              </w:tc>
            </w:tr>
            <w:tr>
              <w:tc>
                <w:tcPr/>
                <w:p>
                  <w:pPr>
                    <w:pStyle w:val="Compact"/>
                    <w:jc w:val="left"/>
                    <w:jc w:val="center"/>
                  </w:pPr>
                  <w:r>
                    <w:t xml:space="preserve">for. goods share</w:t>
                  </w:r>
                </w:p>
              </w:tc>
              <w:tc>
                <w:tcPr/>
                <w:p>
                  <w:pPr>
                    <w:pStyle w:val="Compact"/>
                    <w:jc w:val="left"/>
                    <w:jc w:val="center"/>
                  </w:pPr>
                  <w:r>
                    <w:t xml:space="preserve">47.62</w:t>
                  </w:r>
                </w:p>
              </w:tc>
              <w:tc>
                <w:tcPr/>
                <w:p>
                  <w:pPr>
                    <w:pStyle w:val="Compact"/>
                    <w:jc w:val="left"/>
                    <w:jc w:val="center"/>
                  </w:pPr>
                  <w:r>
                    <w:t xml:space="preserve">11.39</w:t>
                  </w:r>
                </w:p>
              </w:tc>
              <w:tc>
                <w:tcPr/>
                <w:p>
                  <w:pPr>
                    <w:pStyle w:val="Compact"/>
                    <w:jc w:val="left"/>
                    <w:jc w:val="center"/>
                  </w:pPr>
                  <w:r>
                    <w:t xml:space="preserve">▁▂▂▅▇▆▄▂▁</w:t>
                  </w:r>
                </w:p>
              </w:tc>
              <w:tc>
                <w:tcPr/>
                <w:p>
                  <w:pPr>
                    <w:pStyle w:val="Compact"/>
                    <w:jc w:val="left"/>
                    <w:jc w:val="center"/>
                  </w:pPr>
                  <w:r>
                    <w:t xml:space="preserve">50.30</w:t>
                  </w:r>
                </w:p>
              </w:tc>
              <w:tc>
                <w:tcPr/>
                <w:p>
                  <w:pPr>
                    <w:pStyle w:val="Compact"/>
                    <w:jc w:val="left"/>
                    <w:jc w:val="center"/>
                  </w:pPr>
                  <w:r>
                    <w:t xml:space="preserve">11.98</w:t>
                  </w:r>
                </w:p>
              </w:tc>
              <w:tc>
                <w:tcPr/>
                <w:p>
                  <w:pPr>
                    <w:pStyle w:val="Compact"/>
                    <w:jc w:val="left"/>
                    <w:jc w:val="center"/>
                  </w:pPr>
                  <w:r>
                    <w:t xml:space="preserve">▁▁▃▇▅▇▅▁▂▁</w:t>
                  </w:r>
                </w:p>
              </w:tc>
            </w:tr>
            <w:tr>
              <w:tc>
                <w:tcPr/>
                <w:p>
                  <w:pPr>
                    <w:pStyle w:val="Compact"/>
                    <w:jc w:val="left"/>
                    <w:jc w:val="center"/>
                  </w:pPr>
                  <w:r>
                    <w:t xml:space="preserve">dom. goods share</w:t>
                  </w:r>
                </w:p>
              </w:tc>
              <w:tc>
                <w:tcPr/>
                <w:p>
                  <w:pPr>
                    <w:pStyle w:val="Compact"/>
                    <w:jc w:val="left"/>
                    <w:jc w:val="center"/>
                  </w:pPr>
                  <w:r>
                    <w:t xml:space="preserve">28.37</w:t>
                  </w:r>
                </w:p>
              </w:tc>
              <w:tc>
                <w:tcPr/>
                <w:p>
                  <w:pPr>
                    <w:pStyle w:val="Compact"/>
                    <w:jc w:val="left"/>
                    <w:jc w:val="center"/>
                  </w:pPr>
                  <w:r>
                    <w:t xml:space="preserve">11.11</w:t>
                  </w:r>
                </w:p>
              </w:tc>
              <w:tc>
                <w:tcPr/>
                <w:p>
                  <w:pPr>
                    <w:pStyle w:val="Compact"/>
                    <w:jc w:val="left"/>
                    <w:jc w:val="center"/>
                  </w:pPr>
                  <w:r>
                    <w:t xml:space="preserve">▃▄▇▇▄▂</w:t>
                  </w:r>
                </w:p>
              </w:tc>
              <w:tc>
                <w:tcPr/>
                <w:p>
                  <w:pPr>
                    <w:pStyle w:val="Compact"/>
                    <w:jc w:val="left"/>
                    <w:jc w:val="center"/>
                  </w:pPr>
                  <w:r>
                    <w:t xml:space="preserve">28.60</w:t>
                  </w:r>
                </w:p>
              </w:tc>
              <w:tc>
                <w:tcPr/>
                <w:p>
                  <w:pPr>
                    <w:pStyle w:val="Compact"/>
                    <w:jc w:val="left"/>
                    <w:jc w:val="center"/>
                  </w:pPr>
                  <w:r>
                    <w:t xml:space="preserve">8.57</w:t>
                  </w:r>
                </w:p>
              </w:tc>
              <w:tc>
                <w:tcPr/>
                <w:p>
                  <w:pPr>
                    <w:pStyle w:val="Compact"/>
                    <w:jc w:val="left"/>
                    <w:jc w:val="center"/>
                  </w:pPr>
                  <w:r>
                    <w:t xml:space="preserve">▁▂▂▃▅▇▅▄▂▁</w:t>
                  </w:r>
                </w:p>
              </w:tc>
            </w:tr>
          </w:tbl>
          <w:bookmarkEnd w:id="37"/>
          <w:p/>
        </w:tc>
      </w:tr>
    </w:tbl>
    <w:p>
      <w:pPr>
        <w:pStyle w:val="BodyText"/>
      </w:pPr>
      <w:hyperlink w:anchor="tbl-icio">
        <w:r>
          <w:rPr>
            <w:rStyle w:val="Hyperlink"/>
          </w:rPr>
          <w:t xml:space="preserve">Table 2</w:t>
        </w:r>
      </w:hyperlink>
      <w:r>
        <w:t xml:space="preserve"> </w:t>
      </w:r>
      <w:r>
        <w:t xml:space="preserve">shows Average and standard deviation as well as distribution of value added, output, domestic and foreign goods and services value and share. Unsurprisingly Indonesian manufacturing output and value added is higher than average of 5 countries, amid how large Indonesia is compared to its neighbor. Interestingly, Indonesian manufacturing value added from foreign goods and share is larger than the average, despite Indonesia’s protectionist tendency</w:t>
      </w:r>
      <w:r>
        <w:t xml:space="preserve"> </w:t>
      </w:r>
      <w:r>
        <w:t xml:space="preserve">(Patunru 2023)</w:t>
      </w:r>
      <w:r>
        <w:t xml:space="preserve">. Services, on the other hand, is different, as Indonesian services import lags compared to other countries.</w:t>
      </w:r>
    </w:p>
    <w:p>
      <w:pPr>
        <w:pStyle w:val="BodyText"/>
      </w:pPr>
      <w:r>
        <w:t xml:space="preserve">Lastly, we run 6 fixed effect panel regressions. The first panel consists of two indices, country and sector, which both dummies are used as a fixed effect. The other 5 panels are fixed effect regressions by country, where only sectoral fixed effect is used. This way, we can discuss difference in coefficient between selected countries in the region. We use output and value added as our</w:t>
      </w:r>
      <w:r>
        <w:t xml:space="preserve"> </w:t>
      </w:r>
      <m:oMath>
        <m:sSub>
          <m:e>
            <m:r>
              <m:t>y</m:t>
            </m:r>
          </m:e>
          <m:sub>
            <m:r>
              <m:t>i</m:t>
            </m:r>
          </m:sub>
        </m:sSub>
      </m:oMath>
      <w:r>
        <w:t xml:space="preserve">, so we will have 12 fixed effect panel regressions in total.</w:t>
      </w:r>
    </w:p>
    <w:p>
      <w:pPr>
        <w:pStyle w:val="BodyText"/>
      </w:pPr>
      <w:r>
        <w:t xml:space="preserve">The main variable of interest is</w:t>
      </w:r>
      <w:r>
        <w:t xml:space="preserve"> </w:t>
      </w:r>
      <m:oMath>
        <m:sSub>
          <m:e>
            <m:r>
              <m:t>β</m:t>
            </m:r>
          </m:e>
          <m:sub>
            <m:r>
              <m:t>f</m:t>
            </m:r>
          </m:sub>
        </m:sSub>
      </m:oMath>
      <w:r>
        <w:t xml:space="preserve">. The third unbundling suggests that since firms can now unbundle tasks up to service level, firms who can unbundle its services tasks will theoretically perform better, shown in its value added and output. Likewise, industries with easier services unbundling will benefited more from services trade since there will be more firms able to exploit the third unbundling in these industries. Therefore, we expect to see a</w:t>
      </w:r>
      <w:r>
        <w:t xml:space="preserve"> </w:t>
      </w:r>
      <m:oMath>
        <m:sSub>
          <m:e>
            <m:r>
              <m:t>β</m:t>
            </m:r>
          </m:e>
          <m:sub>
            <m:r>
              <m:t>f</m:t>
            </m:r>
          </m:sub>
        </m:sSub>
        <m:r>
          <m:rPr>
            <m:sty m:val="p"/>
          </m:rPr>
          <m:t>&gt;</m:t>
        </m:r>
        <m:r>
          <m:t>0</m:t>
        </m:r>
      </m:oMath>
      <w:r>
        <w:t xml:space="preserve">.</w:t>
      </w:r>
    </w:p>
    <w:p>
      <w:pPr>
        <w:pStyle w:val="BodyText"/>
      </w:pPr>
      <w:r>
        <w:t xml:space="preserve">Given the limitation of ICIO and its underlying sources (i.e., BaTIS), macro level analysis is added to complement the analysis. We use SEKI, Indonesian database compiled by Bank Indonesia, the central bank, to get services trade, manufactures trade, and manufacturing output. We perform ARDL analysis</w:t>
      </w:r>
      <w:r>
        <w:t xml:space="preserve"> </w:t>
      </w:r>
      <w:r>
        <w:t xml:space="preserve">(Pesaran and Smith 1995)</w:t>
      </w:r>
      <w:r>
        <w:t xml:space="preserve"> </w:t>
      </w:r>
      <w:r>
        <w:t xml:space="preserve">to see whether services trade cointegrates with manufacturing output and export.</w:t>
      </w:r>
    </w:p>
    <w:p>
      <w:pPr>
        <w:pStyle w:val="BodyText"/>
      </w:pPr>
      <w:r>
        <w:t xml:space="preserve">We run four specifications:</w:t>
      </w:r>
    </w:p>
    <w:p>
      <w:pPr>
        <w:pStyle w:val="BodyText"/>
      </w:pPr>
      <w:bookmarkStart w:id="38" w:name="eq-3"/>
      <m:oMathPara>
        <m:oMathParaPr>
          <m:jc m:val="center"/>
        </m:oMathParaPr>
        <m:oMath>
          <m:m>
            <m:mPr>
              <m:baseJc m:val="center"/>
              <m:plcHide m:val="on"/>
              <m:mcs>
                <m:mc>
                  <m:mcPr>
                    <m:mcJc m:val="right"/>
                    <m:count m:val="1"/>
                  </m:mcPr>
                </m:mc>
                <m:mc>
                  <m:mcPr>
                    <m:mcJc m:val="left"/>
                    <m:count m:val="1"/>
                  </m:mcPr>
                </m:mc>
              </m:mcs>
            </m:mPr>
            <m:mr>
              <m:e>
                <m:r>
                  <m:t>e</m:t>
                </m:r>
                <m:r>
                  <m:t>x</m:t>
                </m:r>
                <m:sSub>
                  <m:e>
                    <m:r>
                      <m:t>M</m:t>
                    </m:r>
                  </m:e>
                  <m:sub>
                    <m:r>
                      <m:t>t</m:t>
                    </m:r>
                  </m:sub>
                </m:sSub>
              </m:e>
              <m:e>
                <m:r>
                  <m:rPr>
                    <m:sty m:val="p"/>
                  </m:rPr>
                  <m:t>=</m:t>
                </m:r>
                <m:sSub>
                  <m:e>
                    <m:r>
                      <m:t>α</m:t>
                    </m:r>
                  </m:e>
                  <m:sub>
                    <m:r>
                      <m:t>0</m:t>
                    </m:r>
                  </m:sub>
                </m:sSub>
                <m:r>
                  <m:rPr>
                    <m:sty m:val="p"/>
                  </m:rPr>
                  <m:t>+</m:t>
                </m:r>
                <m:sSub>
                  <m:e>
                    <m:r>
                      <m:t>α</m:t>
                    </m:r>
                  </m:e>
                  <m:sub>
                    <m:r>
                      <m:t>1</m:t>
                    </m:r>
                  </m:sub>
                </m:sSub>
                <m:r>
                  <m:t>e</m:t>
                </m:r>
                <m:r>
                  <m:t>x</m:t>
                </m:r>
                <m:sSub>
                  <m:e>
                    <m:r>
                      <m:t>M</m:t>
                    </m:r>
                  </m:e>
                  <m:sub>
                    <m:r>
                      <m:t>t</m:t>
                    </m:r>
                    <m:r>
                      <m:rPr>
                        <m:sty m:val="p"/>
                      </m:rPr>
                      <m:t>−</m:t>
                    </m:r>
                    <m:r>
                      <m:t>1</m:t>
                    </m:r>
                  </m:sub>
                </m:sSub>
                <m:r>
                  <m:rPr>
                    <m:sty m:val="p"/>
                  </m:rPr>
                  <m:t>+</m:t>
                </m:r>
                <m:sSub>
                  <m:e>
                    <m:r>
                      <m:t>α</m:t>
                    </m:r>
                  </m:e>
                  <m:sub>
                    <m:r>
                      <m:t>2</m:t>
                    </m:r>
                  </m:sub>
                </m:sSub>
                <m:r>
                  <m:t>i</m:t>
                </m:r>
                <m:r>
                  <m:t>m</m:t>
                </m:r>
                <m:sSub>
                  <m:e>
                    <m:r>
                      <m:t>M</m:t>
                    </m:r>
                  </m:e>
                  <m:sub>
                    <m:r>
                      <m:t>t</m:t>
                    </m:r>
                  </m:sub>
                </m:sSub>
                <m:r>
                  <m:rPr>
                    <m:sty m:val="p"/>
                  </m:rPr>
                  <m:t>+</m:t>
                </m:r>
                <m:sSub>
                  <m:e>
                    <m:r>
                      <m:t>α</m:t>
                    </m:r>
                  </m:e>
                  <m:sub>
                    <m:r>
                      <m:t>3</m:t>
                    </m:r>
                  </m:sub>
                </m:sSub>
                <m:r>
                  <m:t>i</m:t>
                </m:r>
                <m:r>
                  <m:t>m</m:t>
                </m:r>
                <m:r>
                  <m:t>S</m:t>
                </m:r>
                <m:r>
                  <m:t>e</m:t>
                </m:r>
                <m:sSub>
                  <m:e>
                    <m:r>
                      <m:t>v</m:t>
                    </m:r>
                  </m:e>
                  <m:sub>
                    <m:r>
                      <m:t>t</m:t>
                    </m:r>
                  </m:sub>
                </m:sSub>
                <m:r>
                  <m:rPr>
                    <m:sty m:val="p"/>
                  </m:rPr>
                  <m:t>+</m:t>
                </m:r>
                <m:sSub>
                  <m:e>
                    <m:r>
                      <m:t>ν</m:t>
                    </m:r>
                  </m:e>
                  <m:sub>
                    <m:r>
                      <m:t>i</m:t>
                    </m:r>
                  </m:sub>
                </m:sSub>
              </m:e>
            </m:mr>
            <m:mr>
              <m:e>
                <m:r>
                  <m:t>e</m:t>
                </m:r>
                <m:r>
                  <m:t>x</m:t>
                </m:r>
                <m:sSub>
                  <m:e>
                    <m:r>
                      <m:t>M</m:t>
                    </m:r>
                  </m:e>
                  <m:sub>
                    <m:r>
                      <m:t>t</m:t>
                    </m:r>
                  </m:sub>
                </m:sSub>
              </m:e>
              <m:e>
                <m:r>
                  <m:rPr>
                    <m:sty m:val="p"/>
                  </m:rPr>
                  <m:t>=</m:t>
                </m:r>
                <m:sSub>
                  <m:e>
                    <m:r>
                      <m:t>γ</m:t>
                    </m:r>
                  </m:e>
                  <m:sub>
                    <m:r>
                      <m:t>0</m:t>
                    </m:r>
                  </m:sub>
                </m:sSub>
                <m:r>
                  <m:rPr>
                    <m:sty m:val="p"/>
                  </m:rPr>
                  <m:t>+</m:t>
                </m:r>
                <m:sSub>
                  <m:e>
                    <m:r>
                      <m:t>γ</m:t>
                    </m:r>
                  </m:e>
                  <m:sub>
                    <m:r>
                      <m:t>1</m:t>
                    </m:r>
                  </m:sub>
                </m:sSub>
                <m:r>
                  <m:t>e</m:t>
                </m:r>
                <m:r>
                  <m:t>x</m:t>
                </m:r>
                <m:sSub>
                  <m:e>
                    <m:r>
                      <m:t>M</m:t>
                    </m:r>
                  </m:e>
                  <m:sub>
                    <m:r>
                      <m:t>t</m:t>
                    </m:r>
                    <m:r>
                      <m:rPr>
                        <m:sty m:val="p"/>
                      </m:rPr>
                      <m:t>−</m:t>
                    </m:r>
                    <m:r>
                      <m:t>1</m:t>
                    </m:r>
                  </m:sub>
                </m:sSub>
                <m:r>
                  <m:rPr>
                    <m:sty m:val="p"/>
                  </m:rPr>
                  <m:t>+</m:t>
                </m:r>
                <m:sSub>
                  <m:e>
                    <m:r>
                      <m:t>γ</m:t>
                    </m:r>
                  </m:e>
                  <m:sub>
                    <m:r>
                      <m:t>2</m:t>
                    </m:r>
                  </m:sub>
                </m:sSub>
                <m:r>
                  <m:t>i</m:t>
                </m:r>
                <m:r>
                  <m:t>m</m:t>
                </m:r>
                <m:sSub>
                  <m:e>
                    <m:r>
                      <m:t>M</m:t>
                    </m:r>
                  </m:e>
                  <m:sub>
                    <m:r>
                      <m:t>t</m:t>
                    </m:r>
                  </m:sub>
                </m:sSub>
                <m:r>
                  <m:rPr>
                    <m:sty m:val="p"/>
                  </m:rPr>
                  <m:t>+</m:t>
                </m:r>
                <m:sSub>
                  <m:e>
                    <m:r>
                      <m:t>γ</m:t>
                    </m:r>
                  </m:e>
                  <m:sub>
                    <m:r>
                      <m:t>3</m:t>
                    </m:r>
                  </m:sub>
                </m:sSub>
                <m:r>
                  <m:t>i</m:t>
                </m:r>
                <m:r>
                  <m:t>m</m:t>
                </m:r>
                <m:r>
                  <m:t>S</m:t>
                </m:r>
                <m:r>
                  <m:t>e</m:t>
                </m:r>
                <m:sSub>
                  <m:e>
                    <m:r>
                      <m:t>v</m:t>
                    </m:r>
                  </m:e>
                  <m:sub>
                    <m:r>
                      <m:t>t</m:t>
                    </m:r>
                  </m:sub>
                </m:sSub>
                <m:r>
                  <m:rPr>
                    <m:sty m:val="p"/>
                  </m:rPr>
                  <m:t>+</m:t>
                </m:r>
                <m:sSub>
                  <m:e>
                    <m:r>
                      <m:t>γ</m:t>
                    </m:r>
                  </m:e>
                  <m:sub>
                    <m:r>
                      <m:t>4</m:t>
                    </m:r>
                  </m:sub>
                </m:sSub>
                <m:r>
                  <m:t>i</m:t>
                </m:r>
                <m:r>
                  <m:t>m</m:t>
                </m:r>
                <m:sSub>
                  <m:e>
                    <m:r>
                      <m:t>M</m:t>
                    </m:r>
                  </m:e>
                  <m:sub>
                    <m:r>
                      <m:t>t</m:t>
                    </m:r>
                    <m:r>
                      <m:rPr>
                        <m:sty m:val="p"/>
                      </m:rPr>
                      <m:t>−</m:t>
                    </m:r>
                    <m:r>
                      <m:t>1</m:t>
                    </m:r>
                  </m:sub>
                </m:sSub>
                <m:r>
                  <m:rPr>
                    <m:sty m:val="p"/>
                  </m:rPr>
                  <m:t>+</m:t>
                </m:r>
                <m:sSub>
                  <m:e>
                    <m:r>
                      <m:t>γ</m:t>
                    </m:r>
                  </m:e>
                  <m:sub>
                    <m:r>
                      <m:t>5</m:t>
                    </m:r>
                  </m:sub>
                </m:sSub>
                <m:r>
                  <m:t>i</m:t>
                </m:r>
                <m:r>
                  <m:t>m</m:t>
                </m:r>
                <m:r>
                  <m:t>S</m:t>
                </m:r>
                <m:r>
                  <m:t>e</m:t>
                </m:r>
                <m:sSub>
                  <m:e>
                    <m:r>
                      <m:t>v</m:t>
                    </m:r>
                  </m:e>
                  <m:sub>
                    <m:r>
                      <m:t>t</m:t>
                    </m:r>
                    <m:r>
                      <m:rPr>
                        <m:sty m:val="p"/>
                      </m:rPr>
                      <m:t>−</m:t>
                    </m:r>
                    <m:r>
                      <m:t>1</m:t>
                    </m:r>
                  </m:sub>
                </m:sSub>
                <m:r>
                  <m:rPr>
                    <m:sty m:val="p"/>
                  </m:rPr>
                  <m:t>+</m:t>
                </m:r>
                <m:sSub>
                  <m:e>
                    <m:r>
                      <m:t>υ</m:t>
                    </m:r>
                  </m:e>
                  <m:sub>
                    <m:r>
                      <m:t>i</m:t>
                    </m:r>
                  </m:sub>
                </m:sSub>
              </m:e>
            </m:mr>
            <m:mr>
              <m:e>
                <m:r>
                  <m:t>p</m:t>
                </m:r>
                <m:r>
                  <m:t>d</m:t>
                </m:r>
                <m:sSub>
                  <m:e>
                    <m:r>
                      <m:t>b</m:t>
                    </m:r>
                  </m:e>
                  <m:sub>
                    <m:r>
                      <m:t>t</m:t>
                    </m:r>
                  </m:sub>
                </m:sSub>
              </m:e>
              <m:e>
                <m:r>
                  <m:rPr>
                    <m:sty m:val="p"/>
                  </m:rPr>
                  <m:t>=</m:t>
                </m:r>
                <m:sSub>
                  <m:e>
                    <m:r>
                      <m:t>δ</m:t>
                    </m:r>
                  </m:e>
                  <m:sub>
                    <m:r>
                      <m:t>0</m:t>
                    </m:r>
                  </m:sub>
                </m:sSub>
                <m:r>
                  <m:rPr>
                    <m:sty m:val="p"/>
                  </m:rPr>
                  <m:t>+</m:t>
                </m:r>
                <m:sSub>
                  <m:e>
                    <m:r>
                      <m:t>δ</m:t>
                    </m:r>
                  </m:e>
                  <m:sub>
                    <m:r>
                      <m:t>1</m:t>
                    </m:r>
                  </m:sub>
                </m:sSub>
                <m:r>
                  <m:t>e</m:t>
                </m:r>
                <m:r>
                  <m:t>x</m:t>
                </m:r>
                <m:sSub>
                  <m:e>
                    <m:r>
                      <m:t>M</m:t>
                    </m:r>
                  </m:e>
                  <m:sub>
                    <m:r>
                      <m:t>t</m:t>
                    </m:r>
                    <m:r>
                      <m:rPr>
                        <m:sty m:val="p"/>
                      </m:rPr>
                      <m:t>−</m:t>
                    </m:r>
                    <m:r>
                      <m:t>1</m:t>
                    </m:r>
                  </m:sub>
                </m:sSub>
                <m:r>
                  <m:rPr>
                    <m:sty m:val="p"/>
                  </m:rPr>
                  <m:t>+</m:t>
                </m:r>
                <m:sSub>
                  <m:e>
                    <m:r>
                      <m:t>δ</m:t>
                    </m:r>
                  </m:e>
                  <m:sub>
                    <m:r>
                      <m:t>2</m:t>
                    </m:r>
                  </m:sub>
                </m:sSub>
                <m:r>
                  <m:t>i</m:t>
                </m:r>
                <m:r>
                  <m:t>m</m:t>
                </m:r>
                <m:sSub>
                  <m:e>
                    <m:r>
                      <m:t>M</m:t>
                    </m:r>
                  </m:e>
                  <m:sub>
                    <m:r>
                      <m:t>t</m:t>
                    </m:r>
                  </m:sub>
                </m:sSub>
                <m:r>
                  <m:rPr>
                    <m:sty m:val="p"/>
                  </m:rPr>
                  <m:t>+</m:t>
                </m:r>
                <m:sSub>
                  <m:e>
                    <m:r>
                      <m:t>δ</m:t>
                    </m:r>
                  </m:e>
                  <m:sub>
                    <m:r>
                      <m:t>3</m:t>
                    </m:r>
                  </m:sub>
                </m:sSub>
                <m:r>
                  <m:t>i</m:t>
                </m:r>
                <m:r>
                  <m:t>m</m:t>
                </m:r>
                <m:r>
                  <m:t>S</m:t>
                </m:r>
                <m:r>
                  <m:t>e</m:t>
                </m:r>
                <m:sSub>
                  <m:e>
                    <m:r>
                      <m:t>v</m:t>
                    </m:r>
                  </m:e>
                  <m:sub>
                    <m:r>
                      <m:t>t</m:t>
                    </m:r>
                  </m:sub>
                </m:sSub>
                <m:r>
                  <m:rPr>
                    <m:sty m:val="p"/>
                  </m:rPr>
                  <m:t>+</m:t>
                </m:r>
                <m:sSub>
                  <m:e>
                    <m:r>
                      <m:t>ω</m:t>
                    </m:r>
                  </m:e>
                  <m:sub>
                    <m:r>
                      <m:t>i</m:t>
                    </m:r>
                  </m:sub>
                </m:sSub>
              </m:e>
            </m:mr>
            <m:mr>
              <m:e>
                <m:r>
                  <m:t>p</m:t>
                </m:r>
                <m:r>
                  <m:t>d</m:t>
                </m:r>
                <m:sSub>
                  <m:e>
                    <m:r>
                      <m:t>b</m:t>
                    </m:r>
                  </m:e>
                  <m:sub>
                    <m:r>
                      <m:t>t</m:t>
                    </m:r>
                  </m:sub>
                </m:sSub>
              </m:e>
              <m:e>
                <m:r>
                  <m:rPr>
                    <m:sty m:val="p"/>
                  </m:rPr>
                  <m:t>=</m:t>
                </m:r>
                <m:sSub>
                  <m:e>
                    <m:r>
                      <m:t>θ</m:t>
                    </m:r>
                  </m:e>
                  <m:sub>
                    <m:r>
                      <m:t>0</m:t>
                    </m:r>
                  </m:sub>
                </m:sSub>
                <m:r>
                  <m:rPr>
                    <m:sty m:val="p"/>
                  </m:rPr>
                  <m:t>+</m:t>
                </m:r>
                <m:sSub>
                  <m:e>
                    <m:r>
                      <m:t>θ</m:t>
                    </m:r>
                  </m:e>
                  <m:sub>
                    <m:r>
                      <m:t>1</m:t>
                    </m:r>
                  </m:sub>
                </m:sSub>
                <m:r>
                  <m:t>e</m:t>
                </m:r>
                <m:r>
                  <m:t>x</m:t>
                </m:r>
                <m:sSub>
                  <m:e>
                    <m:r>
                      <m:t>M</m:t>
                    </m:r>
                  </m:e>
                  <m:sub>
                    <m:r>
                      <m:t>t</m:t>
                    </m:r>
                    <m:r>
                      <m:rPr>
                        <m:sty m:val="p"/>
                      </m:rPr>
                      <m:t>−</m:t>
                    </m:r>
                    <m:r>
                      <m:t>1</m:t>
                    </m:r>
                  </m:sub>
                </m:sSub>
                <m:r>
                  <m:rPr>
                    <m:sty m:val="p"/>
                  </m:rPr>
                  <m:t>+</m:t>
                </m:r>
                <m:sSub>
                  <m:e>
                    <m:r>
                      <m:t>θ</m:t>
                    </m:r>
                  </m:e>
                  <m:sub>
                    <m:r>
                      <m:t>2</m:t>
                    </m:r>
                  </m:sub>
                </m:sSub>
                <m:r>
                  <m:t>i</m:t>
                </m:r>
                <m:r>
                  <m:t>m</m:t>
                </m:r>
                <m:sSub>
                  <m:e>
                    <m:r>
                      <m:t>M</m:t>
                    </m:r>
                  </m:e>
                  <m:sub>
                    <m:r>
                      <m:t>t</m:t>
                    </m:r>
                  </m:sub>
                </m:sSub>
                <m:r>
                  <m:rPr>
                    <m:sty m:val="p"/>
                  </m:rPr>
                  <m:t>+</m:t>
                </m:r>
                <m:sSub>
                  <m:e>
                    <m:r>
                      <m:t>θ</m:t>
                    </m:r>
                  </m:e>
                  <m:sub>
                    <m:r>
                      <m:t>3</m:t>
                    </m:r>
                  </m:sub>
                </m:sSub>
                <m:r>
                  <m:t>i</m:t>
                </m:r>
                <m:r>
                  <m:t>m</m:t>
                </m:r>
                <m:r>
                  <m:t>S</m:t>
                </m:r>
                <m:r>
                  <m:t>e</m:t>
                </m:r>
                <m:sSub>
                  <m:e>
                    <m:r>
                      <m:t>v</m:t>
                    </m:r>
                  </m:e>
                  <m:sub>
                    <m:r>
                      <m:t>t</m:t>
                    </m:r>
                  </m:sub>
                </m:sSub>
                <m:r>
                  <m:rPr>
                    <m:sty m:val="p"/>
                  </m:rPr>
                  <m:t>+</m:t>
                </m:r>
                <m:sSub>
                  <m:e>
                    <m:r>
                      <m:t>θ</m:t>
                    </m:r>
                  </m:e>
                  <m:sub>
                    <m:r>
                      <m:t>4</m:t>
                    </m:r>
                  </m:sub>
                </m:sSub>
                <m:r>
                  <m:t>i</m:t>
                </m:r>
                <m:r>
                  <m:t>m</m:t>
                </m:r>
                <m:sSub>
                  <m:e>
                    <m:r>
                      <m:t>M</m:t>
                    </m:r>
                  </m:e>
                  <m:sub>
                    <m:r>
                      <m:t>t</m:t>
                    </m:r>
                    <m:r>
                      <m:rPr>
                        <m:sty m:val="p"/>
                      </m:rPr>
                      <m:t>−</m:t>
                    </m:r>
                    <m:r>
                      <m:t>1</m:t>
                    </m:r>
                  </m:sub>
                </m:sSub>
                <m:r>
                  <m:rPr>
                    <m:sty m:val="p"/>
                  </m:rPr>
                  <m:t>+</m:t>
                </m:r>
                <m:sSub>
                  <m:e>
                    <m:r>
                      <m:t>θ</m:t>
                    </m:r>
                  </m:e>
                  <m:sub>
                    <m:r>
                      <m:t>5</m:t>
                    </m:r>
                  </m:sub>
                </m:sSub>
                <m:r>
                  <m:t>i</m:t>
                </m:r>
                <m:r>
                  <m:t>m</m:t>
                </m:r>
                <m:r>
                  <m:t>S</m:t>
                </m:r>
                <m:r>
                  <m:t>e</m:t>
                </m:r>
                <m:sSub>
                  <m:e>
                    <m:r>
                      <m:t>v</m:t>
                    </m:r>
                  </m:e>
                  <m:sub>
                    <m:r>
                      <m:t>t</m:t>
                    </m:r>
                    <m:r>
                      <m:rPr>
                        <m:sty m:val="p"/>
                      </m:rPr>
                      <m:t>−</m:t>
                    </m:r>
                    <m:r>
                      <m:t>1</m:t>
                    </m:r>
                  </m:sub>
                </m:sSub>
                <m:r>
                  <m:rPr>
                    <m:sty m:val="p"/>
                  </m:rPr>
                  <m:t>+</m:t>
                </m:r>
                <m:sSub>
                  <m:e>
                    <m:r>
                      <m:t>η</m:t>
                    </m:r>
                  </m:e>
                  <m:sub>
                    <m:r>
                      <m:t>i</m:t>
                    </m:r>
                  </m:sub>
                </m:sSub>
              </m:e>
            </m:mr>
          </m:m>
          <m:r>
            <m:t>  </m:t>
          </m:r>
          <m:d>
            <m:dPr>
              <m:begChr m:val="("/>
              <m:endChr m:val=")"/>
              <m:sepChr m:val=""/>
              <m:grow/>
            </m:dPr>
            <m:e>
              <m:r>
                <m:t>3</m:t>
              </m:r>
            </m:e>
          </m:d>
        </m:oMath>
      </m:oMathPara>
      <w:bookmarkEnd w:id="38"/>
    </w:p>
    <w:p>
      <w:pPr>
        <w:pStyle w:val="FirstParagraph"/>
      </w:pPr>
      <w:r>
        <w:t xml:space="preserve">where</w:t>
      </w:r>
      <w:r>
        <w:t xml:space="preserve"> </w:t>
      </w:r>
      <m:oMath>
        <m:r>
          <m:t>e</m:t>
        </m:r>
        <m:r>
          <m:t>x</m:t>
        </m:r>
        <m:r>
          <m:t>M</m:t>
        </m:r>
      </m:oMath>
      <w:r>
        <w:t xml:space="preserve"> </w:t>
      </w:r>
      <w:r>
        <w:t xml:space="preserve">is log manufacturing exports,</w:t>
      </w:r>
      <w:r>
        <w:t xml:space="preserve"> </w:t>
      </w:r>
      <m:oMath>
        <m:r>
          <m:t>p</m:t>
        </m:r>
        <m:r>
          <m:t>d</m:t>
        </m:r>
        <m:r>
          <m:t>b</m:t>
        </m:r>
      </m:oMath>
      <w:r>
        <w:t xml:space="preserve"> </w:t>
      </w:r>
      <w:r>
        <w:t xml:space="preserve">is log manufacturing GDP,</w:t>
      </w:r>
      <w:r>
        <w:t xml:space="preserve"> </w:t>
      </w:r>
      <m:oMath>
        <m:r>
          <m:t>i</m:t>
        </m:r>
        <m:r>
          <m:t>m</m:t>
        </m:r>
        <m:r>
          <m:t>M</m:t>
        </m:r>
      </m:oMath>
      <w:r>
        <w:t xml:space="preserve"> </w:t>
      </w:r>
      <w:r>
        <w:t xml:space="preserve">is log manufacturing imports and</w:t>
      </w:r>
      <w:r>
        <w:t xml:space="preserve"> </w:t>
      </w:r>
      <m:oMath>
        <m:r>
          <m:t>i</m:t>
        </m:r>
        <m:r>
          <m:t>m</m:t>
        </m:r>
        <m:r>
          <m:t>S</m:t>
        </m:r>
        <m:r>
          <m:t>e</m:t>
        </m:r>
        <m:r>
          <m:t>v</m:t>
        </m:r>
      </m:oMath>
      <w:r>
        <w:t xml:space="preserve"> </w:t>
      </w:r>
      <w:r>
        <w:t xml:space="preserve">is log services imports, all for Indonesian level in time</w:t>
      </w:r>
      <w:r>
        <w:t xml:space="preserve"> </w:t>
      </w:r>
      <m:oMath>
        <m:r>
          <m:t>t</m:t>
        </m:r>
      </m:oMath>
      <w:r>
        <w:t xml:space="preserve">, where</w:t>
      </w:r>
      <w:r>
        <w:t xml:space="preserve"> </w:t>
      </w:r>
      <m:oMath>
        <m:r>
          <m:t>t</m:t>
        </m:r>
      </m:oMath>
      <w:r>
        <w:t xml:space="preserve"> </w:t>
      </w:r>
      <w:r>
        <w:t xml:space="preserve">is from 2005 to 2023. The data availability is restricted by the services import which starts from 2005 in the SEKI data. Specifications that we run are</w:t>
      </w:r>
      <w:r>
        <w:t xml:space="preserve"> </w:t>
      </w:r>
      <w:r>
        <w:rPr>
          <w:rStyle w:val="VerbatimChar"/>
        </w:rPr>
        <w:t xml:space="preserve">ARDL(1,0,0)</w:t>
      </w:r>
      <w:r>
        <w:t xml:space="preserve">, the least restrictive, and</w:t>
      </w:r>
      <w:r>
        <w:t xml:space="preserve"> </w:t>
      </w:r>
      <w:r>
        <w:rPr>
          <w:rStyle w:val="VerbatimChar"/>
        </w:rPr>
        <w:t xml:space="preserve">ARDL(1,1,1)</w:t>
      </w:r>
      <w:r>
        <w:t xml:space="preserve"> </w:t>
      </w:r>
      <w:r>
        <w:t xml:space="preserve">which is considered from AIC, BIC and RMSE</w:t>
      </w:r>
      <w:r>
        <w:t xml:space="preserve"> </w:t>
      </w:r>
      <w:r>
        <w:t xml:space="preserve">(Pesaran and Smith 1995; Natsiopoulos and Tzeremes 2022)</w:t>
      </w:r>
      <w:r>
        <w:t xml:space="preserve">.</w:t>
      </w:r>
    </w:p>
    <w:bookmarkEnd w:id="39"/>
    <w:bookmarkStart w:id="103" w:name="discussions"/>
    <w:p>
      <w:pPr>
        <w:pStyle w:val="Heading2"/>
      </w:pPr>
      <w:r>
        <w:t xml:space="preserve">Discussions</w:t>
      </w:r>
    </w:p>
    <w:bookmarkStart w:id="91" w:name="indonesian-trade-in-services"/>
    <w:p>
      <w:pPr>
        <w:pStyle w:val="Heading3"/>
      </w:pPr>
      <w:r>
        <w:t xml:space="preserve">Indonesian trade in services</w:t>
      </w:r>
    </w:p>
    <w:p>
      <w:pPr>
        <w:pStyle w:val="FirstParagraph"/>
      </w:pPr>
      <w:hyperlink w:anchor="fig-S">
        <w:r>
          <w:rPr>
            <w:rStyle w:val="Hyperlink"/>
          </w:rPr>
          <w:t xml:space="preserve">Figure 3</w:t>
        </w:r>
      </w:hyperlink>
      <w:r>
        <w:t xml:space="preserve"> </w:t>
      </w:r>
      <w:r>
        <w:t xml:space="preserve">shows total trade in services in 2021 in million current USD taken from BaTIS. Categories are based on the</w:t>
      </w:r>
      <w:r>
        <w:t xml:space="preserve"> </w:t>
      </w:r>
      <w:hyperlink w:anchor="tbl-1">
        <w:r>
          <w:rPr>
            <w:rStyle w:val="Hyperlink"/>
          </w:rPr>
          <w:t xml:space="preserve">Table 1</w:t>
        </w:r>
      </w:hyperlink>
      <w:r>
        <w:t xml:space="preserve">.</w:t>
      </w:r>
      <w:r>
        <w:t xml:space="preserve"> </w:t>
      </w:r>
      <w:hyperlink w:anchor="fig-CX">
        <w:r>
          <w:rPr>
            <w:rStyle w:val="Hyperlink"/>
          </w:rPr>
          <w:t xml:space="preserve">Figure 3 (a)</w:t>
        </w:r>
      </w:hyperlink>
      <w:r>
        <w:t xml:space="preserve"> </w:t>
      </w:r>
      <w:r>
        <w:t xml:space="preserve">and</w:t>
      </w:r>
      <w:r>
        <w:t xml:space="preserve"> </w:t>
      </w:r>
      <w:hyperlink w:anchor="fig-CM">
        <w:r>
          <w:rPr>
            <w:rStyle w:val="Hyperlink"/>
          </w:rPr>
          <w:t xml:space="preserve">Figure 3 (b)</w:t>
        </w:r>
      </w:hyperlink>
      <w:r>
        <w:t xml:space="preserve"> </w:t>
      </w:r>
      <w:r>
        <w:t xml:space="preserve">shows Indonesia’s top 6 exporter and importer of services in 2021. Singapore is the most important partner in trade in services for Indonesia. China, on the other hand, is the main buyer of Indonesia’s services export. Looking at</w:t>
      </w:r>
      <w:r>
        <w:t xml:space="preserve"> </w:t>
      </w:r>
      <w:hyperlink w:anchor="fig-SX">
        <w:r>
          <w:rPr>
            <w:rStyle w:val="Hyperlink"/>
          </w:rPr>
          <w:t xml:space="preserve">Figure 3 (c)</w:t>
        </w:r>
      </w:hyperlink>
      <w:r>
        <w:t xml:space="preserve"> </w:t>
      </w:r>
      <w:r>
        <w:t xml:space="preserve">and</w:t>
      </w:r>
      <w:r>
        <w:t xml:space="preserve"> </w:t>
      </w:r>
      <w:hyperlink w:anchor="fig-SM">
        <w:r>
          <w:rPr>
            <w:rStyle w:val="Hyperlink"/>
          </w:rPr>
          <w:t xml:space="preserve">Figure 3 (d)</w:t>
        </w:r>
      </w:hyperlink>
      <w:r>
        <w:t xml:space="preserve">, It is evident that Indonesia’s imports dominates exports in all categories bar travel (SD). Additionally, the highest traded services in Indonesia are transport (SC) and business services (SJ), aligned with global trade statistics</w:t>
      </w:r>
      <w:r>
        <w:t xml:space="preserve"> </w:t>
      </w:r>
      <w:r>
        <w:t xml:space="preserve">(Liberatore et al. 2021)</w:t>
      </w:r>
      <w:r>
        <w:t xml:space="preserve">.</w:t>
      </w:r>
    </w:p>
    <w:bookmarkStart w:id="56" w:name="fig-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3" w:name="fig-CX"/>
                <w:p>
                  <w:pPr>
                    <w:pStyle w:val="Compact"/>
                    <w:jc w:val="center"/>
                    <w:jc w:val="left"/>
                  </w:pPr>
                  <w:r>
                    <w:drawing>
                      <wp:inline>
                        <wp:extent cx="2971800" cy="1857375"/>
                        <wp:effectExtent b="0" l="0" r="0" t="0"/>
                        <wp:docPr descr="" title="" id="41" name="Picture"/>
                        <a:graphic>
                          <a:graphicData uri="http://schemas.openxmlformats.org/drawingml/2006/picture">
                            <pic:pic>
                              <pic:nvPicPr>
                                <pic:cNvPr descr="plot/allcx.png" id="42" name="Picture"/>
                                <pic:cNvPicPr>
                                  <a:picLocks noChangeArrowheads="1" noChangeAspect="1"/>
                                </pic:cNvPicPr>
                              </pic:nvPicPr>
                              <pic:blipFill>
                                <a:blip r:embed="rId40"/>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Indonesia’s exports by partner, 2021</w:t>
                  </w:r>
                </w:p>
                <w:bookmarkEnd w:id="4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47" w:name="fig-CM"/>
                <w:p>
                  <w:pPr>
                    <w:pStyle w:val="Compact"/>
                    <w:jc w:val="center"/>
                    <w:jc w:val="left"/>
                  </w:pPr>
                  <w:r>
                    <w:drawing>
                      <wp:inline>
                        <wp:extent cx="2971800" cy="1857375"/>
                        <wp:effectExtent b="0" l="0" r="0" t="0"/>
                        <wp:docPr descr="" title="" id="45" name="Picture"/>
                        <a:graphic>
                          <a:graphicData uri="http://schemas.openxmlformats.org/drawingml/2006/picture">
                            <pic:pic>
                              <pic:nvPicPr>
                                <pic:cNvPr descr="plot/allcm.png" id="46" name="Picture"/>
                                <pic:cNvPicPr>
                                  <a:picLocks noChangeArrowheads="1" noChangeAspect="1"/>
                                </pic:cNvPicPr>
                              </pic:nvPicPr>
                              <pic:blipFill>
                                <a:blip r:embed="rId44"/>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Indonesia’s exports by partner, 2021</w:t>
                  </w:r>
                </w:p>
                <w:bookmarkEnd w:id="4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51" w:name="fig-SX"/>
                <w:p>
                  <w:pPr>
                    <w:pStyle w:val="Compact"/>
                    <w:jc w:val="center"/>
                    <w:jc w:val="left"/>
                  </w:pPr>
                  <w:r>
                    <w:drawing>
                      <wp:inline>
                        <wp:extent cx="2971800" cy="1857375"/>
                        <wp:effectExtent b="0" l="0" r="0" t="0"/>
                        <wp:docPr descr="" title="" id="49" name="Picture"/>
                        <a:graphic>
                          <a:graphicData uri="http://schemas.openxmlformats.org/drawingml/2006/picture">
                            <pic:pic>
                              <pic:nvPicPr>
                                <pic:cNvPr descr="plot/allsx.png" id="50" name="Picture"/>
                                <pic:cNvPicPr>
                                  <a:picLocks noChangeArrowheads="1" noChangeAspect="1"/>
                                </pic:cNvPicPr>
                              </pic:nvPicPr>
                              <pic:blipFill>
                                <a:blip r:embed="rId48"/>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Indonesia’s exports by sector, 2021</w:t>
                  </w:r>
                </w:p>
                <w:bookmarkEnd w:id="5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55" w:name="fig-SM"/>
                <w:p>
                  <w:pPr>
                    <w:pStyle w:val="Compact"/>
                    <w:jc w:val="center"/>
                    <w:jc w:val="left"/>
                  </w:pPr>
                  <w:r>
                    <w:drawing>
                      <wp:inline>
                        <wp:extent cx="2971800" cy="1857375"/>
                        <wp:effectExtent b="0" l="0" r="0" t="0"/>
                        <wp:docPr descr="" title="" id="53" name="Picture"/>
                        <a:graphic>
                          <a:graphicData uri="http://schemas.openxmlformats.org/drawingml/2006/picture">
                            <pic:pic>
                              <pic:nvPicPr>
                                <pic:cNvPr descr="plot/allsm.png" id="54" name="Picture"/>
                                <pic:cNvPicPr>
                                  <a:picLocks noChangeArrowheads="1" noChangeAspect="1"/>
                                </pic:cNvPicPr>
                              </pic:nvPicPr>
                              <pic:blipFill>
                                <a:blip r:embed="rId52"/>
                                <a:stretch>
                                  <a:fillRect/>
                                </a:stretch>
                              </pic:blipFill>
                              <pic:spPr bwMode="auto">
                                <a:xfrm>
                                  <a:off x="0" y="0"/>
                                  <a:ext cx="2971800" cy="18573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Indonesia’s imports by sector, 2021</w:t>
                  </w:r>
                </w:p>
                <w:bookmarkEnd w:id="55"/>
              </w:tc>
            </w:tr>
          </w:tbl>
          <w:p/>
        </w:tc>
      </w:tr>
    </w:tbl>
    <w:p>
      <w:pPr>
        <w:pStyle w:val="BodyText"/>
      </w:pPr>
      <w:pPr>
        <w:spacing w:before="200"/>
        <w:pStyle w:val="ImageCaption"/>
      </w:pPr>
      <w:r>
        <w:t xml:space="preserve">Figure 3: Indonesia’s total services trade by categories, 2021</w:t>
      </w:r>
    </w:p>
    <w:bookmarkEnd w:id="56"/>
    <w:p>
      <w:pPr>
        <w:pStyle w:val="BodyText"/>
      </w:pPr>
      <w:r>
        <w:t xml:space="preserve">We then focuses on Indonesia’s four most important services. These are transport (SC), travel (SD), ICT services (SI) and other business services (SJ). Other business services includes consulting management, research and development, and trade-related services</w:t>
      </w:r>
      <w:r>
        <w:t xml:space="preserve"> </w:t>
      </w:r>
      <w:r>
        <w:t xml:space="preserve">(Liberatore et al. 2021)</w:t>
      </w:r>
      <w:r>
        <w:t xml:space="preserve">. We look at top 6 partners in these sectors annually from 2005-2021 as existed in BaTIS, which can be seen in</w:t>
      </w:r>
      <w:r>
        <w:t xml:space="preserve"> </w:t>
      </w:r>
      <w:hyperlink w:anchor="fig-X">
        <w:r>
          <w:rPr>
            <w:rStyle w:val="Hyperlink"/>
          </w:rPr>
          <w:t xml:space="preserve">Figure 4</w:t>
        </w:r>
      </w:hyperlink>
      <w:r>
        <w:t xml:space="preserve"> </w:t>
      </w:r>
      <w:r>
        <w:t xml:space="preserve">(exports) and</w:t>
      </w:r>
      <w:r>
        <w:t xml:space="preserve"> </w:t>
      </w:r>
      <w:hyperlink w:anchor="fig-M">
        <w:r>
          <w:rPr>
            <w:rStyle w:val="Hyperlink"/>
          </w:rPr>
          <w:t xml:space="preserve">Figure 5</w:t>
        </w:r>
      </w:hyperlink>
      <w:r>
        <w:t xml:space="preserve"> </w:t>
      </w:r>
      <w:r>
        <w:t xml:space="preserve">(imports). Some countries change positions in these top 6 from time to time. A sudden miss of a country does not mean it stops trading with Indonesia, it’s just they are removed from the top 6.</w:t>
      </w:r>
    </w:p>
    <w:bookmarkStart w:id="73" w:name="fig-X"/>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0" w:name="fig-SCX"/>
                <w:p>
                  <w:pPr>
                    <w:pStyle w:val="Compact"/>
                    <w:jc w:val="center"/>
                    <w:jc w:val="left"/>
                  </w:pPr>
                  <w:r>
                    <w:drawing>
                      <wp:inline>
                        <wp:extent cx="2971800" cy="1842702"/>
                        <wp:effectExtent b="0" l="0" r="0" t="0"/>
                        <wp:docPr descr="" title="" id="58" name="Picture"/>
                        <a:graphic>
                          <a:graphicData uri="http://schemas.openxmlformats.org/drawingml/2006/picture">
                            <pic:pic>
                              <pic:nvPicPr>
                                <pic:cNvPr descr="plot/SCEX.png" id="59" name="Picture"/>
                                <pic:cNvPicPr>
                                  <a:picLocks noChangeArrowheads="1" noChangeAspect="1"/>
                                </pic:cNvPicPr>
                              </pic:nvPicPr>
                              <pic:blipFill>
                                <a:blip r:embed="rId57"/>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60"/>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4" w:name="fig-SDX"/>
                <w:p>
                  <w:pPr>
                    <w:pStyle w:val="Compact"/>
                    <w:jc w:val="center"/>
                    <w:jc w:val="left"/>
                  </w:pPr>
                  <w:r>
                    <w:drawing>
                      <wp:inline>
                        <wp:extent cx="2971800" cy="1842702"/>
                        <wp:effectExtent b="0" l="0" r="0" t="0"/>
                        <wp:docPr descr="" title="" id="62" name="Picture"/>
                        <a:graphic>
                          <a:graphicData uri="http://schemas.openxmlformats.org/drawingml/2006/picture">
                            <pic:pic>
                              <pic:nvPicPr>
                                <pic:cNvPr descr="plot/SDEX.png" id="63" name="Picture"/>
                                <pic:cNvPicPr>
                                  <a:picLocks noChangeArrowheads="1" noChangeAspect="1"/>
                                </pic:cNvPicPr>
                              </pic:nvPicPr>
                              <pic:blipFill>
                                <a:blip r:embed="rId61"/>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64"/>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SIX"/>
                <w:p>
                  <w:pPr>
                    <w:pStyle w:val="Compact"/>
                    <w:jc w:val="center"/>
                    <w:jc w:val="left"/>
                  </w:pPr>
                  <w:r>
                    <w:drawing>
                      <wp:inline>
                        <wp:extent cx="2971800" cy="1842702"/>
                        <wp:effectExtent b="0" l="0" r="0" t="0"/>
                        <wp:docPr descr="" title="" id="66" name="Picture"/>
                        <a:graphic>
                          <a:graphicData uri="http://schemas.openxmlformats.org/drawingml/2006/picture">
                            <pic:pic>
                              <pic:nvPicPr>
                                <pic:cNvPr descr="plot/SIEX.png" id="67" name="Picture"/>
                                <pic:cNvPicPr>
                                  <a:picLocks noChangeArrowheads="1" noChangeAspect="1"/>
                                </pic:cNvPicPr>
                              </pic:nvPicPr>
                              <pic:blipFill>
                                <a:blip r:embed="rId65"/>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68"/>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72" w:name="fig-SJX"/>
                <w:p>
                  <w:pPr>
                    <w:pStyle w:val="Compact"/>
                    <w:jc w:val="center"/>
                    <w:jc w:val="left"/>
                  </w:pPr>
                  <w:r>
                    <w:drawing>
                      <wp:inline>
                        <wp:extent cx="2971800" cy="1842702"/>
                        <wp:effectExtent b="0" l="0" r="0" t="0"/>
                        <wp:docPr descr="" title="" id="70" name="Picture"/>
                        <a:graphic>
                          <a:graphicData uri="http://schemas.openxmlformats.org/drawingml/2006/picture">
                            <pic:pic>
                              <pic:nvPicPr>
                                <pic:cNvPr descr="plot/SJEX.png" id="71" name="Picture"/>
                                <pic:cNvPicPr>
                                  <a:picLocks noChangeArrowheads="1" noChangeAspect="1"/>
                                </pic:cNvPicPr>
                              </pic:nvPicPr>
                              <pic:blipFill>
                                <a:blip r:embed="rId69"/>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72"/>
              </w:tc>
            </w:tr>
          </w:tbl>
          <w:p/>
        </w:tc>
      </w:tr>
    </w:tbl>
    <w:p>
      <w:pPr>
        <w:pStyle w:val="BodyText"/>
      </w:pPr>
      <w:pPr>
        <w:spacing w:before="200"/>
        <w:pStyle w:val="ImageCaption"/>
      </w:pPr>
      <w:r>
        <w:t xml:space="preserve">Figure 4: Indonesia’s top 6 exporter destinations to 4 categories, 2005-2021</w:t>
      </w:r>
    </w:p>
    <w:bookmarkEnd w:id="73"/>
    <w:p>
      <w:pPr>
        <w:pStyle w:val="BodyText"/>
      </w:pPr>
      <w:r>
        <w:t xml:space="preserve"> </w:t>
      </w:r>
    </w:p>
    <w:bookmarkStart w:id="90" w:name="fig-M"/>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77" w:name="fig-SCM"/>
                <w:p>
                  <w:pPr>
                    <w:pStyle w:val="Compact"/>
                    <w:jc w:val="center"/>
                    <w:jc w:val="left"/>
                  </w:pPr>
                  <w:r>
                    <w:drawing>
                      <wp:inline>
                        <wp:extent cx="2971800" cy="1842702"/>
                        <wp:effectExtent b="0" l="0" r="0" t="0"/>
                        <wp:docPr descr="" title="" id="75" name="Picture"/>
                        <a:graphic>
                          <a:graphicData uri="http://schemas.openxmlformats.org/drawingml/2006/picture">
                            <pic:pic>
                              <pic:nvPicPr>
                                <pic:cNvPr descr="plot/SCIM.png" id="76" name="Picture"/>
                                <pic:cNvPicPr>
                                  <a:picLocks noChangeArrowheads="1" noChangeAspect="1"/>
                                </pic:cNvPicPr>
                              </pic:nvPicPr>
                              <pic:blipFill>
                                <a:blip r:embed="rId74"/>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Transport</w:t>
                  </w:r>
                </w:p>
                <w:bookmarkEnd w:id="7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1" w:name="fig-SDM"/>
                <w:p>
                  <w:pPr>
                    <w:pStyle w:val="Compact"/>
                    <w:jc w:val="center"/>
                    <w:jc w:val="left"/>
                  </w:pPr>
                  <w:r>
                    <w:drawing>
                      <wp:inline>
                        <wp:extent cx="2971800" cy="1842702"/>
                        <wp:effectExtent b="0" l="0" r="0" t="0"/>
                        <wp:docPr descr="" title="" id="79" name="Picture"/>
                        <a:graphic>
                          <a:graphicData uri="http://schemas.openxmlformats.org/drawingml/2006/picture">
                            <pic:pic>
                              <pic:nvPicPr>
                                <pic:cNvPr descr="plot/SDIM.png" id="80" name="Picture"/>
                                <pic:cNvPicPr>
                                  <a:picLocks noChangeArrowheads="1" noChangeAspect="1"/>
                                </pic:cNvPicPr>
                              </pic:nvPicPr>
                              <pic:blipFill>
                                <a:blip r:embed="rId78"/>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Travel</w:t>
                  </w:r>
                </w:p>
                <w:bookmarkEnd w:id="81"/>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5" w:name="fig-SIM"/>
                <w:p>
                  <w:pPr>
                    <w:pStyle w:val="Compact"/>
                    <w:jc w:val="center"/>
                    <w:jc w:val="left"/>
                  </w:pPr>
                  <w:r>
                    <w:drawing>
                      <wp:inline>
                        <wp:extent cx="2971800" cy="1842702"/>
                        <wp:effectExtent b="0" l="0" r="0" t="0"/>
                        <wp:docPr descr="" title="" id="83" name="Picture"/>
                        <a:graphic>
                          <a:graphicData uri="http://schemas.openxmlformats.org/drawingml/2006/picture">
                            <pic:pic>
                              <pic:nvPicPr>
                                <pic:cNvPr descr="plot/SIIM.png" id="84" name="Picture"/>
                                <pic:cNvPicPr>
                                  <a:picLocks noChangeArrowheads="1" noChangeAspect="1"/>
                                </pic:cNvPicPr>
                              </pic:nvPicPr>
                              <pic:blipFill>
                                <a:blip r:embed="rId82"/>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ICT services</w:t>
                  </w:r>
                </w:p>
                <w:bookmarkEnd w:id="85"/>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89" w:name="fig-SJM"/>
                <w:p>
                  <w:pPr>
                    <w:pStyle w:val="Compact"/>
                    <w:jc w:val="center"/>
                    <w:jc w:val="left"/>
                  </w:pPr>
                  <w:r>
                    <w:drawing>
                      <wp:inline>
                        <wp:extent cx="2971800" cy="1842702"/>
                        <wp:effectExtent b="0" l="0" r="0" t="0"/>
                        <wp:docPr descr="" title="" id="87" name="Picture"/>
                        <a:graphic>
                          <a:graphicData uri="http://schemas.openxmlformats.org/drawingml/2006/picture">
                            <pic:pic>
                              <pic:nvPicPr>
                                <pic:cNvPr descr="plot/SJIM.png" id="88" name="Picture"/>
                                <pic:cNvPicPr>
                                  <a:picLocks noChangeArrowheads="1" noChangeAspect="1"/>
                                </pic:cNvPicPr>
                              </pic:nvPicPr>
                              <pic:blipFill>
                                <a:blip r:embed="rId86"/>
                                <a:stretch>
                                  <a:fillRect/>
                                </a:stretch>
                              </pic:blipFill>
                              <pic:spPr bwMode="auto">
                                <a:xfrm>
                                  <a:off x="0" y="0"/>
                                  <a:ext cx="2971800" cy="18427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Other business services</w:t>
                  </w:r>
                </w:p>
                <w:bookmarkEnd w:id="89"/>
              </w:tc>
            </w:tr>
          </w:tbl>
          <w:p/>
        </w:tc>
      </w:tr>
    </w:tbl>
    <w:p>
      <w:pPr>
        <w:pStyle w:val="BodyText"/>
      </w:pPr>
      <w:pPr>
        <w:spacing w:before="200"/>
        <w:pStyle w:val="ImageCaption"/>
      </w:pPr>
      <w:r>
        <w:t xml:space="preserve">Figure 5: Indonesia’s top 6 import sources in 4 categories, 2005-2021</w:t>
      </w:r>
    </w:p>
    <w:bookmarkEnd w:id="90"/>
    <w:p>
      <w:pPr>
        <w:pStyle w:val="BodyText"/>
      </w:pPr>
      <w:r>
        <w:t xml:space="preserve">Immediately,</w:t>
      </w:r>
      <w:r>
        <w:t xml:space="preserve"> </w:t>
      </w:r>
      <w:hyperlink w:anchor="fig-X">
        <w:r>
          <w:rPr>
            <w:rStyle w:val="Hyperlink"/>
          </w:rPr>
          <w:t xml:space="preserve">Figure 4</w:t>
        </w:r>
      </w:hyperlink>
      <w:r>
        <w:t xml:space="preserve"> </w:t>
      </w:r>
      <w:r>
        <w:t xml:space="preserve">and</w:t>
      </w:r>
      <w:r>
        <w:t xml:space="preserve"> </w:t>
      </w:r>
      <w:hyperlink w:anchor="fig-M">
        <w:r>
          <w:rPr>
            <w:rStyle w:val="Hyperlink"/>
          </w:rPr>
          <w:t xml:space="preserve">Figure 5</w:t>
        </w:r>
      </w:hyperlink>
      <w:r>
        <w:t xml:space="preserve"> </w:t>
      </w:r>
      <w:r>
        <w:t xml:space="preserve">show significant changes happened in 2020 and 2021, which corroborates the aggregated data in</w:t>
      </w:r>
      <w:r>
        <w:t xml:space="preserve"> </w:t>
      </w:r>
      <w:hyperlink w:anchor="fig-1">
        <w:r>
          <w:rPr>
            <w:rStyle w:val="Hyperlink"/>
          </w:rPr>
          <w:t xml:space="preserve">Figure 1</w:t>
        </w:r>
      </w:hyperlink>
      <w:r>
        <w:t xml:space="preserve">. This is likely due to the COVID-19 pandemic that restrict movement of people.</w:t>
      </w:r>
    </w:p>
    <w:p>
      <w:pPr>
        <w:pStyle w:val="BodyText"/>
      </w:pPr>
      <w:r>
        <w:t xml:space="preserve">This shock, however, affects differently between these four sectors. The transportation sector decrease quite significantly in 2020, but recovered relatively quickly in 2021. The impact in the business services is milder compared to the transportation sector. Meanwhile, we see a significant drop in travel services and have not recovered since. Meanwhile, ICT services are the winner here, with the top 6 partners experience significant increase in both 2020 and 2021.</w:t>
      </w:r>
    </w:p>
    <w:p>
      <w:pPr>
        <w:pStyle w:val="BodyText"/>
      </w:pPr>
      <w:r>
        <w:t xml:space="preserve">Singapore is indeed important in both export and import. Singapore relationship with Indonesia in trade in services dwarves the rest, and this is true for almost all sectors. Travel export is slightly the exception. China and Australia dominates as destinations for Indonesian travel export. In Indonesia, most travel exports comes mainly from tourism. Indeed, tourism is Indonesia’s main services export. Pre-2020, travel services from 6 top exporters far dominates the other 3 categories. Pandemic punishes travel exports more than other sectors and it affects Indonesia’s overall balance of trade in services.</w:t>
      </w:r>
    </w:p>
    <w:p>
      <w:pPr>
        <w:pStyle w:val="BodyText"/>
      </w:pPr>
      <w:r>
        <w:t xml:space="preserve">Overall, countries important for Indonesia in trade in services is not significantly different from trade in goods. Singapore leads, but there are also the US, some EU countries, and other RCEP member states. Trade agreements play a huge role in improving trade in services. Measures that affects movement of natural persons, and other non-tariff measures like computing requirement and investment list are crucial as trade in services can be done in 4 different modes that got affected by these rules.</w:t>
      </w:r>
    </w:p>
    <w:p>
      <w:pPr>
        <w:pStyle w:val="BodyText"/>
      </w:pPr>
      <w:r>
        <w:t xml:space="preserve">Typically, overseeing trade in services and regulatory environment required to increase flow of trade in services are more challenging than trade in goods. In Indonesia, these regulations are often oversaw by different Ministries, and typically discussed separately from other sectors or trade negotiations</w:t>
      </w:r>
      <w:r>
        <w:t xml:space="preserve"> </w:t>
      </w:r>
      <w:r>
        <w:t xml:space="preserve">(Magiera 2011; Lindblad 2015)</w:t>
      </w:r>
      <w:r>
        <w:t xml:space="preserve">. Discussing regulatory environment to improve trade in services would require coordination which is costly compared to trade in goods.</w:t>
      </w:r>
    </w:p>
    <w:p>
      <w:pPr>
        <w:pStyle w:val="BodyText"/>
      </w:pPr>
      <w:r>
        <w:t xml:space="preserve">For example, easing tourism visa requirement typically conducted unilaterally with no consultation with other ministries or any agreements. These kinds of regulation relies more on each Ministers than agreement mechanisms. While IJEPA doesn’t seem to affect trade in services much between Indonesia and Japan</w:t>
      </w:r>
      <w:r>
        <w:t xml:space="preserve"> </w:t>
      </w:r>
      <w:r>
        <w:t xml:space="preserve">(Syahputri and Gupta 2024)</w:t>
      </w:r>
      <w:r>
        <w:t xml:space="preserve">, IACEPA between Indonesia and Australia seems to improve Australian services export through investment in university and hospital.</w:t>
      </w:r>
    </w:p>
    <w:p>
      <w:pPr>
        <w:pStyle w:val="BodyText"/>
      </w:pPr>
      <w:r>
        <w:t xml:space="preserve">More importantly, easing services trade may benefit Indonesia through the third unbundling mechanisms. Many exported services are skill-intensive products, which arguably not Indonesia’s main strength. If these services are important in a production chain of final goods, then outsourcing services production (e.g., design and research) will benefit Indonesian manufacturing. The next section explores an indicative evidence toward this argument.</w:t>
      </w:r>
    </w:p>
    <w:bookmarkEnd w:id="91"/>
    <w:bookmarkStart w:id="102" w:name="manufacturing"/>
    <w:p>
      <w:pPr>
        <w:pStyle w:val="Heading3"/>
      </w:pPr>
      <w:r>
        <w:t xml:space="preserve">Manufacturing</w:t>
      </w:r>
    </w:p>
    <w:bookmarkStart w:id="94" w:name="icio-panel-regression"/>
    <w:p>
      <w:pPr>
        <w:pStyle w:val="Heading4"/>
      </w:pPr>
      <w:r>
        <w:t xml:space="preserve">ICIO Panel regression</w:t>
      </w:r>
    </w:p>
    <w:p>
      <w:pPr>
        <w:pStyle w:val="FirstParagraph"/>
      </w:pPr>
      <w:r>
        <w:t xml:space="preserve">We first turn to our panel regression shown in</w:t>
      </w:r>
      <w:r>
        <w:t xml:space="preserve"> </w:t>
      </w:r>
      <w:hyperlink w:anchor="eq-2">
        <w:r>
          <w:rPr>
            <w:rStyle w:val="Hyperlink"/>
          </w:rPr>
          <w:t xml:space="preserve">Equation 2</w:t>
        </w:r>
      </w:hyperlink>
      <w:r>
        <w:t xml:space="preserve">. As discussed, we run a total 12 regressions divided into two tables.</w:t>
      </w:r>
      <w:r>
        <w:t xml:space="preserve"> </w:t>
      </w:r>
      <w:hyperlink w:anchor="tbl-regv">
        <w:r>
          <w:rPr>
            <w:rStyle w:val="Hyperlink"/>
          </w:rPr>
          <w:t xml:space="preserve">Table 3</w:t>
        </w:r>
      </w:hyperlink>
      <w:r>
        <w:t xml:space="preserve"> </w:t>
      </w:r>
      <w:r>
        <w:t xml:space="preserve">shows results for log of value added as the dependent variable, while</w:t>
      </w:r>
      <w:r>
        <w:t xml:space="preserve"> </w:t>
      </w:r>
      <w:hyperlink w:anchor="tbl-rego">
        <w:r>
          <w:rPr>
            <w:rStyle w:val="Hyperlink"/>
          </w:rPr>
          <w:t xml:space="preserve">Table 4</w:t>
        </w:r>
      </w:hyperlink>
      <w:r>
        <w:t xml:space="preserve"> </w:t>
      </w:r>
      <w:r>
        <w:t xml:space="preserve">is on output. Each table has 6 regressions, which the first column show a result from all countries combined and the rest are from each countries.</w:t>
      </w:r>
    </w:p>
    <w:tbl>
      <w:tblPr>
        <w:tblStyle w:val="Table"/>
        <w:tblW w:type="pct" w:w="5000"/>
        <w:tblLook w:firstRow="0" w:lastRow="0" w:firstColumn="0" w:lastColumn="0" w:noHBand="0" w:noVBand="0" w:val="0000"/>
        <w:jc w:val="start"/>
        <w:tblLayout w:type="fixed"/>
      </w:tblPr>
      <w:tblGrid>
        <w:gridCol w:w="7920"/>
      </w:tblGrid>
      <w:tr>
        <w:tc>
          <w:tcPr/>
          <w:bookmarkStart w:id="92" w:name="tbl-regv"/>
          <w:p>
            <w:pPr>
              <w:jc w:val="center"/>
            </w:pPr>
            <w:pPr>
              <w:jc w:val="start"/>
              <w:spacing w:before="200"/>
              <w:pStyle w:val="ImageCaption"/>
            </w:pPr>
            <w:r>
              <w:t xml:space="preserve">Table 3: Panel regression of log manufacturing value added</w:t>
            </w:r>
          </w:p>
          <w:tbl>
            <w:tblPr>
              <w:tblStyle w:val="Table"/>
              <w:tblW w:type="pct" w:w="4691"/>
              <w:tblLook w:firstRow="1" w:lastRow="1" w:firstColumn="0" w:lastColumn="0" w:noHBand="0" w:noVBand="0" w:val="0020"/>
              <w:jc w:val="start"/>
              <w:tblLayout w:type="fixed"/>
            </w:tblPr>
            <w:tblGrid>
              <w:gridCol w:w="1173"/>
              <w:gridCol w:w="1075"/>
              <w:gridCol w:w="977"/>
              <w:gridCol w:w="977"/>
              <w:gridCol w:w="1075"/>
              <w:gridCol w:w="1075"/>
              <w:gridCol w:w="1075"/>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0.159</w:t>
                  </w:r>
                </w:p>
              </w:tc>
              <w:tc>
                <w:tcPr/>
                <w:p>
                  <w:pPr>
                    <w:pStyle w:val="Compact"/>
                    <w:jc w:val="left"/>
                    <w:jc w:val="center"/>
                  </w:pPr>
                  <w:r>
                    <w:t xml:space="preserve">-0.207</w:t>
                  </w:r>
                </w:p>
              </w:tc>
              <w:tc>
                <w:tcPr/>
                <w:p>
                  <w:pPr>
                    <w:pStyle w:val="Compact"/>
                    <w:jc w:val="left"/>
                    <w:jc w:val="center"/>
                  </w:pPr>
                  <w:r>
                    <w:t xml:space="preserve">0.172</w:t>
                  </w:r>
                </w:p>
              </w:tc>
              <w:tc>
                <w:tcPr/>
                <w:p>
                  <w:pPr>
                    <w:pStyle w:val="Compact"/>
                    <w:jc w:val="left"/>
                    <w:jc w:val="center"/>
                  </w:pPr>
                  <w:r>
                    <w:t xml:space="preserve">0.358**</w:t>
                  </w:r>
                </w:p>
              </w:tc>
              <w:tc>
                <w:tcPr/>
                <w:p>
                  <w:pPr>
                    <w:pStyle w:val="Compact"/>
                    <w:jc w:val="left"/>
                    <w:jc w:val="center"/>
                  </w:pPr>
                  <w:r>
                    <w:t xml:space="preserve">-0.175*</w:t>
                  </w:r>
                </w:p>
              </w:tc>
              <w:tc>
                <w:tcPr/>
                <w:p>
                  <w:pPr>
                    <w:pStyle w:val="Compact"/>
                    <w:jc w:val="left"/>
                    <w:jc w:val="center"/>
                  </w:pPr>
                  <w:r>
                    <w:t xml:space="preserve">0.082</w:t>
                  </w:r>
                </w:p>
              </w:tc>
            </w:tr>
            <w:tr>
              <w:tc>
                <w:tcPr/>
                <w:p>
                  <w:pPr>
                    <w:pStyle w:val="Compact"/>
                  </w:pPr>
                </w:p>
              </w:tc>
              <w:tc>
                <w:tcPr/>
                <w:p>
                  <w:pPr>
                    <w:pStyle w:val="Compact"/>
                    <w:jc w:val="left"/>
                    <w:jc w:val="center"/>
                  </w:pPr>
                  <w:r>
                    <w:t xml:space="preserve">(0.159)</w:t>
                  </w:r>
                </w:p>
              </w:tc>
              <w:tc>
                <w:tcPr/>
                <w:p>
                  <w:pPr>
                    <w:pStyle w:val="Compact"/>
                    <w:jc w:val="left"/>
                    <w:jc w:val="center"/>
                  </w:pPr>
                  <w:r>
                    <w:t xml:space="preserve">(0.283)</w:t>
                  </w:r>
                </w:p>
              </w:tc>
              <w:tc>
                <w:tcPr/>
                <w:p>
                  <w:pPr>
                    <w:pStyle w:val="Compact"/>
                    <w:jc w:val="left"/>
                    <w:jc w:val="center"/>
                  </w:pPr>
                  <w:r>
                    <w:t xml:space="preserve">(0.170)</w:t>
                  </w:r>
                </w:p>
              </w:tc>
              <w:tc>
                <w:tcPr/>
                <w:p>
                  <w:pPr>
                    <w:pStyle w:val="Compact"/>
                    <w:jc w:val="left"/>
                    <w:jc w:val="center"/>
                  </w:pPr>
                  <w:r>
                    <w:t xml:space="preserve">(0.094)</w:t>
                  </w:r>
                </w:p>
              </w:tc>
              <w:tc>
                <w:tcPr/>
                <w:p>
                  <w:pPr>
                    <w:pStyle w:val="Compact"/>
                    <w:jc w:val="left"/>
                    <w:jc w:val="center"/>
                  </w:pPr>
                  <w:r>
                    <w:t xml:space="preserve">(0.062)</w:t>
                  </w:r>
                </w:p>
              </w:tc>
              <w:tc>
                <w:tcPr/>
                <w:p>
                  <w:pPr>
                    <w:pStyle w:val="Compact"/>
                    <w:jc w:val="left"/>
                    <w:jc w:val="center"/>
                  </w:pPr>
                  <w:r>
                    <w:t xml:space="preserve">(0.264)</w:t>
                  </w:r>
                </w:p>
              </w:tc>
            </w:tr>
            <w:tr>
              <w:tc>
                <w:tcPr/>
                <w:p>
                  <w:pPr>
                    <w:pStyle w:val="Compact"/>
                    <w:jc w:val="left"/>
                    <w:jc w:val="center"/>
                  </w:pPr>
                  <w:r>
                    <w:t xml:space="preserve">lds</w:t>
                  </w:r>
                </w:p>
              </w:tc>
              <w:tc>
                <w:tcPr/>
                <w:p>
                  <w:pPr>
                    <w:pStyle w:val="Compact"/>
                    <w:jc w:val="left"/>
                    <w:jc w:val="center"/>
                  </w:pPr>
                  <w:r>
                    <w:t xml:space="preserve">0.708***</w:t>
                  </w:r>
                </w:p>
              </w:tc>
              <w:tc>
                <w:tcPr/>
                <w:p>
                  <w:pPr>
                    <w:pStyle w:val="Compact"/>
                    <w:jc w:val="left"/>
                    <w:jc w:val="center"/>
                  </w:pPr>
                  <w:r>
                    <w:t xml:space="preserve">0.735*</w:t>
                  </w:r>
                </w:p>
              </w:tc>
              <w:tc>
                <w:tcPr/>
                <w:p>
                  <w:pPr>
                    <w:pStyle w:val="Compact"/>
                    <w:jc w:val="left"/>
                    <w:jc w:val="center"/>
                  </w:pPr>
                  <w:r>
                    <w:t xml:space="preserve">0.587*</w:t>
                  </w:r>
                </w:p>
              </w:tc>
              <w:tc>
                <w:tcPr/>
                <w:p>
                  <w:pPr>
                    <w:pStyle w:val="Compact"/>
                    <w:jc w:val="left"/>
                    <w:jc w:val="center"/>
                  </w:pPr>
                  <w:r>
                    <w:t xml:space="preserve">0.479***</w:t>
                  </w:r>
                </w:p>
              </w:tc>
              <w:tc>
                <w:tcPr/>
                <w:p>
                  <w:pPr>
                    <w:pStyle w:val="Compact"/>
                    <w:jc w:val="left"/>
                    <w:jc w:val="center"/>
                  </w:pPr>
                  <w:r>
                    <w:t xml:space="preserve">1.112***</w:t>
                  </w:r>
                </w:p>
              </w:tc>
              <w:tc>
                <w:tcPr/>
                <w:p>
                  <w:pPr>
                    <w:pStyle w:val="Compact"/>
                    <w:jc w:val="left"/>
                    <w:jc w:val="center"/>
                  </w:pPr>
                  <w:r>
                    <w:t xml:space="preserve">0.808***</w:t>
                  </w:r>
                </w:p>
              </w:tc>
            </w:tr>
            <w:tr>
              <w:tc>
                <w:tcPr/>
                <w:p>
                  <w:pPr>
                    <w:pStyle w:val="Compact"/>
                  </w:pPr>
                </w:p>
              </w:tc>
              <w:tc>
                <w:tcPr/>
                <w:p>
                  <w:pPr>
                    <w:pStyle w:val="Compact"/>
                    <w:jc w:val="left"/>
                    <w:jc w:val="center"/>
                  </w:pPr>
                  <w:r>
                    <w:t xml:space="preserve">(0.157)</w:t>
                  </w:r>
                </w:p>
              </w:tc>
              <w:tc>
                <w:tcPr/>
                <w:p>
                  <w:pPr>
                    <w:pStyle w:val="Compact"/>
                    <w:jc w:val="left"/>
                    <w:jc w:val="center"/>
                  </w:pPr>
                  <w:r>
                    <w:t xml:space="preserve">(0.280)</w:t>
                  </w:r>
                </w:p>
              </w:tc>
              <w:tc>
                <w:tcPr/>
                <w:p>
                  <w:pPr>
                    <w:pStyle w:val="Compact"/>
                    <w:jc w:val="left"/>
                    <w:jc w:val="center"/>
                  </w:pPr>
                  <w:r>
                    <w:t xml:space="preserve">(0.209)</w:t>
                  </w:r>
                </w:p>
              </w:tc>
              <w:tc>
                <w:tcPr/>
                <w:p>
                  <w:pPr>
                    <w:pStyle w:val="Compact"/>
                    <w:jc w:val="left"/>
                    <w:jc w:val="center"/>
                  </w:pPr>
                  <w:r>
                    <w:t xml:space="preserve">(0.086)</w:t>
                  </w:r>
                </w:p>
              </w:tc>
              <w:tc>
                <w:tcPr/>
                <w:p>
                  <w:pPr>
                    <w:pStyle w:val="Compact"/>
                    <w:jc w:val="left"/>
                    <w:jc w:val="center"/>
                  </w:pPr>
                  <w:r>
                    <w:t xml:space="preserve">(0.066)</w:t>
                  </w:r>
                </w:p>
              </w:tc>
              <w:tc>
                <w:tcPr/>
                <w:p>
                  <w:pPr>
                    <w:pStyle w:val="Compact"/>
                    <w:jc w:val="left"/>
                    <w:jc w:val="center"/>
                  </w:pPr>
                  <w:r>
                    <w:t xml:space="preserve">(0.173)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0.825</w:t>
                  </w:r>
                </w:p>
              </w:tc>
              <w:tc>
                <w:tcPr/>
                <w:p>
                  <w:pPr>
                    <w:pStyle w:val="Compact"/>
                    <w:jc w:val="left"/>
                    <w:jc w:val="center"/>
                  </w:pPr>
                  <w:r>
                    <w:t xml:space="preserve">0.863</w:t>
                  </w:r>
                </w:p>
              </w:tc>
              <w:tc>
                <w:tcPr/>
                <w:p>
                  <w:pPr>
                    <w:pStyle w:val="Compact"/>
                    <w:jc w:val="left"/>
                    <w:jc w:val="center"/>
                  </w:pPr>
                  <w:r>
                    <w:t xml:space="preserve">0.984</w:t>
                  </w:r>
                </w:p>
              </w:tc>
              <w:tc>
                <w:tcPr/>
                <w:p>
                  <w:pPr>
                    <w:pStyle w:val="Compact"/>
                    <w:jc w:val="left"/>
                    <w:jc w:val="center"/>
                  </w:pPr>
                  <w:r>
                    <w:t xml:space="preserve">0.993</w:t>
                  </w:r>
                </w:p>
              </w:tc>
              <w:tc>
                <w:tcPr/>
                <w:p>
                  <w:pPr>
                    <w:pStyle w:val="Compact"/>
                    <w:jc w:val="left"/>
                    <w:jc w:val="center"/>
                  </w:pPr>
                  <w:r>
                    <w:t xml:space="preserve">0.992</w:t>
                  </w:r>
                </w:p>
              </w:tc>
              <w:tc>
                <w:tcPr/>
                <w:p>
                  <w:pPr>
                    <w:pStyle w:val="Compact"/>
                    <w:jc w:val="left"/>
                    <w:jc w:val="center"/>
                  </w:pPr>
                  <w:r>
                    <w:t xml:space="preserve">0.945</w:t>
                  </w:r>
                </w:p>
              </w:tc>
            </w:tr>
            <w:tr>
              <w:tc>
                <w:tcPr/>
                <w:p>
                  <w:pPr>
                    <w:pStyle w:val="Compact"/>
                    <w:jc w:val="left"/>
                    <w:jc w:val="center"/>
                  </w:pPr>
                  <w:r>
                    <w:t xml:space="preserve">R2 Within</w:t>
                  </w:r>
                </w:p>
              </w:tc>
              <w:tc>
                <w:tcPr/>
                <w:p>
                  <w:pPr>
                    <w:pStyle w:val="Compact"/>
                    <w:jc w:val="left"/>
                    <w:jc w:val="center"/>
                  </w:pPr>
                  <w:r>
                    <w:t xml:space="preserve">0.658</w:t>
                  </w:r>
                </w:p>
              </w:tc>
              <w:tc>
                <w:tcPr/>
                <w:p>
                  <w:pPr>
                    <w:pStyle w:val="Compact"/>
                    <w:jc w:val="left"/>
                    <w:jc w:val="center"/>
                  </w:pPr>
                  <w:r>
                    <w:t xml:space="preserve">0.423</w:t>
                  </w:r>
                </w:p>
              </w:tc>
              <w:tc>
                <w:tcPr/>
                <w:p>
                  <w:pPr>
                    <w:pStyle w:val="Compact"/>
                    <w:jc w:val="left"/>
                    <w:jc w:val="center"/>
                  </w:pPr>
                  <w:r>
                    <w:t xml:space="preserve">0.780</w:t>
                  </w:r>
                </w:p>
              </w:tc>
              <w:tc>
                <w:tcPr/>
                <w:p>
                  <w:pPr>
                    <w:pStyle w:val="Compact"/>
                    <w:jc w:val="left"/>
                    <w:jc w:val="center"/>
                  </w:pPr>
                  <w:r>
                    <w:t xml:space="preserve">0.984</w:t>
                  </w:r>
                </w:p>
              </w:tc>
              <w:tc>
                <w:tcPr/>
                <w:p>
                  <w:pPr>
                    <w:pStyle w:val="Compact"/>
                    <w:jc w:val="left"/>
                    <w:jc w:val="center"/>
                  </w:pPr>
                  <w:r>
                    <w:t xml:space="preserve">0.952</w:t>
                  </w:r>
                </w:p>
              </w:tc>
              <w:tc>
                <w:tcPr/>
                <w:p>
                  <w:pPr>
                    <w:pStyle w:val="Compact"/>
                    <w:jc w:val="left"/>
                    <w:jc w:val="center"/>
                  </w:pPr>
                  <w:r>
                    <w:t xml:space="preserve">0.727</w:t>
                  </w:r>
                </w:p>
              </w:tc>
            </w:tr>
            <w:tr>
              <w:tc>
                <w:tcPr>
                  <w:gridSpan w:val="7"/>
                </w:tcPr>
                <w:p>
                  <w:pPr>
                    <w:numPr>
                      <w:ilvl w:val="0"/>
                      <w:numId w:val="1001"/>
                    </w:numPr>
                    <w:pStyle w:val="Compact"/>
                    <w:jc w:val="left"/>
                    <w:jc w:val="center"/>
                  </w:pPr>
                  <w:r>
                    <w:t xml:space="preserve">p &lt; 0.1, * p &lt; 0.05, ** p &lt; 0.01, *** p &lt; 0.001</w:t>
                  </w:r>
                </w:p>
              </w:tc>
            </w:tr>
          </w:tbl>
          <w:bookmarkEnd w:id="92"/>
          <w:p/>
        </w:tc>
      </w:tr>
    </w:tbl>
    <w:p>
      <w:pPr>
        <w:pStyle w:val="FirstParagraph"/>
      </w:pPr>
      <w:r>
        <w:t xml:space="preserve">First, we look at value added. We can see from</w:t>
      </w:r>
      <w:r>
        <w:t xml:space="preserve"> </w:t>
      </w:r>
      <w:hyperlink w:anchor="tbl-regv">
        <w:r>
          <w:rPr>
            <w:rStyle w:val="Hyperlink"/>
          </w:rPr>
          <w:t xml:space="preserve">Table 3</w:t>
        </w:r>
      </w:hyperlink>
      <w:r>
        <w:t xml:space="preserve"> </w:t>
      </w:r>
      <w:r>
        <w:t xml:space="preserve">that domestic services are generally correlates with domestic manufacturing value added. However, foreign value added does not seem to be important in the domestic value added of manufacturing. Vietnam is the exception, where foreign services seem to move together with domestic value added.</w:t>
      </w:r>
    </w:p>
    <w:tbl>
      <w:tblPr>
        <w:tblStyle w:val="Table"/>
        <w:tblW w:type="pct" w:w="5000"/>
        <w:tblLook w:firstRow="0" w:lastRow="0" w:firstColumn="0" w:lastColumn="0" w:noHBand="0" w:noVBand="0" w:val="0000"/>
        <w:jc w:val="start"/>
        <w:tblLayout w:type="fixed"/>
      </w:tblPr>
      <w:tblGrid>
        <w:gridCol w:w="7920"/>
      </w:tblGrid>
      <w:tr>
        <w:tc>
          <w:tcPr/>
          <w:bookmarkStart w:id="93" w:name="tbl-rego"/>
          <w:p>
            <w:pPr>
              <w:jc w:val="center"/>
            </w:pPr>
            <w:pPr>
              <w:jc w:val="start"/>
              <w:spacing w:before="200"/>
              <w:pStyle w:val="ImageCaption"/>
            </w:pPr>
            <w:r>
              <w:t xml:space="preserve">Table 4: Panel regression of log manufacturing output</w:t>
            </w:r>
          </w:p>
          <w:tbl>
            <w:tblPr>
              <w:tblStyle w:val="Table"/>
              <w:tblW w:type="pct" w:w="4695"/>
              <w:tblLook w:firstRow="1" w:lastRow="1" w:firstColumn="0" w:lastColumn="0" w:noHBand="0" w:noVBand="0" w:val="0020"/>
              <w:jc w:val="start"/>
              <w:tblLayout w:type="fixed"/>
            </w:tblPr>
            <w:tblGrid>
              <w:gridCol w:w="1159"/>
              <w:gridCol w:w="1062"/>
              <w:gridCol w:w="1062"/>
              <w:gridCol w:w="965"/>
              <w:gridCol w:w="1062"/>
              <w:gridCol w:w="1062"/>
              <w:gridCol w:w="1062"/>
            </w:tblGrid>
            <w:tr>
              <w:trPr>
                <w:tblHeader w:val="true"/>
              </w:trPr>
              <w:tc>
                <w:tcPr/>
                <w:p>
                  <w:pPr>
                    <w:pStyle w:val="Compact"/>
                  </w:pPr>
                </w:p>
              </w:tc>
              <w:tc>
                <w:tcPr/>
                <w:p>
                  <w:pPr>
                    <w:pStyle w:val="Compact"/>
                    <w:jc w:val="left"/>
                    <w:jc w:val="center"/>
                  </w:pPr>
                  <w:r>
                    <w:t xml:space="preserve">all</w:t>
                  </w:r>
                </w:p>
              </w:tc>
              <w:tc>
                <w:tcPr/>
                <w:p>
                  <w:pPr>
                    <w:pStyle w:val="Compact"/>
                    <w:jc w:val="left"/>
                    <w:jc w:val="center"/>
                  </w:pPr>
                  <w:r>
                    <w:t xml:space="preserve">IDN</w:t>
                  </w:r>
                </w:p>
              </w:tc>
              <w:tc>
                <w:tcPr/>
                <w:p>
                  <w:pPr>
                    <w:pStyle w:val="Compact"/>
                    <w:jc w:val="left"/>
                    <w:jc w:val="center"/>
                  </w:pPr>
                  <w:r>
                    <w:t xml:space="preserve">SGP</w:t>
                  </w:r>
                </w:p>
              </w:tc>
              <w:tc>
                <w:tcPr/>
                <w:p>
                  <w:pPr>
                    <w:pStyle w:val="Compact"/>
                    <w:jc w:val="left"/>
                    <w:jc w:val="center"/>
                  </w:pPr>
                  <w:r>
                    <w:t xml:space="preserve">VNM</w:t>
                  </w:r>
                </w:p>
              </w:tc>
              <w:tc>
                <w:tcPr/>
                <w:p>
                  <w:pPr>
                    <w:pStyle w:val="Compact"/>
                    <w:jc w:val="left"/>
                    <w:jc w:val="center"/>
                  </w:pPr>
                  <w:r>
                    <w:t xml:space="preserve">THA</w:t>
                  </w:r>
                </w:p>
              </w:tc>
              <w:tc>
                <w:tcPr/>
                <w:p>
                  <w:pPr>
                    <w:pStyle w:val="Compact"/>
                    <w:jc w:val="left"/>
                    <w:jc w:val="center"/>
                  </w:pPr>
                  <w:r>
                    <w:t xml:space="preserve">MYS</w:t>
                  </w:r>
                </w:p>
              </w:tc>
            </w:tr>
            <w:tr>
              <w:tc>
                <w:tcPr/>
                <w:p>
                  <w:pPr>
                    <w:pStyle w:val="Compact"/>
                    <w:jc w:val="left"/>
                    <w:jc w:val="center"/>
                  </w:pPr>
                  <w:r>
                    <w:t xml:space="preserve">lfs</w:t>
                  </w:r>
                </w:p>
              </w:tc>
              <w:tc>
                <w:tcPr/>
                <w:p>
                  <w:pPr>
                    <w:pStyle w:val="Compact"/>
                    <w:jc w:val="left"/>
                    <w:jc w:val="center"/>
                  </w:pPr>
                  <w:r>
                    <w:t xml:space="preserve">0.221+</w:t>
                  </w:r>
                </w:p>
              </w:tc>
              <w:tc>
                <w:tcPr/>
                <w:p>
                  <w:pPr>
                    <w:pStyle w:val="Compact"/>
                    <w:jc w:val="left"/>
                    <w:jc w:val="center"/>
                  </w:pPr>
                  <w:r>
                    <w:t xml:space="preserve">-0.070</w:t>
                  </w:r>
                </w:p>
              </w:tc>
              <w:tc>
                <w:tcPr/>
                <w:p>
                  <w:pPr>
                    <w:pStyle w:val="Compact"/>
                    <w:jc w:val="left"/>
                    <w:jc w:val="center"/>
                  </w:pPr>
                  <w:r>
                    <w:t xml:space="preserve">0.179</w:t>
                  </w:r>
                </w:p>
              </w:tc>
              <w:tc>
                <w:tcPr/>
                <w:p>
                  <w:pPr>
                    <w:pStyle w:val="Compact"/>
                    <w:jc w:val="left"/>
                    <w:jc w:val="center"/>
                  </w:pPr>
                  <w:r>
                    <w:t xml:space="preserve">0.471**</w:t>
                  </w:r>
                </w:p>
              </w:tc>
              <w:tc>
                <w:tcPr/>
                <w:p>
                  <w:pPr>
                    <w:pStyle w:val="Compact"/>
                    <w:jc w:val="left"/>
                    <w:jc w:val="center"/>
                  </w:pPr>
                  <w:r>
                    <w:t xml:space="preserve">0.112+</w:t>
                  </w:r>
                </w:p>
              </w:tc>
              <w:tc>
                <w:tcPr/>
                <w:p>
                  <w:pPr>
                    <w:pStyle w:val="Compact"/>
                    <w:jc w:val="left"/>
                    <w:jc w:val="center"/>
                  </w:pPr>
                  <w:r>
                    <w:t xml:space="preserve">0.155</w:t>
                  </w:r>
                </w:p>
              </w:tc>
            </w:tr>
            <w:tr>
              <w:tc>
                <w:tcPr/>
                <w:p>
                  <w:pPr>
                    <w:pStyle w:val="Compact"/>
                  </w:pPr>
                </w:p>
              </w:tc>
              <w:tc>
                <w:tcPr/>
                <w:p>
                  <w:pPr>
                    <w:pStyle w:val="Compact"/>
                    <w:jc w:val="left"/>
                    <w:jc w:val="center"/>
                  </w:pPr>
                  <w:r>
                    <w:t xml:space="preserve">(0.105)</w:t>
                  </w:r>
                </w:p>
              </w:tc>
              <w:tc>
                <w:tcPr/>
                <w:p>
                  <w:pPr>
                    <w:pStyle w:val="Compact"/>
                    <w:jc w:val="left"/>
                    <w:jc w:val="center"/>
                  </w:pPr>
                  <w:r>
                    <w:t xml:space="preserve">(0.141)</w:t>
                  </w:r>
                </w:p>
              </w:tc>
              <w:tc>
                <w:tcPr/>
                <w:p>
                  <w:pPr>
                    <w:pStyle w:val="Compact"/>
                    <w:jc w:val="left"/>
                    <w:jc w:val="center"/>
                  </w:pPr>
                  <w:r>
                    <w:t xml:space="preserve">(0.138)</w:t>
                  </w:r>
                </w:p>
              </w:tc>
              <w:tc>
                <w:tcPr/>
                <w:p>
                  <w:pPr>
                    <w:pStyle w:val="Compact"/>
                    <w:jc w:val="left"/>
                    <w:jc w:val="center"/>
                  </w:pPr>
                  <w:r>
                    <w:t xml:space="preserve">(0.135)</w:t>
                  </w:r>
                </w:p>
              </w:tc>
              <w:tc>
                <w:tcPr/>
                <w:p>
                  <w:pPr>
                    <w:pStyle w:val="Compact"/>
                    <w:jc w:val="left"/>
                    <w:jc w:val="center"/>
                  </w:pPr>
                  <w:r>
                    <w:t xml:space="preserve">(0.062)</w:t>
                  </w:r>
                </w:p>
              </w:tc>
              <w:tc>
                <w:tcPr/>
                <w:p>
                  <w:pPr>
                    <w:pStyle w:val="Compact"/>
                    <w:jc w:val="left"/>
                    <w:jc w:val="center"/>
                  </w:pPr>
                  <w:r>
                    <w:t xml:space="preserve">(0.166)</w:t>
                  </w:r>
                </w:p>
              </w:tc>
            </w:tr>
            <w:tr>
              <w:tc>
                <w:tcPr/>
                <w:p>
                  <w:pPr>
                    <w:pStyle w:val="Compact"/>
                    <w:jc w:val="left"/>
                    <w:jc w:val="center"/>
                  </w:pPr>
                  <w:r>
                    <w:t xml:space="preserve">lds</w:t>
                  </w:r>
                </w:p>
              </w:tc>
              <w:tc>
                <w:tcPr/>
                <w:p>
                  <w:pPr>
                    <w:pStyle w:val="Compact"/>
                    <w:jc w:val="left"/>
                    <w:jc w:val="center"/>
                  </w:pPr>
                  <w:r>
                    <w:t xml:space="preserve">0.745***</w:t>
                  </w:r>
                </w:p>
              </w:tc>
              <w:tc>
                <w:tcPr/>
                <w:p>
                  <w:pPr>
                    <w:pStyle w:val="Compact"/>
                    <w:jc w:val="left"/>
                    <w:jc w:val="center"/>
                  </w:pPr>
                  <w:r>
                    <w:t xml:space="preserve">0.910***</w:t>
                  </w:r>
                </w:p>
              </w:tc>
              <w:tc>
                <w:tcPr/>
                <w:p>
                  <w:pPr>
                    <w:pStyle w:val="Compact"/>
                    <w:jc w:val="left"/>
                    <w:jc w:val="center"/>
                  </w:pPr>
                  <w:r>
                    <w:t xml:space="preserve">0.640**</w:t>
                  </w:r>
                </w:p>
              </w:tc>
              <w:tc>
                <w:tcPr/>
                <w:p>
                  <w:pPr>
                    <w:pStyle w:val="Compact"/>
                    <w:jc w:val="left"/>
                    <w:jc w:val="center"/>
                  </w:pPr>
                  <w:r>
                    <w:t xml:space="preserve">0.547***</w:t>
                  </w:r>
                </w:p>
              </w:tc>
              <w:tc>
                <w:tcPr/>
                <w:p>
                  <w:pPr>
                    <w:pStyle w:val="Compact"/>
                    <w:jc w:val="left"/>
                    <w:jc w:val="center"/>
                  </w:pPr>
                  <w:r>
                    <w:t xml:space="preserve">0.865***</w:t>
                  </w:r>
                </w:p>
              </w:tc>
              <w:tc>
                <w:tcPr/>
                <w:p>
                  <w:pPr>
                    <w:pStyle w:val="Compact"/>
                    <w:jc w:val="left"/>
                    <w:jc w:val="center"/>
                  </w:pPr>
                  <w:r>
                    <w:t xml:space="preserve">0.745***</w:t>
                  </w:r>
                </w:p>
              </w:tc>
            </w:tr>
            <w:tr>
              <w:tc>
                <w:tcPr/>
                <w:p>
                  <w:pPr>
                    <w:pStyle w:val="Compact"/>
                  </w:pPr>
                </w:p>
              </w:tc>
              <w:tc>
                <w:tcPr/>
                <w:p>
                  <w:pPr>
                    <w:pStyle w:val="Compact"/>
                    <w:jc w:val="left"/>
                    <w:jc w:val="center"/>
                  </w:pPr>
                  <w:r>
                    <w:t xml:space="preserve">(0.103)</w:t>
                  </w:r>
                </w:p>
              </w:tc>
              <w:tc>
                <w:tcPr/>
                <w:p>
                  <w:pPr>
                    <w:pStyle w:val="Compact"/>
                    <w:jc w:val="left"/>
                    <w:jc w:val="center"/>
                  </w:pPr>
                  <w:r>
                    <w:t xml:space="preserve">(0.129)</w:t>
                  </w:r>
                </w:p>
              </w:tc>
              <w:tc>
                <w:tcPr/>
                <w:p>
                  <w:pPr>
                    <w:pStyle w:val="Compact"/>
                    <w:jc w:val="left"/>
                    <w:jc w:val="center"/>
                  </w:pPr>
                  <w:r>
                    <w:t xml:space="preserve">(0.166)</w:t>
                  </w:r>
                </w:p>
              </w:tc>
              <w:tc>
                <w:tcPr/>
                <w:p>
                  <w:pPr>
                    <w:pStyle w:val="Compact"/>
                    <w:jc w:val="left"/>
                    <w:jc w:val="center"/>
                  </w:pPr>
                  <w:r>
                    <w:t xml:space="preserve">(0.123)</w:t>
                  </w:r>
                </w:p>
              </w:tc>
              <w:tc>
                <w:tcPr/>
                <w:p>
                  <w:pPr>
                    <w:pStyle w:val="Compact"/>
                    <w:jc w:val="left"/>
                    <w:jc w:val="center"/>
                  </w:pPr>
                  <w:r>
                    <w:t xml:space="preserve">(0.062)</w:t>
                  </w:r>
                </w:p>
              </w:tc>
              <w:tc>
                <w:tcPr/>
                <w:p>
                  <w:pPr>
                    <w:pStyle w:val="Compact"/>
                    <w:jc w:val="left"/>
                    <w:jc w:val="center"/>
                  </w:pPr>
                  <w:r>
                    <w:t xml:space="preserve">(0.103)</w:t>
                  </w:r>
                </w:p>
              </w:tc>
            </w:tr>
            <w:tr>
              <w:tc>
                <w:tcPr/>
                <w:p>
                  <w:pPr>
                    <w:pStyle w:val="Compact"/>
                    <w:jc w:val="left"/>
                    <w:jc w:val="center"/>
                  </w:pPr>
                  <w:r>
                    <w:t xml:space="preserve">Num.Obs.</w:t>
                  </w:r>
                </w:p>
              </w:tc>
              <w:tc>
                <w:tcPr/>
                <w:p>
                  <w:pPr>
                    <w:pStyle w:val="Compact"/>
                    <w:jc w:val="left"/>
                    <w:jc w:val="center"/>
                  </w:pPr>
                  <w:r>
                    <w:t xml:space="preserve">1520</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c>
                <w:tcPr/>
                <w:p>
                  <w:pPr>
                    <w:pStyle w:val="Compact"/>
                    <w:jc w:val="left"/>
                    <w:jc w:val="center"/>
                  </w:pPr>
                  <w:r>
                    <w:t xml:space="preserve">304</w:t>
                  </w:r>
                </w:p>
              </w:tc>
            </w:tr>
            <w:tr>
              <w:tc>
                <w:tcPr/>
                <w:p>
                  <w:pPr>
                    <w:pStyle w:val="Compact"/>
                    <w:jc w:val="left"/>
                    <w:jc w:val="center"/>
                  </w:pPr>
                  <w:r>
                    <w:t xml:space="preserve">R2</w:t>
                  </w:r>
                </w:p>
              </w:tc>
              <w:tc>
                <w:tcPr/>
                <w:p>
                  <w:pPr>
                    <w:pStyle w:val="Compact"/>
                    <w:jc w:val="left"/>
                    <w:jc w:val="center"/>
                  </w:pPr>
                  <w:r>
                    <w:t xml:space="preserve">0.962</w:t>
                  </w:r>
                </w:p>
              </w:tc>
              <w:tc>
                <w:tcPr/>
                <w:p>
                  <w:pPr>
                    <w:pStyle w:val="Compact"/>
                    <w:jc w:val="left"/>
                    <w:jc w:val="center"/>
                  </w:pPr>
                  <w:r>
                    <w:t xml:space="preserve">0.954</w:t>
                  </w:r>
                </w:p>
              </w:tc>
              <w:tc>
                <w:tcPr/>
                <w:p>
                  <w:pPr>
                    <w:pStyle w:val="Compact"/>
                    <w:jc w:val="left"/>
                    <w:jc w:val="center"/>
                  </w:pPr>
                  <w:r>
                    <w:t xml:space="preserve">0.993</w:t>
                  </w:r>
                </w:p>
              </w:tc>
              <w:tc>
                <w:tcPr/>
                <w:p>
                  <w:pPr>
                    <w:pStyle w:val="Compact"/>
                    <w:jc w:val="left"/>
                    <w:jc w:val="center"/>
                  </w:pPr>
                  <w:r>
                    <w:t xml:space="preserve">0.995</w:t>
                  </w:r>
                </w:p>
              </w:tc>
              <w:tc>
                <w:tcPr/>
                <w:p>
                  <w:pPr>
                    <w:pStyle w:val="Compact"/>
                    <w:jc w:val="left"/>
                    <w:jc w:val="center"/>
                  </w:pPr>
                  <w:r>
                    <w:t xml:space="preserve">0.996</w:t>
                  </w:r>
                </w:p>
              </w:tc>
              <w:tc>
                <w:tcPr/>
                <w:p>
                  <w:pPr>
                    <w:pStyle w:val="Compact"/>
                    <w:jc w:val="left"/>
                    <w:jc w:val="center"/>
                  </w:pPr>
                  <w:r>
                    <w:t xml:space="preserve">0.987</w:t>
                  </w:r>
                </w:p>
              </w:tc>
            </w:tr>
            <w:tr>
              <w:tc>
                <w:tcPr/>
                <w:p>
                  <w:pPr>
                    <w:pStyle w:val="Compact"/>
                    <w:jc w:val="left"/>
                    <w:jc w:val="center"/>
                  </w:pPr>
                  <w:r>
                    <w:t xml:space="preserve">R2 Within</w:t>
                  </w:r>
                </w:p>
              </w:tc>
              <w:tc>
                <w:tcPr/>
                <w:p>
                  <w:pPr>
                    <w:pStyle w:val="Compact"/>
                    <w:jc w:val="left"/>
                    <w:jc w:val="center"/>
                  </w:pPr>
                  <w:r>
                    <w:t xml:space="preserve">0.921</w:t>
                  </w:r>
                </w:p>
              </w:tc>
              <w:tc>
                <w:tcPr/>
                <w:p>
                  <w:pPr>
                    <w:pStyle w:val="Compact"/>
                    <w:jc w:val="left"/>
                    <w:jc w:val="center"/>
                  </w:pPr>
                  <w:r>
                    <w:t xml:space="preserve">0.880</w:t>
                  </w:r>
                </w:p>
              </w:tc>
              <w:tc>
                <w:tcPr/>
                <w:p>
                  <w:pPr>
                    <w:pStyle w:val="Compact"/>
                    <w:jc w:val="left"/>
                    <w:jc w:val="center"/>
                  </w:pPr>
                  <w:r>
                    <w:t xml:space="preserve">0.914</w:t>
                  </w:r>
                </w:p>
              </w:tc>
              <w:tc>
                <w:tcPr/>
                <w:p>
                  <w:pPr>
                    <w:pStyle w:val="Compact"/>
                    <w:jc w:val="left"/>
                    <w:jc w:val="center"/>
                  </w:pPr>
                  <w:r>
                    <w:t xml:space="preserve">0.990</w:t>
                  </w:r>
                </w:p>
              </w:tc>
              <w:tc>
                <w:tcPr/>
                <w:p>
                  <w:pPr>
                    <w:pStyle w:val="Compact"/>
                    <w:jc w:val="left"/>
                    <w:jc w:val="center"/>
                  </w:pPr>
                  <w:r>
                    <w:t xml:space="preserve">0.973</w:t>
                  </w:r>
                </w:p>
              </w:tc>
              <w:tc>
                <w:tcPr/>
                <w:p>
                  <w:pPr>
                    <w:pStyle w:val="Compact"/>
                    <w:jc w:val="left"/>
                    <w:jc w:val="center"/>
                  </w:pPr>
                  <w:r>
                    <w:t xml:space="preserve">0.891</w:t>
                  </w:r>
                </w:p>
              </w:tc>
            </w:tr>
            <w:tr>
              <w:tc>
                <w:tcPr>
                  <w:gridSpan w:val="7"/>
                </w:tcPr>
                <w:p>
                  <w:pPr>
                    <w:numPr>
                      <w:ilvl w:val="0"/>
                      <w:numId w:val="1002"/>
                    </w:numPr>
                    <w:pStyle w:val="Compact"/>
                    <w:jc w:val="left"/>
                    <w:jc w:val="center"/>
                  </w:pPr>
                  <w:r>
                    <w:t xml:space="preserve">p &lt; 0.1, * p &lt; 0.05, ** p &lt; 0.01, *** p &lt; 0.001</w:t>
                  </w:r>
                </w:p>
              </w:tc>
            </w:tr>
          </w:tbl>
          <w:bookmarkEnd w:id="93"/>
          <w:p/>
        </w:tc>
      </w:tr>
    </w:tbl>
    <w:p>
      <w:pPr>
        <w:pStyle w:val="FirstParagraph"/>
      </w:pPr>
      <w:r>
        <w:t xml:space="preserve">Next, we go to</w:t>
      </w:r>
      <w:r>
        <w:t xml:space="preserve"> </w:t>
      </w:r>
      <w:hyperlink w:anchor="tbl-rego">
        <w:r>
          <w:rPr>
            <w:rStyle w:val="Hyperlink"/>
          </w:rPr>
          <w:t xml:space="preserve">Table 4</w:t>
        </w:r>
      </w:hyperlink>
      <w:r>
        <w:t xml:space="preserve"> </w:t>
      </w:r>
      <w:r>
        <w:t xml:space="preserve">to look at the relationship between services inputs and manufacturing output. In this case, the general correlation of services inputs are positive. But again, this positive impact is driven mainly by Vietnam and weakly by Thailand. Most correlation still comes from domestic services value added.</w:t>
      </w:r>
    </w:p>
    <w:p>
      <w:pPr>
        <w:pStyle w:val="BodyText"/>
      </w:pPr>
      <w:r>
        <w:t xml:space="preserve">The results from Thailand seems to suggests the effect of volume</w:t>
      </w:r>
      <w:r>
        <w:t xml:space="preserve"> </w:t>
      </w:r>
      <w:r>
        <w:t xml:space="preserve">(Athukorala and Patunru 2023)</w:t>
      </w:r>
      <w:r>
        <w:t xml:space="preserve">.That is, while domestic value added is reduced by increasing foreign input, but the resulting output means that the reduction of domestic value added is covered by output volume. Indeed, Thailand’s manufacturing tends to be sold abroad a bit more than large economy like Indonesia.</w:t>
      </w:r>
    </w:p>
    <w:bookmarkEnd w:id="94"/>
    <w:bookmarkStart w:id="101" w:name="ardl-results"/>
    <w:p>
      <w:pPr>
        <w:pStyle w:val="Heading4"/>
      </w:pPr>
      <w:r>
        <w:t xml:space="preserve">ARDL results</w:t>
      </w:r>
    </w:p>
    <w:p>
      <w:pPr>
        <w:pStyle w:val="FirstParagraph"/>
      </w:pPr>
      <w:r>
        <w:t xml:space="preserve">We complement previous analysis with more macro, less structured approach. We test whether services import and manufacturing export and output moves together.</w:t>
      </w:r>
      <w:r>
        <w:t xml:space="preserve"> </w:t>
      </w:r>
      <w:hyperlink w:anchor="fig-idn">
        <w:r>
          <w:rPr>
            <w:rStyle w:val="Hyperlink"/>
          </w:rPr>
          <w:t xml:space="preserve">Figure 6</w:t>
        </w:r>
      </w:hyperlink>
      <w:r>
        <w:t xml:space="preserve"> </w:t>
      </w:r>
      <w:r>
        <w:t xml:space="preserve">shows data we use. Manufacturing GDP is omitted for scaling reason, but we can see the vast difference between merchandise trade and services trade during the pandemic in 2020. While we use internet and computer application services more during the pandemic, the huge drop in travels visually dominates Indonesia’s import services. In fact, it is because we can have digital presence that traveling abroad is less needed even as restriction eases.</w:t>
      </w:r>
    </w:p>
    <w:tbl>
      <w:tblPr>
        <w:tblStyle w:val="Table"/>
        <w:tblW w:type="pct" w:w="5000"/>
        <w:tblLook w:firstRow="0" w:lastRow="0" w:firstColumn="0" w:lastColumn="0" w:noHBand="0" w:noVBand="0" w:val="0000"/>
        <w:jc w:val="start"/>
        <w:tblLayout w:type="fixed"/>
      </w:tblPr>
      <w:tblGrid>
        <w:gridCol w:w="7920"/>
      </w:tblGrid>
      <w:tr>
        <w:tc>
          <w:tcPr/>
          <w:bookmarkStart w:id="98" w:name="fig-idn"/>
          <w:p>
            <w:pPr>
              <w:pStyle w:val="Compact"/>
              <w:jc w:val="center"/>
            </w:pPr>
            <w:r>
              <w:drawing>
                <wp:inline>
                  <wp:extent cx="4620126" cy="3696101"/>
                  <wp:effectExtent b="0" l="0" r="0" t="0"/>
                  <wp:docPr descr="" title="" id="96" name="Picture"/>
                  <a:graphic>
                    <a:graphicData uri="http://schemas.openxmlformats.org/drawingml/2006/picture">
                      <pic:pic>
                        <pic:nvPicPr>
                          <pic:cNvPr descr="services_document_files/figure-docx/fig-idn-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Indonesian trade dynamics</w:t>
            </w:r>
          </w:p>
          <w:bookmarkEnd w:id="98"/>
        </w:tc>
      </w:tr>
    </w:tbl>
    <w:p>
      <w:pPr>
        <w:pStyle w:val="BodyText"/>
      </w:pPr>
      <w:r>
        <w:t xml:space="preserve">The log version of variables in</w:t>
      </w:r>
      <w:r>
        <w:t xml:space="preserve"> </w:t>
      </w:r>
      <w:hyperlink w:anchor="fig-idn">
        <w:r>
          <w:rPr>
            <w:rStyle w:val="Hyperlink"/>
          </w:rPr>
          <w:t xml:space="preserve">Figure 6</w:t>
        </w:r>
      </w:hyperlink>
      <w:r>
        <w:t xml:space="preserve"> </w:t>
      </w:r>
      <w:r>
        <w:t xml:space="preserve">is used for the regression, along with log of manufacturing GDP. Summary statistics are presented in</w:t>
      </w:r>
      <w:r>
        <w:t xml:space="preserve"> </w:t>
      </w:r>
      <w:hyperlink w:anchor="tbl-sum2">
        <w:r>
          <w:rPr>
            <w:rStyle w:val="Hyperlink"/>
          </w:rPr>
          <w:t xml:space="preserve">Table 5</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9" w:name="tbl-sum2"/>
          <w:p>
            <w:pPr>
              <w:jc w:val="center"/>
            </w:pPr>
            <w:pPr>
              <w:jc w:val="start"/>
              <w:spacing w:before="200"/>
              <w:pStyle w:val="ImageCaption"/>
            </w:pPr>
            <w:r>
              <w:t xml:space="preserve">Table 5: Summary statistics</w:t>
            </w:r>
          </w:p>
          <w:tbl>
            <w:tblPr>
              <w:tblStyle w:val="Table"/>
              <w:tblW w:type="pct" w:w="4097"/>
              <w:tblLook w:firstRow="1" w:lastRow="0" w:firstColumn="0" w:lastColumn="0" w:noHBand="0" w:noVBand="0" w:val="0020"/>
              <w:jc w:val="start"/>
              <w:tblLayout w:type="fixed"/>
            </w:tblPr>
            <w:tblGrid>
              <w:gridCol w:w="2640"/>
              <w:gridCol w:w="770"/>
              <w:gridCol w:w="990"/>
              <w:gridCol w:w="770"/>
              <w:gridCol w:w="1320"/>
            </w:tblGrid>
            <w:tr>
              <w:trPr>
                <w:tblHeader w:val="true"/>
              </w:trPr>
              <w:tc>
                <w:tcPr/>
                <w:p>
                  <w:pPr>
                    <w:pStyle w:val="Compact"/>
                  </w:pPr>
                </w:p>
              </w:tc>
              <w:tc>
                <w:tcPr/>
                <w:p>
                  <w:pPr>
                    <w:pStyle w:val="Compact"/>
                    <w:jc w:val="left"/>
                    <w:jc w:val="center"/>
                  </w:pPr>
                  <w:r>
                    <w:t xml:space="preserve">Mean</w:t>
                  </w:r>
                </w:p>
              </w:tc>
              <w:tc>
                <w:tcPr/>
                <w:p>
                  <w:pPr>
                    <w:pStyle w:val="Compact"/>
                    <w:jc w:val="left"/>
                    <w:jc w:val="center"/>
                  </w:pPr>
                  <w:r>
                    <w:t xml:space="preserve">Median</w:t>
                  </w:r>
                </w:p>
              </w:tc>
              <w:tc>
                <w:tcPr/>
                <w:p>
                  <w:pPr>
                    <w:pStyle w:val="Compact"/>
                    <w:jc w:val="left"/>
                    <w:jc w:val="center"/>
                  </w:pPr>
                  <w:r>
                    <w:t xml:space="preserve">SD</w:t>
                  </w:r>
                </w:p>
              </w:tc>
              <w:tc>
                <w:tcPr/>
                <w:p>
                  <w:pPr>
                    <w:pStyle w:val="Compact"/>
                    <w:jc w:val="left"/>
                    <w:jc w:val="center"/>
                  </w:pPr>
                  <w:r>
                    <w:t xml:space="preserve">Histogram</w:t>
                  </w:r>
                </w:p>
              </w:tc>
            </w:tr>
            <w:tr>
              <w:tc>
                <w:tcPr/>
                <w:p>
                  <w:pPr>
                    <w:pStyle w:val="Compact"/>
                    <w:jc w:val="left"/>
                    <w:jc w:val="center"/>
                  </w:pPr>
                  <w:r>
                    <w:t xml:space="preserve">log value added</w:t>
                  </w:r>
                </w:p>
              </w:tc>
              <w:tc>
                <w:tcPr/>
                <w:p>
                  <w:pPr>
                    <w:pStyle w:val="Compact"/>
                    <w:jc w:val="left"/>
                    <w:jc w:val="center"/>
                  </w:pPr>
                  <w:r>
                    <w:t xml:space="preserve">7.62</w:t>
                  </w:r>
                </w:p>
              </w:tc>
              <w:tc>
                <w:tcPr/>
                <w:p>
                  <w:pPr>
                    <w:pStyle w:val="Compact"/>
                    <w:jc w:val="left"/>
                    <w:jc w:val="center"/>
                  </w:pPr>
                  <w:r>
                    <w:t xml:space="preserve">7.67</w:t>
                  </w:r>
                </w:p>
              </w:tc>
              <w:tc>
                <w:tcPr/>
                <w:p>
                  <w:pPr>
                    <w:pStyle w:val="Compact"/>
                    <w:jc w:val="left"/>
                    <w:jc w:val="center"/>
                  </w:pPr>
                  <w:r>
                    <w:t xml:space="preserve">1.26</w:t>
                  </w:r>
                </w:p>
              </w:tc>
              <w:tc>
                <w:tcPr/>
                <w:p>
                  <w:pPr>
                    <w:pStyle w:val="Compact"/>
                    <w:jc w:val="left"/>
                    <w:jc w:val="center"/>
                  </w:pPr>
                  <w:r>
                    <w:t xml:space="preserve">▁▁▃▅▇▆▃▁</w:t>
                  </w:r>
                </w:p>
              </w:tc>
            </w:tr>
            <w:tr>
              <w:tc>
                <w:tcPr/>
                <w:p>
                  <w:pPr>
                    <w:pStyle w:val="Compact"/>
                    <w:jc w:val="left"/>
                    <w:jc w:val="center"/>
                  </w:pPr>
                  <w:r>
                    <w:t xml:space="preserve">log output</w:t>
                  </w:r>
                </w:p>
              </w:tc>
              <w:tc>
                <w:tcPr/>
                <w:p>
                  <w:pPr>
                    <w:pStyle w:val="Compact"/>
                    <w:jc w:val="left"/>
                    <w:jc w:val="center"/>
                  </w:pPr>
                  <w:r>
                    <w:t xml:space="preserve">9.01</w:t>
                  </w:r>
                </w:p>
              </w:tc>
              <w:tc>
                <w:tcPr/>
                <w:p>
                  <w:pPr>
                    <w:pStyle w:val="Compact"/>
                    <w:jc w:val="left"/>
                    <w:jc w:val="center"/>
                  </w:pPr>
                  <w:r>
                    <w:t xml:space="preserve">9.06</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foreign services</w:t>
                  </w:r>
                </w:p>
              </w:tc>
              <w:tc>
                <w:tcPr/>
                <w:p>
                  <w:pPr>
                    <w:pStyle w:val="Compact"/>
                    <w:jc w:val="left"/>
                    <w:jc w:val="center"/>
                  </w:pPr>
                  <w:r>
                    <w:t xml:space="preserve">5.98</w:t>
                  </w:r>
                </w:p>
              </w:tc>
              <w:tc>
                <w:tcPr/>
                <w:p>
                  <w:pPr>
                    <w:pStyle w:val="Compact"/>
                    <w:jc w:val="left"/>
                    <w:jc w:val="center"/>
                  </w:pPr>
                  <w:r>
                    <w:t xml:space="preserve">6.00</w:t>
                  </w:r>
                </w:p>
              </w:tc>
              <w:tc>
                <w:tcPr/>
                <w:p>
                  <w:pPr>
                    <w:pStyle w:val="Compact"/>
                    <w:jc w:val="left"/>
                    <w:jc w:val="center"/>
                  </w:pPr>
                  <w:r>
                    <w:t xml:space="preserve">1.21</w:t>
                  </w:r>
                </w:p>
              </w:tc>
              <w:tc>
                <w:tcPr/>
                <w:p>
                  <w:pPr>
                    <w:pStyle w:val="Compact"/>
                    <w:jc w:val="left"/>
                    <w:jc w:val="center"/>
                  </w:pPr>
                  <w:r>
                    <w:t xml:space="preserve">▂▄▇▇▄▁</w:t>
                  </w:r>
                </w:p>
              </w:tc>
            </w:tr>
            <w:tr>
              <w:tc>
                <w:tcPr/>
                <w:p>
                  <w:pPr>
                    <w:pStyle w:val="Compact"/>
                    <w:jc w:val="left"/>
                    <w:jc w:val="center"/>
                  </w:pPr>
                  <w:r>
                    <w:t xml:space="preserve">log domestic services</w:t>
                  </w:r>
                </w:p>
              </w:tc>
              <w:tc>
                <w:tcPr/>
                <w:p>
                  <w:pPr>
                    <w:pStyle w:val="Compact"/>
                    <w:jc w:val="left"/>
                    <w:jc w:val="center"/>
                  </w:pPr>
                  <w:r>
                    <w:t xml:space="preserve">7.23</w:t>
                  </w:r>
                </w:p>
              </w:tc>
              <w:tc>
                <w:tcPr/>
                <w:p>
                  <w:pPr>
                    <w:pStyle w:val="Compact"/>
                    <w:jc w:val="left"/>
                    <w:jc w:val="center"/>
                  </w:pPr>
                  <w:r>
                    <w:t xml:space="preserve">7.23</w:t>
                  </w:r>
                </w:p>
              </w:tc>
              <w:tc>
                <w:tcPr/>
                <w:p>
                  <w:pPr>
                    <w:pStyle w:val="Compact"/>
                    <w:jc w:val="left"/>
                    <w:jc w:val="center"/>
                  </w:pPr>
                  <w:r>
                    <w:t xml:space="preserve">1.25</w:t>
                  </w:r>
                </w:p>
              </w:tc>
              <w:tc>
                <w:tcPr/>
                <w:p>
                  <w:pPr>
                    <w:pStyle w:val="Compact"/>
                    <w:jc w:val="left"/>
                    <w:jc w:val="center"/>
                  </w:pPr>
                  <w:r>
                    <w:t xml:space="preserve">▁▁▃▅▇▆▄▂▁</w:t>
                  </w:r>
                </w:p>
              </w:tc>
            </w:tr>
          </w:tbl>
          <w:bookmarkEnd w:id="99"/>
          <w:p/>
        </w:tc>
      </w:tr>
    </w:tbl>
    <w:p>
      <w:pPr>
        <w:pStyle w:val="BodyText"/>
      </w:pPr>
      <w:r>
        <w:t xml:space="preserve">Results from executing</w:t>
      </w:r>
      <w:r>
        <w:t xml:space="preserve"> </w:t>
      </w:r>
      <w:hyperlink w:anchor="eq-3">
        <w:r>
          <w:rPr>
            <w:rStyle w:val="Hyperlink"/>
          </w:rPr>
          <w:t xml:space="preserve">Equation 3</w:t>
        </w:r>
      </w:hyperlink>
      <w:r>
        <w:t xml:space="preserve"> </w:t>
      </w:r>
      <w:r>
        <w:t xml:space="preserve">is shown in</w:t>
      </w:r>
      <w:r>
        <w:t xml:space="preserve"> </w:t>
      </w:r>
      <w:hyperlink w:anchor="tbl-2">
        <w:r>
          <w:rPr>
            <w:rStyle w:val="Hyperlink"/>
          </w:rPr>
          <w:t xml:space="preserve">Table 6</w:t>
        </w:r>
      </w:hyperlink>
      <w:r>
        <w:t xml:space="preserve">. There are four column, with the first two use log manufactures exports as the left hand-side variable while the latter two uses log manufacturing GDP.</w:t>
      </w:r>
      <w:r>
        <w:t xml:space="preserve"> </w:t>
      </w:r>
      <w:r>
        <w:rPr>
          <w:rStyle w:val="VerbatimChar"/>
        </w:rPr>
        <w:t xml:space="preserve">ARDL(1,0,0)</w:t>
      </w:r>
      <w:r>
        <w:t xml:space="preserve"> </w:t>
      </w:r>
      <w:r>
        <w:t xml:space="preserve">is used for the first column and</w:t>
      </w:r>
      <w:r>
        <w:t xml:space="preserve"> </w:t>
      </w:r>
      <w:r>
        <w:rPr>
          <w:rStyle w:val="VerbatimChar"/>
        </w:rPr>
        <w:t xml:space="preserve">ARDL(1,1,1)</w:t>
      </w:r>
      <w:r>
        <w:t xml:space="preserve"> </w:t>
      </w:r>
      <w:r>
        <w:t xml:space="preserve">is used for the second column of each, as discussed in the previous section.</w:t>
      </w:r>
    </w:p>
    <w:tbl>
      <w:tblPr>
        <w:tblStyle w:val="Table"/>
        <w:tblW w:type="pct" w:w="5000"/>
        <w:tblLook w:firstRow="0" w:lastRow="0" w:firstColumn="0" w:lastColumn="0" w:noHBand="0" w:noVBand="0" w:val="0000"/>
        <w:jc w:val="start"/>
        <w:tblLayout w:type="fixed"/>
      </w:tblPr>
      <w:tblGrid>
        <w:gridCol w:w="7920"/>
      </w:tblGrid>
      <w:tr>
        <w:tc>
          <w:tcPr/>
          <w:bookmarkStart w:id="100" w:name="tbl-2"/>
          <w:p>
            <w:pPr>
              <w:jc w:val="center"/>
            </w:pPr>
            <w:pPr>
              <w:jc w:val="start"/>
              <w:spacing w:before="200"/>
              <w:pStyle w:val="ImageCaption"/>
            </w:pPr>
            <w:r>
              <w:t xml:space="preserve">Table 6: ARDL results on four specifications</w:t>
            </w:r>
          </w:p>
          <w:tbl>
            <w:tblPr>
              <w:tblStyle w:val="Table"/>
              <w:tblW w:type="pct" w:w="4028"/>
              <w:tblLook w:firstRow="1" w:lastRow="1" w:firstColumn="0" w:lastColumn="0" w:noHBand="0" w:noVBand="0" w:val="0020"/>
              <w:jc w:val="start"/>
              <w:tblLayout w:type="fixed"/>
            </w:tblPr>
            <w:tblGrid>
              <w:gridCol w:w="1540"/>
              <w:gridCol w:w="1210"/>
              <w:gridCol w:w="1210"/>
              <w:gridCol w:w="1210"/>
              <w:gridCol w:w="1210"/>
            </w:tblGrid>
            <w:tr>
              <w:trPr>
                <w:tblHeader w:val="true"/>
              </w:trPr>
              <w:tc>
                <w:tcPr/>
                <w:p>
                  <w:pPr>
                    <w:pStyle w:val="Compact"/>
                  </w:pPr>
                </w:p>
              </w:tc>
              <w:tc>
                <w:tcPr/>
                <w:p>
                  <w:pPr>
                    <w:pStyle w:val="Compact"/>
                    <w:jc w:val="left"/>
                    <w:jc w:val="center"/>
                  </w:pPr>
                  <w:r>
                    <w:t xml:space="preserve">Export 1</w:t>
                  </w:r>
                </w:p>
              </w:tc>
              <w:tc>
                <w:tcPr/>
                <w:p>
                  <w:pPr>
                    <w:pStyle w:val="Compact"/>
                    <w:jc w:val="left"/>
                    <w:jc w:val="center"/>
                  </w:pPr>
                  <w:r>
                    <w:t xml:space="preserve">Export 2</w:t>
                  </w:r>
                </w:p>
              </w:tc>
              <w:tc>
                <w:tcPr/>
                <w:p>
                  <w:pPr>
                    <w:pStyle w:val="Compact"/>
                    <w:jc w:val="left"/>
                    <w:jc w:val="center"/>
                  </w:pPr>
                  <w:r>
                    <w:t xml:space="preserve">GDP 1</w:t>
                  </w:r>
                </w:p>
              </w:tc>
              <w:tc>
                <w:tcPr/>
                <w:p>
                  <w:pPr>
                    <w:pStyle w:val="Compact"/>
                    <w:jc w:val="left"/>
                    <w:jc w:val="center"/>
                  </w:pPr>
                  <w:r>
                    <w:t xml:space="preserve">GDP 2</w:t>
                  </w:r>
                </w:p>
              </w:tc>
            </w:tr>
            <w:tr>
              <w:tc>
                <w:tcPr/>
                <w:p>
                  <w:pPr>
                    <w:pStyle w:val="Compact"/>
                    <w:jc w:val="left"/>
                    <w:jc w:val="center"/>
                  </w:pPr>
                  <w:r>
                    <w:t xml:space="preserve">(Intercept)</w:t>
                  </w:r>
                </w:p>
              </w:tc>
              <w:tc>
                <w:tcPr/>
                <w:p>
                  <w:pPr>
                    <w:pStyle w:val="Compact"/>
                    <w:jc w:val="left"/>
                    <w:jc w:val="center"/>
                  </w:pPr>
                  <w:r>
                    <w:t xml:space="preserve">0.704</w:t>
                  </w:r>
                </w:p>
              </w:tc>
              <w:tc>
                <w:tcPr/>
                <w:p>
                  <w:pPr>
                    <w:pStyle w:val="Compact"/>
                    <w:jc w:val="left"/>
                    <w:jc w:val="center"/>
                  </w:pPr>
                  <w:r>
                    <w:t xml:space="preserve">1.354+</w:t>
                  </w:r>
                </w:p>
              </w:tc>
              <w:tc>
                <w:tcPr/>
                <w:p>
                  <w:pPr>
                    <w:pStyle w:val="Compact"/>
                    <w:jc w:val="left"/>
                    <w:jc w:val="center"/>
                  </w:pPr>
                  <w:r>
                    <w:t xml:space="preserve">0.112</w:t>
                  </w:r>
                </w:p>
              </w:tc>
              <w:tc>
                <w:tcPr/>
                <w:p>
                  <w:pPr>
                    <w:pStyle w:val="Compact"/>
                    <w:jc w:val="left"/>
                    <w:jc w:val="center"/>
                  </w:pPr>
                  <w:r>
                    <w:t xml:space="preserve">0.243+</w:t>
                  </w:r>
                </w:p>
              </w:tc>
            </w:tr>
            <w:tr>
              <w:tc>
                <w:tcPr/>
                <w:p>
                  <w:pPr>
                    <w:pStyle w:val="Compact"/>
                  </w:pPr>
                </w:p>
              </w:tc>
              <w:tc>
                <w:tcPr/>
                <w:p>
                  <w:pPr>
                    <w:pStyle w:val="Compact"/>
                    <w:jc w:val="left"/>
                    <w:jc w:val="center"/>
                  </w:pPr>
                  <w:r>
                    <w:t xml:space="preserve">(0.724)</w:t>
                  </w:r>
                </w:p>
              </w:tc>
              <w:tc>
                <w:tcPr/>
                <w:p>
                  <w:pPr>
                    <w:pStyle w:val="Compact"/>
                    <w:jc w:val="left"/>
                    <w:jc w:val="center"/>
                  </w:pPr>
                  <w:r>
                    <w:t xml:space="preserve">(0.692)</w:t>
                  </w:r>
                </w:p>
              </w:tc>
              <w:tc>
                <w:tcPr/>
                <w:p>
                  <w:pPr>
                    <w:pStyle w:val="Compact"/>
                    <w:jc w:val="left"/>
                    <w:jc w:val="center"/>
                  </w:pPr>
                  <w:r>
                    <w:t xml:space="preserve">(0.127)</w:t>
                  </w:r>
                </w:p>
              </w:tc>
              <w:tc>
                <w:tcPr/>
                <w:p>
                  <w:pPr>
                    <w:pStyle w:val="Compact"/>
                    <w:jc w:val="left"/>
                    <w:jc w:val="center"/>
                  </w:pPr>
                  <w:r>
                    <w:t xml:space="preserve">(0.128)</w:t>
                  </w:r>
                </w:p>
              </w:tc>
            </w:tr>
            <w:tr>
              <w:tc>
                <w:tcPr/>
                <w:p>
                  <w:pPr>
                    <w:pStyle w:val="Compact"/>
                    <w:jc w:val="left"/>
                    <w:jc w:val="center"/>
                  </w:pPr>
                  <w:r>
                    <w:t xml:space="preserve">L(exM, 1)</w:t>
                  </w:r>
                </w:p>
              </w:tc>
              <w:tc>
                <w:tcPr/>
                <w:p>
                  <w:pPr>
                    <w:pStyle w:val="Compact"/>
                    <w:jc w:val="left"/>
                    <w:jc w:val="center"/>
                  </w:pPr>
                  <w:r>
                    <w:t xml:space="preserve">0.676**</w:t>
                  </w:r>
                </w:p>
              </w:tc>
              <w:tc>
                <w:tcPr/>
                <w:p>
                  <w:pPr>
                    <w:pStyle w:val="Compact"/>
                    <w:jc w:val="left"/>
                    <w:jc w:val="center"/>
                  </w:pPr>
                  <w:r>
                    <w:t xml:space="preserve">1.135***</w:t>
                  </w:r>
                </w:p>
              </w:tc>
              <w:tc>
                <w:tcPr/>
                <w:p>
                  <w:pPr>
                    <w:pStyle w:val="Compact"/>
                  </w:pPr>
                </w:p>
              </w:tc>
              <w:tc>
                <w:tcPr/>
                <w:p>
                  <w:pPr>
                    <w:pStyle w:val="Compact"/>
                  </w:pPr>
                </w:p>
              </w:tc>
            </w:tr>
            <w:tr>
              <w:tc>
                <w:tcPr/>
                <w:p>
                  <w:pPr>
                    <w:pStyle w:val="Compact"/>
                  </w:pPr>
                </w:p>
              </w:tc>
              <w:tc>
                <w:tcPr/>
                <w:p>
                  <w:pPr>
                    <w:pStyle w:val="Compact"/>
                    <w:jc w:val="left"/>
                    <w:jc w:val="center"/>
                  </w:pPr>
                  <w:r>
                    <w:t xml:space="preserve">(0.222)</w:t>
                  </w:r>
                </w:p>
              </w:tc>
              <w:tc>
                <w:tcPr/>
                <w:p>
                  <w:pPr>
                    <w:pStyle w:val="Compact"/>
                    <w:jc w:val="left"/>
                    <w:jc w:val="center"/>
                  </w:pPr>
                  <w:r>
                    <w:t xml:space="preserve">(0.177)</w:t>
                  </w:r>
                </w:p>
              </w:tc>
              <w:tc>
                <w:tcPr/>
                <w:p>
                  <w:pPr>
                    <w:pStyle w:val="Compact"/>
                  </w:pPr>
                </w:p>
              </w:tc>
              <w:tc>
                <w:tcPr/>
                <w:p>
                  <w:pPr>
                    <w:pStyle w:val="Compact"/>
                  </w:pPr>
                </w:p>
              </w:tc>
            </w:tr>
            <w:tr>
              <w:tc>
                <w:tcPr/>
                <w:p>
                  <w:pPr>
                    <w:pStyle w:val="Compact"/>
                    <w:jc w:val="left"/>
                    <w:jc w:val="center"/>
                  </w:pPr>
                  <w:r>
                    <w:t xml:space="preserve">imM</w:t>
                  </w:r>
                </w:p>
              </w:tc>
              <w:tc>
                <w:tcPr/>
                <w:p>
                  <w:pPr>
                    <w:pStyle w:val="Compact"/>
                    <w:jc w:val="left"/>
                    <w:jc w:val="center"/>
                  </w:pPr>
                  <w:r>
                    <w:t xml:space="preserve">0.273</w:t>
                  </w:r>
                </w:p>
              </w:tc>
              <w:tc>
                <w:tcPr/>
                <w:p>
                  <w:pPr>
                    <w:pStyle w:val="Compact"/>
                    <w:jc w:val="left"/>
                    <w:jc w:val="center"/>
                  </w:pPr>
                  <w:r>
                    <w:t xml:space="preserve">0.307*</w:t>
                  </w:r>
                </w:p>
              </w:tc>
              <w:tc>
                <w:tcPr/>
                <w:p>
                  <w:pPr>
                    <w:pStyle w:val="Compact"/>
                    <w:jc w:val="left"/>
                    <w:jc w:val="center"/>
                  </w:pPr>
                  <w:r>
                    <w:t xml:space="preserve">-0.003</w:t>
                  </w:r>
                </w:p>
              </w:tc>
              <w:tc>
                <w:tcPr/>
                <w:p>
                  <w:pPr>
                    <w:pStyle w:val="Compact"/>
                    <w:jc w:val="left"/>
                    <w:jc w:val="center"/>
                  </w:pPr>
                  <w:r>
                    <w:t xml:space="preserve">-0.023</w:t>
                  </w:r>
                </w:p>
              </w:tc>
            </w:tr>
            <w:tr>
              <w:tc>
                <w:tcPr/>
                <w:p>
                  <w:pPr>
                    <w:pStyle w:val="Compact"/>
                  </w:pPr>
                </w:p>
              </w:tc>
              <w:tc>
                <w:tcPr/>
                <w:p>
                  <w:pPr>
                    <w:pStyle w:val="Compact"/>
                    <w:jc w:val="left"/>
                    <w:jc w:val="center"/>
                  </w:pPr>
                  <w:r>
                    <w:t xml:space="preserve">(0.184)</w:t>
                  </w:r>
                </w:p>
              </w:tc>
              <w:tc>
                <w:tcPr/>
                <w:p>
                  <w:pPr>
                    <w:pStyle w:val="Compact"/>
                    <w:jc w:val="left"/>
                    <w:jc w:val="center"/>
                  </w:pPr>
                  <w:r>
                    <w:t xml:space="preserve">(0.127)</w:t>
                  </w:r>
                </w:p>
              </w:tc>
              <w:tc>
                <w:tcPr/>
                <w:p>
                  <w:pPr>
                    <w:pStyle w:val="Compact"/>
                    <w:jc w:val="left"/>
                    <w:jc w:val="center"/>
                  </w:pPr>
                  <w:r>
                    <w:t xml:space="preserve">(0.020)</w:t>
                  </w:r>
                </w:p>
              </w:tc>
              <w:tc>
                <w:tcPr/>
                <w:p>
                  <w:pPr>
                    <w:pStyle w:val="Compact"/>
                    <w:jc w:val="left"/>
                    <w:jc w:val="center"/>
                  </w:pPr>
                  <w:r>
                    <w:t xml:space="preserve">(0.022)</w:t>
                  </w:r>
                </w:p>
              </w:tc>
            </w:tr>
            <w:tr>
              <w:tc>
                <w:tcPr/>
                <w:p>
                  <w:pPr>
                    <w:pStyle w:val="Compact"/>
                    <w:jc w:val="left"/>
                    <w:jc w:val="center"/>
                  </w:pPr>
                  <w:r>
                    <w:t xml:space="preserve">imSev</w:t>
                  </w:r>
                </w:p>
              </w:tc>
              <w:tc>
                <w:tcPr/>
                <w:p>
                  <w:pPr>
                    <w:pStyle w:val="Compact"/>
                    <w:jc w:val="left"/>
                    <w:jc w:val="center"/>
                  </w:pPr>
                  <w:r>
                    <w:t xml:space="preserve">-0.106</w:t>
                  </w:r>
                </w:p>
              </w:tc>
              <w:tc>
                <w:tcPr/>
                <w:p>
                  <w:pPr>
                    <w:pStyle w:val="Compact"/>
                    <w:jc w:val="left"/>
                    <w:jc w:val="center"/>
                  </w:pPr>
                  <w:r>
                    <w:t xml:space="preserve">-0.130</w:t>
                  </w:r>
                </w:p>
              </w:tc>
              <w:tc>
                <w:tcPr/>
                <w:p>
                  <w:pPr>
                    <w:pStyle w:val="Compact"/>
                    <w:jc w:val="left"/>
                    <w:jc w:val="center"/>
                  </w:pPr>
                  <w:r>
                    <w:t xml:space="preserve">0.098**</w:t>
                  </w:r>
                </w:p>
              </w:tc>
              <w:tc>
                <w:tcPr/>
                <w:p>
                  <w:pPr>
                    <w:pStyle w:val="Compact"/>
                    <w:jc w:val="left"/>
                    <w:jc w:val="center"/>
                  </w:pPr>
                  <w:r>
                    <w:t xml:space="preserve">0.110***</w:t>
                  </w:r>
                </w:p>
              </w:tc>
            </w:tr>
            <w:tr>
              <w:tc>
                <w:tcPr/>
                <w:p>
                  <w:pPr>
                    <w:pStyle w:val="Compact"/>
                  </w:pPr>
                </w:p>
              </w:tc>
              <w:tc>
                <w:tcPr/>
                <w:p>
                  <w:pPr>
                    <w:pStyle w:val="Compact"/>
                    <w:jc w:val="left"/>
                    <w:jc w:val="center"/>
                  </w:pPr>
                  <w:r>
                    <w:t xml:space="preserve">(0.247)</w:t>
                  </w:r>
                </w:p>
              </w:tc>
              <w:tc>
                <w:tcPr/>
                <w:p>
                  <w:pPr>
                    <w:pStyle w:val="Compact"/>
                    <w:jc w:val="left"/>
                    <w:jc w:val="center"/>
                  </w:pPr>
                  <w:r>
                    <w:t xml:space="preserve">(0.146)</w:t>
                  </w:r>
                </w:p>
              </w:tc>
              <w:tc>
                <w:tcPr/>
                <w:p>
                  <w:pPr>
                    <w:pStyle w:val="Compact"/>
                    <w:jc w:val="left"/>
                    <w:jc w:val="center"/>
                  </w:pPr>
                  <w:r>
                    <w:t xml:space="preserve">(0.029)</w:t>
                  </w:r>
                </w:p>
              </w:tc>
              <w:tc>
                <w:tcPr/>
                <w:p>
                  <w:pPr>
                    <w:pStyle w:val="Compact"/>
                    <w:jc w:val="left"/>
                    <w:jc w:val="center"/>
                  </w:pPr>
                  <w:r>
                    <w:t xml:space="preserve">(0.024)</w:t>
                  </w:r>
                </w:p>
              </w:tc>
            </w:tr>
            <w:tr>
              <w:tc>
                <w:tcPr/>
                <w:p>
                  <w:pPr>
                    <w:pStyle w:val="Compact"/>
                    <w:jc w:val="left"/>
                    <w:jc w:val="center"/>
                  </w:pPr>
                  <w:r>
                    <w:t xml:space="preserve">L(imM, 1)</w:t>
                  </w:r>
                </w:p>
              </w:tc>
              <w:tc>
                <w:tcPr/>
                <w:p>
                  <w:pPr>
                    <w:pStyle w:val="Compact"/>
                  </w:pPr>
                </w:p>
              </w:tc>
              <w:tc>
                <w:tcPr/>
                <w:p>
                  <w:pPr>
                    <w:pStyle w:val="Compact"/>
                    <w:jc w:val="left"/>
                    <w:jc w:val="center"/>
                  </w:pPr>
                  <w:r>
                    <w:t xml:space="preserve">-0.151</w:t>
                  </w:r>
                </w:p>
              </w:tc>
              <w:tc>
                <w:tcPr/>
                <w:p>
                  <w:pPr>
                    <w:pStyle w:val="Compact"/>
                  </w:pPr>
                </w:p>
              </w:tc>
              <w:tc>
                <w:tcPr/>
                <w:p>
                  <w:pPr>
                    <w:pStyle w:val="Compact"/>
                    <w:jc w:val="left"/>
                    <w:jc w:val="center"/>
                  </w:pPr>
                  <w:r>
                    <w:t xml:space="preserve">0.031</w:t>
                  </w:r>
                </w:p>
              </w:tc>
            </w:tr>
            <w:tr>
              <w:tc>
                <w:tcPr/>
                <w:p>
                  <w:pPr>
                    <w:pStyle w:val="Compact"/>
                  </w:pPr>
                </w:p>
              </w:tc>
              <w:tc>
                <w:tcPr/>
                <w:p>
                  <w:pPr>
                    <w:pStyle w:val="Compact"/>
                  </w:pPr>
                </w:p>
              </w:tc>
              <w:tc>
                <w:tcPr/>
                <w:p>
                  <w:pPr>
                    <w:pStyle w:val="Compact"/>
                    <w:jc w:val="left"/>
                    <w:jc w:val="center"/>
                  </w:pPr>
                  <w:r>
                    <w:t xml:space="preserve">(0.166)</w:t>
                  </w:r>
                </w:p>
              </w:tc>
              <w:tc>
                <w:tcPr/>
                <w:p>
                  <w:pPr>
                    <w:pStyle w:val="Compact"/>
                  </w:pPr>
                </w:p>
              </w:tc>
              <w:tc>
                <w:tcPr/>
                <w:p>
                  <w:pPr>
                    <w:pStyle w:val="Compact"/>
                    <w:jc w:val="left"/>
                    <w:jc w:val="center"/>
                  </w:pPr>
                  <w:r>
                    <w:t xml:space="preserve">(0.023)</w:t>
                  </w:r>
                </w:p>
              </w:tc>
            </w:tr>
            <w:tr>
              <w:tc>
                <w:tcPr/>
                <w:p>
                  <w:pPr>
                    <w:pStyle w:val="Compact"/>
                    <w:jc w:val="left"/>
                    <w:jc w:val="center"/>
                  </w:pPr>
                  <w:r>
                    <w:t xml:space="preserve">L(imSev, 1)</w:t>
                  </w:r>
                </w:p>
              </w:tc>
              <w:tc>
                <w:tcPr/>
                <w:p>
                  <w:pPr>
                    <w:pStyle w:val="Compact"/>
                  </w:pPr>
                </w:p>
              </w:tc>
              <w:tc>
                <w:tcPr/>
                <w:p>
                  <w:pPr>
                    <w:pStyle w:val="Compact"/>
                    <w:jc w:val="left"/>
                    <w:jc w:val="center"/>
                  </w:pPr>
                  <w:r>
                    <w:t xml:space="preserve">-0.485*</w:t>
                  </w:r>
                </w:p>
              </w:tc>
              <w:tc>
                <w:tcPr/>
                <w:p>
                  <w:pPr>
                    <w:pStyle w:val="Compact"/>
                  </w:pPr>
                </w:p>
              </w:tc>
              <w:tc>
                <w:tcPr/>
                <w:p>
                  <w:pPr>
                    <w:pStyle w:val="Compact"/>
                    <w:jc w:val="left"/>
                    <w:jc w:val="center"/>
                  </w:pPr>
                  <w:r>
                    <w:t xml:space="preserve">-0.083*</w:t>
                  </w:r>
                </w:p>
              </w:tc>
            </w:tr>
            <w:tr>
              <w:tc>
                <w:tcPr/>
                <w:p>
                  <w:pPr>
                    <w:pStyle w:val="Compact"/>
                  </w:pPr>
                </w:p>
              </w:tc>
              <w:tc>
                <w:tcPr/>
                <w:p>
                  <w:pPr>
                    <w:pStyle w:val="Compact"/>
                  </w:pPr>
                </w:p>
              </w:tc>
              <w:tc>
                <w:tcPr/>
                <w:p>
                  <w:pPr>
                    <w:pStyle w:val="Compact"/>
                    <w:jc w:val="left"/>
                    <w:jc w:val="center"/>
                  </w:pPr>
                  <w:r>
                    <w:t xml:space="preserve">(0.182)</w:t>
                  </w:r>
                </w:p>
              </w:tc>
              <w:tc>
                <w:tcPr/>
                <w:p>
                  <w:pPr>
                    <w:pStyle w:val="Compact"/>
                  </w:pPr>
                </w:p>
              </w:tc>
              <w:tc>
                <w:tcPr/>
                <w:p>
                  <w:pPr>
                    <w:pStyle w:val="Compact"/>
                    <w:jc w:val="left"/>
                    <w:jc w:val="center"/>
                  </w:pPr>
                  <w:r>
                    <w:t xml:space="preserve">(0.030)</w:t>
                  </w:r>
                </w:p>
              </w:tc>
            </w:tr>
            <w:tr>
              <w:tc>
                <w:tcPr/>
                <w:p>
                  <w:pPr>
                    <w:pStyle w:val="Compact"/>
                    <w:jc w:val="left"/>
                    <w:jc w:val="center"/>
                  </w:pPr>
                  <w:r>
                    <w:t xml:space="preserve">L(pdb, 1)</w:t>
                  </w:r>
                </w:p>
              </w:tc>
              <w:tc>
                <w:tcPr/>
                <w:p>
                  <w:pPr>
                    <w:pStyle w:val="Compact"/>
                  </w:pPr>
                </w:p>
              </w:tc>
              <w:tc>
                <w:tcPr/>
                <w:p>
                  <w:pPr>
                    <w:pStyle w:val="Compact"/>
                  </w:pPr>
                </w:p>
              </w:tc>
              <w:tc>
                <w:tcPr/>
                <w:p>
                  <w:pPr>
                    <w:pStyle w:val="Compact"/>
                    <w:jc w:val="left"/>
                    <w:jc w:val="center"/>
                  </w:pPr>
                  <w:r>
                    <w:t xml:space="preserve">0.917***</w:t>
                  </w:r>
                </w:p>
              </w:tc>
              <w:tc>
                <w:tcPr/>
                <w:p>
                  <w:pPr>
                    <w:pStyle w:val="Compact"/>
                    <w:jc w:val="left"/>
                    <w:jc w:val="center"/>
                  </w:pPr>
                  <w:r>
                    <w:t xml:space="preserve">0.938***</w:t>
                  </w:r>
                </w:p>
              </w:tc>
            </w:tr>
            <w:tr>
              <w:tc>
                <w:tcPr/>
                <w:p>
                  <w:pPr>
                    <w:pStyle w:val="Compact"/>
                  </w:pPr>
                </w:p>
              </w:tc>
              <w:tc>
                <w:tcPr/>
                <w:p>
                  <w:pPr>
                    <w:pStyle w:val="Compact"/>
                  </w:pPr>
                </w:p>
              </w:tc>
              <w:tc>
                <w:tcPr/>
                <w:p>
                  <w:pPr>
                    <w:pStyle w:val="Compact"/>
                  </w:pPr>
                </w:p>
              </w:tc>
              <w:tc>
                <w:tcPr/>
                <w:p>
                  <w:pPr>
                    <w:pStyle w:val="Compact"/>
                    <w:jc w:val="left"/>
                    <w:jc w:val="center"/>
                  </w:pPr>
                  <w:r>
                    <w:t xml:space="preserve">(0.024)</w:t>
                  </w:r>
                </w:p>
              </w:tc>
              <w:tc>
                <w:tcPr/>
                <w:p>
                  <w:pPr>
                    <w:pStyle w:val="Compact"/>
                    <w:jc w:val="left"/>
                    <w:jc w:val="center"/>
                  </w:pPr>
                  <w:r>
                    <w:t xml:space="preserve">(0.022)</w:t>
                  </w:r>
                </w:p>
              </w:tc>
            </w:tr>
            <w:tr>
              <w:tc>
                <w:tcPr/>
                <w:p>
                  <w:pPr>
                    <w:pStyle w:val="Compact"/>
                    <w:jc w:val="left"/>
                    <w:jc w:val="center"/>
                  </w:pPr>
                  <w:r>
                    <w:t xml:space="preserve">Num.Obs.</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c>
                <w:tcPr/>
                <w:p>
                  <w:pPr>
                    <w:pStyle w:val="Compact"/>
                    <w:jc w:val="left"/>
                    <w:jc w:val="center"/>
                  </w:pPr>
                  <w:r>
                    <w:t xml:space="preserve">18</w:t>
                  </w:r>
                </w:p>
              </w:tc>
            </w:tr>
            <w:tr>
              <w:tc>
                <w:tcPr/>
                <w:p>
                  <w:pPr>
                    <w:pStyle w:val="Compact"/>
                    <w:jc w:val="left"/>
                    <w:jc w:val="center"/>
                  </w:pPr>
                  <w:r>
                    <w:t xml:space="preserve">R2</w:t>
                  </w:r>
                </w:p>
              </w:tc>
              <w:tc>
                <w:tcPr/>
                <w:p>
                  <w:pPr>
                    <w:pStyle w:val="Compact"/>
                    <w:jc w:val="left"/>
                    <w:jc w:val="center"/>
                  </w:pPr>
                  <w:r>
                    <w:t xml:space="preserve">0.881</w:t>
                  </w:r>
                </w:p>
              </w:tc>
              <w:tc>
                <w:tcPr/>
                <w:p>
                  <w:pPr>
                    <w:pStyle w:val="Compact"/>
                    <w:jc w:val="left"/>
                    <w:jc w:val="center"/>
                  </w:pPr>
                  <w:r>
                    <w:t xml:space="preserve">0.967</w:t>
                  </w:r>
                </w:p>
              </w:tc>
              <w:tc>
                <w:tcPr/>
                <w:p>
                  <w:pPr>
                    <w:pStyle w:val="Compact"/>
                    <w:jc w:val="left"/>
                    <w:jc w:val="center"/>
                  </w:pPr>
                  <w:r>
                    <w:t xml:space="preserve">0.997</w:t>
                  </w:r>
                </w:p>
              </w:tc>
              <w:tc>
                <w:tcPr/>
                <w:p>
                  <w:pPr>
                    <w:pStyle w:val="Compact"/>
                    <w:jc w:val="left"/>
                    <w:jc w:val="center"/>
                  </w:pPr>
                  <w:r>
                    <w:t xml:space="preserve">0.998</w:t>
                  </w:r>
                </w:p>
              </w:tc>
            </w:tr>
            <w:tr>
              <w:tc>
                <w:tcPr/>
                <w:p>
                  <w:pPr>
                    <w:pStyle w:val="Compact"/>
                    <w:jc w:val="left"/>
                    <w:jc w:val="center"/>
                  </w:pPr>
                  <w:r>
                    <w:t xml:space="preserve">Log.Lik.</w:t>
                  </w:r>
                </w:p>
              </w:tc>
              <w:tc>
                <w:tcPr/>
                <w:p>
                  <w:pPr>
                    <w:pStyle w:val="Compact"/>
                    <w:jc w:val="left"/>
                    <w:jc w:val="center"/>
                  </w:pPr>
                  <w:r>
                    <w:t xml:space="preserve">32.291</w:t>
                  </w:r>
                </w:p>
              </w:tc>
              <w:tc>
                <w:tcPr/>
                <w:p>
                  <w:pPr>
                    <w:pStyle w:val="Compact"/>
                    <w:jc w:val="left"/>
                    <w:jc w:val="center"/>
                  </w:pPr>
                  <w:r>
                    <w:t xml:space="preserve">43.772</w:t>
                  </w:r>
                </w:p>
              </w:tc>
              <w:tc>
                <w:tcPr/>
                <w:p>
                  <w:pPr>
                    <w:pStyle w:val="Compact"/>
                    <w:jc w:val="left"/>
                    <w:jc w:val="center"/>
                  </w:pPr>
                  <w:r>
                    <w:t xml:space="preserve">70.818</w:t>
                  </w:r>
                </w:p>
              </w:tc>
              <w:tc>
                <w:tcPr/>
                <w:p>
                  <w:pPr>
                    <w:pStyle w:val="Compact"/>
                    <w:jc w:val="left"/>
                    <w:jc w:val="center"/>
                  </w:pPr>
                  <w:r>
                    <w:t xml:space="preserve">76.085</w:t>
                  </w:r>
                </w:p>
              </w:tc>
            </w:tr>
            <w:tr>
              <w:tc>
                <w:tcPr/>
                <w:p>
                  <w:pPr>
                    <w:pStyle w:val="Compact"/>
                    <w:jc w:val="left"/>
                    <w:jc w:val="center"/>
                  </w:pPr>
                  <w:r>
                    <w:t xml:space="preserve">RMSE</w:t>
                  </w:r>
                </w:p>
              </w:tc>
              <w:tc>
                <w:tcPr/>
                <w:p>
                  <w:pPr>
                    <w:pStyle w:val="Compact"/>
                    <w:jc w:val="left"/>
                    <w:jc w:val="center"/>
                  </w:pPr>
                  <w:r>
                    <w:t xml:space="preserve">0.04</w:t>
                  </w:r>
                </w:p>
              </w:tc>
              <w:tc>
                <w:tcPr/>
                <w:p>
                  <w:pPr>
                    <w:pStyle w:val="Compact"/>
                    <w:jc w:val="left"/>
                    <w:jc w:val="center"/>
                  </w:pPr>
                  <w:r>
                    <w:t xml:space="preserve">0.02</w:t>
                  </w:r>
                </w:p>
              </w:tc>
              <w:tc>
                <w:tcPr/>
                <w:p>
                  <w:pPr>
                    <w:pStyle w:val="Compact"/>
                    <w:jc w:val="left"/>
                    <w:jc w:val="center"/>
                  </w:pPr>
                  <w:r>
                    <w:t xml:space="preserve">0.00</w:t>
                  </w:r>
                </w:p>
              </w:tc>
              <w:tc>
                <w:tcPr/>
                <w:p>
                  <w:pPr>
                    <w:pStyle w:val="Compact"/>
                    <w:jc w:val="left"/>
                    <w:jc w:val="center"/>
                  </w:pPr>
                  <w:r>
                    <w:t xml:space="preserve">0.00</w:t>
                  </w:r>
                </w:p>
              </w:tc>
            </w:tr>
            <w:tr>
              <w:tc>
                <w:tcPr>
                  <w:gridSpan w:val="5"/>
                </w:tcPr>
                <w:p>
                  <w:pPr>
                    <w:numPr>
                      <w:ilvl w:val="0"/>
                      <w:numId w:val="1003"/>
                    </w:numPr>
                    <w:pStyle w:val="Compact"/>
                    <w:jc w:val="left"/>
                    <w:jc w:val="center"/>
                  </w:pPr>
                  <w:r>
                    <w:t xml:space="preserve">p &lt; 0.1, * p &lt; 0.05, ** p &lt; 0.01, *** p &lt; 0.001</w:t>
                  </w:r>
                </w:p>
              </w:tc>
            </w:tr>
          </w:tbl>
          <w:bookmarkEnd w:id="100"/>
          <w:p/>
        </w:tc>
      </w:tr>
    </w:tbl>
    <w:bookmarkEnd w:id="101"/>
    <w:bookmarkEnd w:id="102"/>
    <w:bookmarkEnd w:id="103"/>
    <w:bookmarkStart w:id="104" w:name="conclusions"/>
    <w:p>
      <w:pPr>
        <w:pStyle w:val="Heading2"/>
      </w:pPr>
      <w:r>
        <w:t xml:space="preserve">Conclusions</w:t>
      </w:r>
    </w:p>
    <w:bookmarkEnd w:id="104"/>
    <w:bookmarkStart w:id="132" w:name="references"/>
    <w:p>
      <w:pPr>
        <w:pStyle w:val="Heading2"/>
      </w:pPr>
      <w:r>
        <w:t xml:space="preserve">References</w:t>
      </w:r>
    </w:p>
    <w:bookmarkStart w:id="131" w:name="refs"/>
    <w:bookmarkStart w:id="106" w:name="ref-aco2"/>
    <w:p>
      <w:pPr>
        <w:pStyle w:val="Bibliography"/>
      </w:pPr>
      <w:r>
        <w:t xml:space="preserve">Athukorala, Prema-chandra, and Arianto A. Patunru. 2023.</w:t>
      </w:r>
      <w:r>
        <w:t xml:space="preserve"> </w:t>
      </w:r>
      <w:r>
        <w:t xml:space="preserve">“Domestic Value Added, Exports and Employment: An Input–Output Analysis of Indonesian Manufacturing.”</w:t>
      </w:r>
      <w:r>
        <w:t xml:space="preserve"> </w:t>
      </w:r>
      <w:r>
        <w:t xml:space="preserve">Journal Article.</w:t>
      </w:r>
      <w:r>
        <w:t xml:space="preserve"> </w:t>
      </w:r>
      <w:r>
        <w:rPr>
          <w:iCs/>
          <w:i/>
        </w:rPr>
        <w:t xml:space="preserve">Bulletin of Indonesian Economic Studies</w:t>
      </w:r>
      <w:r>
        <w:t xml:space="preserve"> </w:t>
      </w:r>
      <w:r>
        <w:t xml:space="preserve">59 (3): 365–90.</w:t>
      </w:r>
      <w:r>
        <w:t xml:space="preserve"> </w:t>
      </w:r>
      <w:hyperlink r:id="rId105">
        <w:r>
          <w:rPr>
            <w:rStyle w:val="Hyperlink"/>
          </w:rPr>
          <w:t xml:space="preserve">https://doi.org/10.1080/00074918.2022.2134554</w:t>
        </w:r>
      </w:hyperlink>
      <w:r>
        <w:t xml:space="preserve">.</w:t>
      </w:r>
    </w:p>
    <w:bookmarkEnd w:id="106"/>
    <w:bookmarkStart w:id="107" w:name="ref-baldwin1"/>
    <w:p>
      <w:pPr>
        <w:pStyle w:val="Bibliography"/>
      </w:pPr>
      <w:r>
        <w:t xml:space="preserve">Baldwin, Richard. 2011.</w:t>
      </w:r>
      <w:r>
        <w:t xml:space="preserve"> </w:t>
      </w:r>
      <w:r>
        <w:t xml:space="preserve">“21st Cebtury Regionalism: Filling the Gap Between 21st Century Trade and 20th Century Trade Rules.”</w:t>
      </w:r>
      <w:r>
        <w:t xml:space="preserve"> </w:t>
      </w:r>
      <w:r>
        <w:t xml:space="preserve">Journal Article.</w:t>
      </w:r>
      <w:r>
        <w:t xml:space="preserve"> </w:t>
      </w:r>
      <w:r>
        <w:rPr>
          <w:iCs/>
          <w:i/>
        </w:rPr>
        <w:t xml:space="preserve">CEPR Policy Insight</w:t>
      </w:r>
      <w:r>
        <w:t xml:space="preserve"> </w:t>
      </w:r>
      <w:r>
        <w:t xml:space="preserve">56.</w:t>
      </w:r>
    </w:p>
    <w:bookmarkEnd w:id="107"/>
    <w:bookmarkStart w:id="109" w:name="ref-seki"/>
    <w:p>
      <w:pPr>
        <w:pStyle w:val="Bibliography"/>
      </w:pPr>
      <w:r>
        <w:t xml:space="preserve">Bank Indonesia. n.d.</w:t>
      </w:r>
      <w:r>
        <w:t xml:space="preserve"> </w:t>
      </w:r>
      <w:r>
        <w:t xml:space="preserve">“Statistik Ekonomi Dan Keuangan Indonesia.”</w:t>
      </w:r>
      <w:r>
        <w:t xml:space="preserve"> </w:t>
      </w:r>
      <w:r>
        <w:t xml:space="preserve">Dataset. Bank Indonesia,.</w:t>
      </w:r>
      <w:r>
        <w:t xml:space="preserve"> </w:t>
      </w:r>
      <w:hyperlink r:id="rId108">
        <w:r>
          <w:rPr>
            <w:rStyle w:val="Hyperlink"/>
          </w:rPr>
          <w:t xml:space="preserve">https://www.bi.go.id/id/statistik/ekonomi-keuangan/seki/Default.aspx#headingFour</w:t>
        </w:r>
      </w:hyperlink>
      <w:r>
        <w:t xml:space="preserve">.</w:t>
      </w:r>
    </w:p>
    <w:bookmarkEnd w:id="109"/>
    <w:bookmarkStart w:id="111" w:name="ref-kimura1"/>
    <w:p>
      <w:pPr>
        <w:pStyle w:val="Bibliography"/>
      </w:pPr>
      <w:r>
        <w:t xml:space="preserve">Kimura, Fukunari. 2018.</w:t>
      </w:r>
      <w:r>
        <w:t xml:space="preserve"> </w:t>
      </w:r>
      <w:r>
        <w:t xml:space="preserve">“Unbundling Regimes and Development Strategies in ASEAN: Old Issues and New Challenges.”</w:t>
      </w:r>
      <w:r>
        <w:t xml:space="preserve"> </w:t>
      </w:r>
      <w:r>
        <w:t xml:space="preserve">Journal Article.</w:t>
      </w:r>
      <w:r>
        <w:t xml:space="preserve"> </w:t>
      </w:r>
      <w:r>
        <w:rPr>
          <w:iCs/>
          <w:i/>
        </w:rPr>
        <w:t xml:space="preserve">Southeast Asian Economies</w:t>
      </w:r>
      <w:r>
        <w:t xml:space="preserve"> </w:t>
      </w:r>
      <w:r>
        <w:t xml:space="preserve">35 (1): 13–21.</w:t>
      </w:r>
      <w:r>
        <w:t xml:space="preserve"> </w:t>
      </w:r>
      <w:hyperlink r:id="rId110">
        <w:r>
          <w:rPr>
            <w:rStyle w:val="Hyperlink"/>
          </w:rPr>
          <w:t xml:space="preserve">https://doi.org/10.1355/ae35-1c</w:t>
        </w:r>
      </w:hyperlink>
      <w:r>
        <w:t xml:space="preserve">.</w:t>
      </w:r>
    </w:p>
    <w:bookmarkEnd w:id="111"/>
    <w:bookmarkStart w:id="113" w:name="ref-ebops"/>
    <w:p>
      <w:pPr>
        <w:pStyle w:val="Bibliography"/>
      </w:pPr>
      <w:r>
        <w:t xml:space="preserve">Liberatore, Antonella, Rodolfo Ostolaza, Malik Bani Hani, Silvia Amiel, Maria Fernanda L’Hopital, Markie Muryawan, Vysaul Nyirongo, and Habibur Khan. 2021.</w:t>
      </w:r>
      <w:r>
        <w:t xml:space="preserve"> </w:t>
      </w:r>
      <w:r>
        <w:t xml:space="preserve">“C.6 Trade in Services Classifications.”</w:t>
      </w:r>
      <w:r>
        <w:t xml:space="preserve"> </w:t>
      </w:r>
      <w:r>
        <w:t xml:space="preserve">Report. International Monetary Fund.</w:t>
      </w:r>
      <w:r>
        <w:t xml:space="preserve"> </w:t>
      </w:r>
      <w:hyperlink r:id="rId112">
        <w:r>
          <w:rPr>
            <w:rStyle w:val="Hyperlink"/>
          </w:rPr>
          <w:t xml:space="preserve">https://www.imf.org/external/pubs/ft/bop/2021/pdf/VM2/21-05.pdf</w:t>
        </w:r>
      </w:hyperlink>
      <w:r>
        <w:t xml:space="preserve">.</w:t>
      </w:r>
    </w:p>
    <w:bookmarkEnd w:id="113"/>
    <w:bookmarkStart w:id="115" w:name="ref-batis2"/>
    <w:p>
      <w:pPr>
        <w:pStyle w:val="Bibliography"/>
      </w:pPr>
      <w:r>
        <w:t xml:space="preserve">Liberatore, Antonella, and Steen Wettstein. 2021.</w:t>
      </w:r>
      <w:r>
        <w:t xml:space="preserve"> </w:t>
      </w:r>
      <w:r>
        <w:t xml:space="preserve">“The OECD-WTO Balanced Trade in Services Database (BaTIS).”</w:t>
      </w:r>
      <w:r>
        <w:t xml:space="preserve"> </w:t>
      </w:r>
      <w:r>
        <w:t xml:space="preserve">Report. OECD/WTO.</w:t>
      </w:r>
      <w:r>
        <w:t xml:space="preserve"> </w:t>
      </w:r>
      <w:hyperlink r:id="rId114">
        <w:r>
          <w:rPr>
            <w:rStyle w:val="Hyperlink"/>
          </w:rPr>
          <w:t xml:space="preserve">https://www.oecd.org/content/dam/oecd/en/data/methods/OECD-WTO-Balanced-Trade-in-Services-database-methodology-BPM6.pdf</w:t>
        </w:r>
      </w:hyperlink>
      <w:r>
        <w:t xml:space="preserve">.</w:t>
      </w:r>
    </w:p>
    <w:bookmarkEnd w:id="115"/>
    <w:bookmarkStart w:id="117" w:name="ref-lindblad"/>
    <w:p>
      <w:pPr>
        <w:pStyle w:val="Bibliography"/>
      </w:pPr>
      <w:r>
        <w:t xml:space="preserve">Lindblad, J. Thomas. 2015.</w:t>
      </w:r>
      <w:r>
        <w:t xml:space="preserve"> </w:t>
      </w:r>
      <w:r>
        <w:t xml:space="preserve">“Foreign Direct Investment in Indonesia: Fifty Years of Discourse.”</w:t>
      </w:r>
      <w:r>
        <w:t xml:space="preserve"> </w:t>
      </w:r>
      <w:r>
        <w:t xml:space="preserve">Journal Article.</w:t>
      </w:r>
      <w:r>
        <w:t xml:space="preserve"> </w:t>
      </w:r>
      <w:r>
        <w:rPr>
          <w:iCs/>
          <w:i/>
        </w:rPr>
        <w:t xml:space="preserve">Bulletin of Indonesian Economic Studies</w:t>
      </w:r>
      <w:r>
        <w:t xml:space="preserve"> </w:t>
      </w:r>
      <w:r>
        <w:t xml:space="preserve">51 (2): 217–37.</w:t>
      </w:r>
      <w:r>
        <w:t xml:space="preserve"> </w:t>
      </w:r>
      <w:hyperlink r:id="rId116">
        <w:r>
          <w:rPr>
            <w:rStyle w:val="Hyperlink"/>
          </w:rPr>
          <w:t xml:space="preserve">https://doi.org/10.1080/00074918.2015.1061913</w:t>
        </w:r>
      </w:hyperlink>
      <w:r>
        <w:t xml:space="preserve">.</w:t>
      </w:r>
    </w:p>
    <w:bookmarkEnd w:id="117"/>
    <w:bookmarkStart w:id="118" w:name="ref-magiera"/>
    <w:p>
      <w:pPr>
        <w:pStyle w:val="Bibliography"/>
      </w:pPr>
      <w:r>
        <w:t xml:space="preserve">Magiera, Stephen. 2011.</w:t>
      </w:r>
      <w:r>
        <w:t xml:space="preserve"> </w:t>
      </w:r>
      <w:r>
        <w:t xml:space="preserve">“Indonesia’s Investment Negative List: An Evaluation for Selected Services Sectors.”</w:t>
      </w:r>
      <w:r>
        <w:t xml:space="preserve"> </w:t>
      </w:r>
      <w:r>
        <w:t xml:space="preserve">Journal Article.</w:t>
      </w:r>
      <w:r>
        <w:t xml:space="preserve"> </w:t>
      </w:r>
      <w:r>
        <w:rPr>
          <w:iCs/>
          <w:i/>
        </w:rPr>
        <w:t xml:space="preserve">Bulletin of Indonesian Economic Studies</w:t>
      </w:r>
      <w:r>
        <w:t xml:space="preserve"> </w:t>
      </w:r>
      <w:r>
        <w:t xml:space="preserve">47 (2): 195–219.</w:t>
      </w:r>
    </w:p>
    <w:bookmarkEnd w:id="118"/>
    <w:bookmarkStart w:id="120" w:name="ref-ardl"/>
    <w:p>
      <w:pPr>
        <w:pStyle w:val="Bibliography"/>
      </w:pPr>
      <w:r>
        <w:t xml:space="preserve">Natsiopoulos, Kleanthis, and TNickolaos G Tzeremes. 2022.</w:t>
      </w:r>
      <w:r>
        <w:t xml:space="preserve"> </w:t>
      </w:r>
      <w:r>
        <w:t xml:space="preserve">“ARDL Bounds Test for Countegration: Replicating the Pesaran Et Al. (2001) Results for the UK Earnings Equation Using r.”</w:t>
      </w:r>
      <w:r>
        <w:t xml:space="preserve"> </w:t>
      </w:r>
      <w:r>
        <w:t xml:space="preserve">Journal Article.</w:t>
      </w:r>
      <w:r>
        <w:t xml:space="preserve"> </w:t>
      </w:r>
      <w:r>
        <w:rPr>
          <w:iCs/>
          <w:i/>
        </w:rPr>
        <w:t xml:space="preserve">Journal of Applied Econometrics</w:t>
      </w:r>
      <w:r>
        <w:t xml:space="preserve"> </w:t>
      </w:r>
      <w:r>
        <w:t xml:space="preserve">37 (5): 22.</w:t>
      </w:r>
      <w:r>
        <w:t xml:space="preserve"> </w:t>
      </w:r>
      <w:hyperlink r:id="rId119">
        <w:r>
          <w:rPr>
            <w:rStyle w:val="Hyperlink"/>
          </w:rPr>
          <w:t xml:space="preserve">https://doi.org/doi.org/10.1002/jae.2919</w:t>
        </w:r>
      </w:hyperlink>
      <w:r>
        <w:t xml:space="preserve">.</w:t>
      </w:r>
    </w:p>
    <w:bookmarkEnd w:id="120"/>
    <w:bookmarkStart w:id="122" w:name="ref-icio"/>
    <w:p>
      <w:pPr>
        <w:pStyle w:val="Bibliography"/>
      </w:pPr>
      <w:r>
        <w:t xml:space="preserve">OECD. 2023.</w:t>
      </w:r>
      <w:r>
        <w:t xml:space="preserve"> </w:t>
      </w:r>
      <w:r>
        <w:t xml:space="preserve">“OECD Inter-Country Input-Output Database.”</w:t>
      </w:r>
      <w:r>
        <w:t xml:space="preserve"> </w:t>
      </w:r>
      <w:r>
        <w:t xml:space="preserve">Dataset.</w:t>
      </w:r>
      <w:r>
        <w:t xml:space="preserve"> </w:t>
      </w:r>
      <w:hyperlink r:id="rId121">
        <w:r>
          <w:rPr>
            <w:rStyle w:val="Hyperlink"/>
          </w:rPr>
          <w:t xml:space="preserve">http://oe.cd/icio</w:t>
        </w:r>
      </w:hyperlink>
      <w:r>
        <w:t xml:space="preserve">.</w:t>
      </w:r>
    </w:p>
    <w:bookmarkEnd w:id="122"/>
    <w:bookmarkStart w:id="124" w:name="ref-aco"/>
    <w:p>
      <w:pPr>
        <w:pStyle w:val="Bibliography"/>
      </w:pPr>
      <w:r>
        <w:t xml:space="preserve">Patunru, Arianto A. 2023.</w:t>
      </w:r>
      <w:r>
        <w:t xml:space="preserve"> </w:t>
      </w:r>
      <w:r>
        <w:t xml:space="preserve">“Trade Policy in Indonesia: Between Ambivalence, Pragmatism and Nationalism.”</w:t>
      </w:r>
      <w:r>
        <w:t xml:space="preserve"> </w:t>
      </w:r>
      <w:r>
        <w:t xml:space="preserve">Journal Article.</w:t>
      </w:r>
      <w:r>
        <w:t xml:space="preserve"> </w:t>
      </w:r>
      <w:r>
        <w:rPr>
          <w:iCs/>
          <w:i/>
        </w:rPr>
        <w:t xml:space="preserve">Bulletin of Indonesian Economic Studies</w:t>
      </w:r>
      <w:r>
        <w:t xml:space="preserve"> </w:t>
      </w:r>
      <w:r>
        <w:t xml:space="preserve">59 (3): 311–40.</w:t>
      </w:r>
      <w:r>
        <w:t xml:space="preserve"> </w:t>
      </w:r>
      <w:hyperlink r:id="rId123">
        <w:r>
          <w:rPr>
            <w:rStyle w:val="Hyperlink"/>
          </w:rPr>
          <w:t xml:space="preserve">https://doi.org/10.1080/00074918.2023.2282821</w:t>
        </w:r>
      </w:hyperlink>
      <w:r>
        <w:t xml:space="preserve">.</w:t>
      </w:r>
    </w:p>
    <w:bookmarkEnd w:id="124"/>
    <w:bookmarkStart w:id="126" w:name="ref-pesaran"/>
    <w:p>
      <w:pPr>
        <w:pStyle w:val="Bibliography"/>
      </w:pPr>
      <w:r>
        <w:t xml:space="preserve">Pesaran, M. Hashem, and Ron Smith. 1995.</w:t>
      </w:r>
      <w:r>
        <w:t xml:space="preserve"> </w:t>
      </w:r>
      <w:r>
        <w:t xml:space="preserve">“Estimating Long-Run Relationships from Dynamic Heterogeneous Panels.”</w:t>
      </w:r>
      <w:r>
        <w:t xml:space="preserve"> </w:t>
      </w:r>
      <w:r>
        <w:t xml:space="preserve">Journal Article.</w:t>
      </w:r>
      <w:r>
        <w:t xml:space="preserve"> </w:t>
      </w:r>
      <w:r>
        <w:rPr>
          <w:iCs/>
          <w:i/>
        </w:rPr>
        <w:t xml:space="preserve">Journal of Econometrics</w:t>
      </w:r>
      <w:r>
        <w:t xml:space="preserve"> </w:t>
      </w:r>
      <w:r>
        <w:t xml:space="preserve">68 (1): 79–113. https://doi.org/</w:t>
      </w:r>
      <w:hyperlink r:id="rId125">
        <w:r>
          <w:rPr>
            <w:rStyle w:val="Hyperlink"/>
          </w:rPr>
          <w:t xml:space="preserve">https://doi.org/10.1016/0304-4076(94)01644-F</w:t>
        </w:r>
      </w:hyperlink>
      <w:r>
        <w:t xml:space="preserve">.</w:t>
      </w:r>
    </w:p>
    <w:bookmarkEnd w:id="126"/>
    <w:bookmarkStart w:id="128" w:name="ref-krisna"/>
    <w:p>
      <w:pPr>
        <w:pStyle w:val="Bibliography"/>
      </w:pPr>
      <w:r>
        <w:t xml:space="preserve">Syahputri, Evanti Andriani, and Krisna Gupta. 2024.</w:t>
      </w:r>
      <w:r>
        <w:t xml:space="preserve"> </w:t>
      </w:r>
      <w:r>
        <w:t xml:space="preserve">“Analysis of the Effect of Indonesia-Japan Economic Partnership Agreement (IJEPA) on the Trade in Service Sector in Indonesia.”</w:t>
      </w:r>
      <w:r>
        <w:t xml:space="preserve"> </w:t>
      </w:r>
      <w:r>
        <w:t xml:space="preserve">Journal Article.</w:t>
      </w:r>
      <w:r>
        <w:t xml:space="preserve"> </w:t>
      </w:r>
      <w:r>
        <w:rPr>
          <w:iCs/>
          <w:i/>
        </w:rPr>
        <w:t xml:space="preserve">Jurnal Manajemen Industri Dan Logistik</w:t>
      </w:r>
      <w:r>
        <w:t xml:space="preserve"> </w:t>
      </w:r>
      <w:r>
        <w:t xml:space="preserve">8 (1).</w:t>
      </w:r>
      <w:r>
        <w:t xml:space="preserve"> </w:t>
      </w:r>
      <w:hyperlink r:id="rId127">
        <w:r>
          <w:rPr>
            <w:rStyle w:val="Hyperlink"/>
          </w:rPr>
          <w:t xml:space="preserve">https://doi.org/10.30988/jmil.v8i1.1356</w:t>
        </w:r>
      </w:hyperlink>
      <w:r>
        <w:t xml:space="preserve">.</w:t>
      </w:r>
    </w:p>
    <w:bookmarkEnd w:id="128"/>
    <w:bookmarkStart w:id="130" w:name="ref-batis1"/>
    <w:p>
      <w:pPr>
        <w:pStyle w:val="Bibliography"/>
      </w:pPr>
      <w:r>
        <w:t xml:space="preserve">WTO/OECD. 2022.</w:t>
      </w:r>
      <w:r>
        <w:t xml:space="preserve"> </w:t>
      </w:r>
      <w:r>
        <w:t xml:space="preserve">“OECD-WTO: Balanced International Trade in Services - EBOPS 2002 (Edition 2021).”</w:t>
      </w:r>
      <w:r>
        <w:t xml:space="preserve"> </w:t>
      </w:r>
      <w:r>
        <w:t xml:space="preserve">Dataset. OECD Statistics on International Trade in Services (database).</w:t>
      </w:r>
      <w:r>
        <w:t xml:space="preserve"> </w:t>
      </w:r>
      <w:hyperlink r:id="rId129">
        <w:r>
          <w:rPr>
            <w:rStyle w:val="Hyperlink"/>
          </w:rPr>
          <w:t xml:space="preserve">https://doi.org/10.1787/54a469fc-en</w:t>
        </w:r>
      </w:hyperlink>
      <w:r>
        <w:t xml:space="preserve">.</w:t>
      </w:r>
    </w:p>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1" Target="media/rId61.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6" Target="media/rId86.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95" Target="media/rId95.png" /><Relationship Type="http://schemas.openxmlformats.org/officeDocument/2006/relationships/hyperlink" Id="rId121" Target="http://oe.cd/icio" TargetMode="External" /><Relationship Type="http://schemas.openxmlformats.org/officeDocument/2006/relationships/hyperlink" Id="rId125" Target="https://doi.org/10.1016/0304-4076(94)01644-F" TargetMode="External" /><Relationship Type="http://schemas.openxmlformats.org/officeDocument/2006/relationships/hyperlink" Id="rId116"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23" Target="https://doi.org/10.1080/00074918.2023.2282821" TargetMode="External" /><Relationship Type="http://schemas.openxmlformats.org/officeDocument/2006/relationships/hyperlink" Id="rId110" Target="https://doi.org/10.1355/ae35-1c" TargetMode="External" /><Relationship Type="http://schemas.openxmlformats.org/officeDocument/2006/relationships/hyperlink" Id="rId129" Target="https://doi.org/10.1787/54a469fc-en" TargetMode="External" /><Relationship Type="http://schemas.openxmlformats.org/officeDocument/2006/relationships/hyperlink" Id="rId127" Target="https://doi.org/10.30988/jmil.v8i1.1356" TargetMode="External" /><Relationship Type="http://schemas.openxmlformats.org/officeDocument/2006/relationships/hyperlink" Id="rId119"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08" Target="https://www.bi.go.id/id/statistik/ekonomi-keuangan/seki/Default.aspx#headingFour" TargetMode="External" /><Relationship Type="http://schemas.openxmlformats.org/officeDocument/2006/relationships/hyperlink" Id="rId112" Target="https://www.imf.org/external/pubs/ft/bop/2021/pdf/VM2/21-05.pdf" TargetMode="External" /><Relationship Type="http://schemas.openxmlformats.org/officeDocument/2006/relationships/hyperlink" Id="rId114" Target="https://www.oecd.org/content/dam/oecd/en/data/methods/OECD-WTO-Balanced-Trade-in-Services-database-methodology-BPM6.pdf" TargetMode="External" /></Relationships>
</file>

<file path=word/_rels/footnotes.xml.rels><?xml version="1.0" encoding="UTF-8"?><Relationships xmlns="http://schemas.openxmlformats.org/package/2006/relationships"><Relationship Type="http://schemas.openxmlformats.org/officeDocument/2006/relationships/hyperlink" Id="rId121" Target="http://oe.cd/icio" TargetMode="External" /><Relationship Type="http://schemas.openxmlformats.org/officeDocument/2006/relationships/hyperlink" Id="rId125" Target="https://doi.org/10.1016/0304-4076(94)01644-F" TargetMode="External" /><Relationship Type="http://schemas.openxmlformats.org/officeDocument/2006/relationships/hyperlink" Id="rId116" Target="https://doi.org/10.1080/00074918.2015.1061913" TargetMode="External" /><Relationship Type="http://schemas.openxmlformats.org/officeDocument/2006/relationships/hyperlink" Id="rId105" Target="https://doi.org/10.1080/00074918.2022.2134554" TargetMode="External" /><Relationship Type="http://schemas.openxmlformats.org/officeDocument/2006/relationships/hyperlink" Id="rId123" Target="https://doi.org/10.1080/00074918.2023.2282821" TargetMode="External" /><Relationship Type="http://schemas.openxmlformats.org/officeDocument/2006/relationships/hyperlink" Id="rId110" Target="https://doi.org/10.1355/ae35-1c" TargetMode="External" /><Relationship Type="http://schemas.openxmlformats.org/officeDocument/2006/relationships/hyperlink" Id="rId129" Target="https://doi.org/10.1787/54a469fc-en" TargetMode="External" /><Relationship Type="http://schemas.openxmlformats.org/officeDocument/2006/relationships/hyperlink" Id="rId127" Target="https://doi.org/10.30988/jmil.v8i1.1356" TargetMode="External" /><Relationship Type="http://schemas.openxmlformats.org/officeDocument/2006/relationships/hyperlink" Id="rId119" Target="https://doi.org/doi.org/10.1002/jae.2919" TargetMode="External" /><Relationship Type="http://schemas.openxmlformats.org/officeDocument/2006/relationships/hyperlink" Id="rId23" Target="https://github.com/imedkrisna/ERIA_services" TargetMode="External" /><Relationship Type="http://schemas.openxmlformats.org/officeDocument/2006/relationships/hyperlink" Id="rId108" Target="https://www.bi.go.id/id/statistik/ekonomi-keuangan/seki/Default.aspx#headingFour" TargetMode="External" /><Relationship Type="http://schemas.openxmlformats.org/officeDocument/2006/relationships/hyperlink" Id="rId112" Target="https://www.imf.org/external/pubs/ft/bop/2021/pdf/VM2/21-05.pdf" TargetMode="External" /><Relationship Type="http://schemas.openxmlformats.org/officeDocument/2006/relationships/hyperlink" Id="rId114" Target="https://www.oecd.org/content/dam/oecd/en/data/methods/OECD-WTO-Balanced-Trade-in-Services-database-methodology-BPM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Services trade and the Indonesian third unbundling</dc:title>
  <dc:creator>Krisna Gupta; Dhany S. Ratana</dc:creator>
  <cp:keywords/>
  <dcterms:created xsi:type="dcterms:W3CDTF">2024-07-14T16:26:19Z</dcterms:created>
  <dcterms:modified xsi:type="dcterms:W3CDTF">2024-07-14T16:26:19Z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Awokowkoawkoawk.</vt:lpwstr>
  </property>
  <property fmtid="{D5CDD505-2E9C-101B-9397-08002B2CF9AE}" pid="3" name="abstract-title">
    <vt:lpwstr>abstract</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ref.bib</vt:lpwstr>
  </property>
  <property fmtid="{D5CDD505-2E9C-101B-9397-08002B2CF9AE}" pid="8" name="by-affiliation">
    <vt:lpwstr/>
  </property>
  <property fmtid="{D5CDD505-2E9C-101B-9397-08002B2CF9AE}" pid="9" name="by-author">
    <vt:lpwstr/>
  </property>
  <property fmtid="{D5CDD505-2E9C-101B-9397-08002B2CF9AE}" pid="10" name="date">
    <vt:lpwstr>July 14, 2024</vt:lpwstr>
  </property>
  <property fmtid="{D5CDD505-2E9C-101B-9397-08002B2CF9AE}" pid="11" name="date-format">
    <vt:lpwstr>long</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