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green_paper</w:t>
      </w:r>
    </w:p>
    <w:p>
      <w:pPr>
        <w:pStyle w:val="Author"/>
      </w:pPr>
      <w:r>
        <w:t xml:space="preserve">Krisna</w:t>
      </w:r>
      <w:r>
        <w:t xml:space="preserve"> </w:t>
      </w:r>
      <w:r>
        <w:t xml:space="preserve">Gupta</w:t>
      </w:r>
    </w:p>
    <w:p>
      <w:pPr>
        <w:pStyle w:val="Date"/>
      </w:pPr>
      <w:r>
        <w:t xml:space="preserve">November</w:t>
      </w:r>
      <w:r>
        <w:t xml:space="preserve"> </w:t>
      </w:r>
      <w:r>
        <w:t xml:space="preserve">1,</w:t>
      </w:r>
      <w:r>
        <w:t xml:space="preserve"> </w:t>
      </w:r>
      <w:r>
        <w:t xml:space="preserve">2023</w:t>
      </w:r>
    </w:p>
    <w:p>
      <w:pPr>
        <w:pStyle w:val="Abstract"/>
      </w:pPr>
      <w:r>
        <w:t xml:space="preserve">awokawokawo</w:t>
      </w:r>
    </w:p>
    <w:bookmarkStart w:id="20" w:name="introduction"/>
    <w:p>
      <w:pPr>
        <w:pStyle w:val="Heading2"/>
      </w:pPr>
      <w:r>
        <w:t xml:space="preserve">1 Introduction</w:t>
      </w:r>
    </w:p>
    <w:p>
      <w:pPr>
        <w:pStyle w:val="FirstParagraph"/>
      </w:pPr>
      <w:r>
        <w:t xml:space="preserve">Some shit from</w:t>
      </w:r>
      <w:r>
        <w:t xml:space="preserve"> </w:t>
      </w:r>
      <w:r>
        <w:t xml:space="preserve">Sabzevar et al. (2017)</w:t>
      </w:r>
      <w:r>
        <w:t xml:space="preserve"> </w:t>
      </w:r>
      <w:r>
        <w:t xml:space="preserve">and</w:t>
      </w:r>
      <w:r>
        <w:t xml:space="preserve"> </w:t>
      </w:r>
      <w:r>
        <w:t xml:space="preserve">He, Dou, and Zhang (2017)</w:t>
      </w:r>
      <w:r>
        <w:t xml:space="preserve"> </w:t>
      </w:r>
      <w:r>
        <w:t xml:space="preserve">on calculation of cap n trade.</w:t>
      </w:r>
    </w:p>
    <w:bookmarkEnd w:id="20"/>
    <w:bookmarkStart w:id="21" w:name="literature-review"/>
    <w:p>
      <w:pPr>
        <w:pStyle w:val="Heading2"/>
      </w:pPr>
      <w:r>
        <w:t xml:space="preserve">2 Literature Review</w:t>
      </w:r>
    </w:p>
    <w:p>
      <w:pPr>
        <w:pStyle w:val="FirstParagraph"/>
      </w:pPr>
      <w:r>
        <w:t xml:space="preserve">kwoakoawkoakwokawo</w:t>
      </w:r>
    </w:p>
    <w:bookmarkEnd w:id="21"/>
    <w:bookmarkStart w:id="23" w:name="method"/>
    <w:p>
      <w:pPr>
        <w:pStyle w:val="Heading2"/>
      </w:pPr>
      <w:r>
        <w:t xml:space="preserve">3 Method</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r>
          <m:rPr>
            <m:sty m:val="p"/>
          </m:rPr>
          <m:t>{</m:t>
        </m:r>
        <m:r>
          <m:t>F</m:t>
        </m:r>
        <m:d>
          <m:dPr>
            <m:begChr m:val="("/>
            <m:endChr m:val=")"/>
            <m:sepChr m:val=""/>
            <m:grow/>
          </m:dPr>
          <m:e>
            <m:r>
              <m:rPr>
                <m:sty m:val="p"/>
              </m:rPr>
              <m:t>.</m:t>
            </m:r>
          </m:e>
        </m:d>
        <m:r>
          <m:rPr>
            <m:sty m:val="p"/>
          </m:rPr>
          <m:t>,</m:t>
        </m:r>
        <m:r>
          <m:t>Ω</m:t>
        </m:r>
        <m:r>
          <m:rPr>
            <m:sty m:val="p"/>
          </m:rPr>
          <m:t>}</m:t>
        </m:r>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p>
      <w:pPr>
        <w:pStyle w:val="BodyText"/>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279,511.24 Gigawatt hour (GWh) in 2021. From those, around 60% are produced using coal as its main source and around 23% by some mixes of fossil fuels. Only 17% is generated by renewables, mostly hydroelectric</w:t>
      </w:r>
      <w:r>
        <w:t xml:space="preserve"> </w:t>
      </w:r>
      <w:r>
        <w:t xml:space="preserve">(Lolla 2021; PLN 2021)</w:t>
      </w:r>
      <w:r>
        <w:t xml:space="preserve">.</w:t>
      </w:r>
    </w:p>
    <w:p>
      <w:pPr>
        <w:pStyle w:val="BodyText"/>
      </w:pPr>
      <w:r>
        <w:t xml:space="preserve">PLN (2021)</w:t>
      </w:r>
      <w:r>
        <w:t xml:space="preserve"> </w:t>
      </w:r>
      <w:r>
        <w:t xml:space="preserve">also contains data on prices per Kilowatt hour of electricity based on sources. Total emission generated by the electricity sector is calculated based on the emission factor and how much energy source is used by the sector. 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(2021)</w:t>
      </w:r>
      <w:r>
        <w:t xml:space="preserve">. The number of emission factor varies between countries and in different reports, and emission factor in this paper tries to balance those differences</w:t>
      </w:r>
      <w:r>
        <w:rPr>
          <w:rStyle w:val="FootnoteReference"/>
        </w:rPr>
        <w:footnoteReference w:id="22"/>
      </w:r>
      <w:r>
        <w:t xml:space="preserve">.</w:t>
      </w:r>
    </w:p>
    <w:p>
      <w:pPr>
        <w:pStyle w:val="BodyText"/>
      </w:pPr>
      <w:r>
        <w:t xml:space="preserve">Also cekidot https://www.cnbcindonesia.com/news/20220119103739-4-308598/pajak-karbon-pltu-berlaku-april-2022-picu-tarif-listrik-naik</w:t>
      </w:r>
    </w:p>
    <w:p>
      <w:pPr>
        <w:pStyle w:val="BodyText"/>
      </w:pPr>
      <w:r>
        <w:t xml:space="preserve">https://publications.jrc.ec.europa.eu/repository/handle/JRC21207</w:t>
      </w:r>
    </w:p>
    <w:p>
      <w:pPr>
        <w:pStyle w:val="BodyText"/>
      </w:pPr>
      <w:r>
        <w:t xml:space="preserve">https://ebtke.esdm.go.id/post/2023/02/01/3414/rencana.pengembangan.pembangkit.nasional.beri.porsi.ebt.lebih.besar?lang=id</w:t>
      </w:r>
    </w:p>
    <w:bookmarkEnd w:id="23"/>
    <w:bookmarkStart w:id="24" w:name="results-and-discussions"/>
    <w:p>
      <w:pPr>
        <w:pStyle w:val="Heading2"/>
      </w:pPr>
      <w:r>
        <w:t xml:space="preserve">4 Results and discussions</w:t>
      </w:r>
    </w:p>
    <w:p>
      <w:pPr>
        <w:pStyle w:val="FirstParagraph"/>
      </w:pPr>
      <w:r>
        <w:t xml:space="preserve">The linear setting in the previous section is trivial enough to be solved by linear programming method in Scipy</w:t>
      </w:r>
      <w:r>
        <w:t xml:space="preserve"> </w:t>
      </w:r>
      <w:r>
        <w:t xml:space="preserve">(Sargent n.d.)</w:t>
      </w:r>
      <w:r>
        <w:t xml:space="preserve">. Four different cases are considered in this paper.</w:t>
      </w:r>
    </w:p>
    <w:tbl>
      <w:tblPr>
        <w:tblStyle w:val="Table"/>
        <w:tblW w:type="pct" w:w="5000"/>
        <w:tblLook w:firstRow="1" w:lastRow="0" w:firstColumn="0" w:lastColumn="0" w:noHBand="0" w:noVBand="0" w:val="0020"/>
        <w:jc w:val="start"/>
      </w:tblPr>
      <w:tblGrid>
        <w:gridCol w:w="1131"/>
        <w:gridCol w:w="1885"/>
        <w:gridCol w:w="4902"/>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current share of energy use</w:t>
            </w:r>
          </w:p>
        </w:tc>
      </w:tr>
      <w:tr>
        <w:tc>
          <w:tcPr/>
          <w:p>
            <w:pPr>
              <w:pStyle w:val="Compact"/>
              <w:jc w:val="left"/>
            </w:pPr>
            <w:r>
              <w:t xml:space="preserve">2</w:t>
            </w:r>
          </w:p>
        </w:tc>
        <w:tc>
          <w:tcPr/>
          <w:p>
            <w:pPr>
              <w:pStyle w:val="Compact"/>
              <w:jc w:val="left"/>
            </w:pPr>
            <w:r>
              <w:t xml:space="preserve">carbon tax</w:t>
            </w:r>
          </w:p>
        </w:tc>
        <w:tc>
          <w:tcPr/>
          <w:p>
            <w:pPr>
              <w:pStyle w:val="Compact"/>
              <w:jc w:val="left"/>
            </w:pPr>
            <w:r>
              <w:t xml:space="preserve">current share but carbon is taxed</w:t>
            </w:r>
          </w:p>
        </w:tc>
      </w:tr>
      <w:tr>
        <w:tc>
          <w:tcPr/>
          <w:p>
            <w:pPr>
              <w:pStyle w:val="Compact"/>
              <w:jc w:val="left"/>
            </w:pPr>
            <w:r>
              <w:t xml:space="preserve">3</w:t>
            </w:r>
          </w:p>
        </w:tc>
        <w:tc>
          <w:tcPr/>
          <w:p>
            <w:pPr>
              <w:pStyle w:val="Compact"/>
              <w:jc w:val="left"/>
            </w:pPr>
            <w:r>
              <w:t xml:space="preserve">long-run, no target</w:t>
            </w:r>
          </w:p>
        </w:tc>
        <w:tc>
          <w:tcPr/>
          <w:p>
            <w:pPr>
              <w:pStyle w:val="Compact"/>
              <w:jc w:val="left"/>
            </w:pPr>
            <w:r>
              <w:t xml:space="preserve">long run changes if emission target</w:t>
            </w:r>
          </w:p>
        </w:tc>
      </w:tr>
      <w:tr>
        <w:tc>
          <w:tcPr/>
          <w:p>
            <w:pPr>
              <w:pStyle w:val="Compact"/>
              <w:jc w:val="left"/>
            </w:pPr>
            <w:r>
              <w:t xml:space="preserve">4</w:t>
            </w:r>
          </w:p>
        </w:tc>
        <w:tc>
          <w:tcPr/>
          <w:p>
            <w:pPr>
              <w:pStyle w:val="Compact"/>
              <w:jc w:val="left"/>
            </w:pPr>
            <w:r>
              <w:t xml:space="preserve">long-run with aggresive target</w:t>
            </w:r>
          </w:p>
        </w:tc>
        <w:tc>
          <w:tcPr/>
          <w:p>
            <w:pPr>
              <w:pStyle w:val="Compact"/>
              <w:jc w:val="left"/>
            </w:pPr>
            <w:r>
              <w:t xml:space="preserve">like case 3 but with emission reduced by 27%</w:t>
            </w:r>
          </w:p>
        </w:tc>
      </w:tr>
    </w:tbl>
    <w:bookmarkEnd w:id="24"/>
    <w:bookmarkStart w:id="25" w:name="reserves"/>
    <w:p>
      <w:pPr>
        <w:pStyle w:val="Heading2"/>
      </w:pPr>
      <w:r>
        <w:t xml:space="preserve">5 Reserves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linprog</w:t>
      </w:r>
      <w:r>
        <w:br/>
      </w:r>
      <w:r>
        <w:br/>
      </w:r>
      <w:r>
        <w:rPr>
          <w:rStyle w:val="NormalTok"/>
        </w:rPr>
        <w:t xml:space="preserve">omega</w:t>
      </w:r>
      <w:r>
        <w:rPr>
          <w:rStyle w:val="OperatorTok"/>
        </w:rPr>
        <w:t xml:space="preserve">=</w:t>
      </w:r>
      <w:r>
        <w:rPr>
          <w:rStyle w:val="FloatTok"/>
        </w:rPr>
        <w:t xml:space="preserve">279511240.0</w:t>
      </w:r>
      <w:r>
        <w:rPr>
          <w:rStyle w:val="NormalTok"/>
        </w:rPr>
        <w:t xml:space="preserve"> </w:t>
      </w:r>
      <w:r>
        <w:rPr>
          <w:rStyle w:val="CommentTok"/>
        </w:rPr>
        <w:t xml:space="preserve">#MWh</w:t>
      </w:r>
      <w:r>
        <w:br/>
      </w:r>
      <w:r>
        <w:rPr>
          <w:rStyle w:val="NormalTok"/>
        </w:rPr>
        <w:t xml:space="preserve">E</w:t>
      </w:r>
      <w:r>
        <w:rPr>
          <w:rStyle w:val="OperatorTok"/>
        </w:rPr>
        <w:t xml:space="preserve">=</w:t>
      </w:r>
      <w:r>
        <w:rPr>
          <w:rStyle w:val="FloatTok"/>
        </w:rPr>
        <w:t xml:space="preserve">619280000000.0</w:t>
      </w:r>
      <w:r>
        <w:rPr>
          <w:rStyle w:val="NormalTok"/>
        </w:rPr>
        <w:t xml:space="preserve"> </w:t>
      </w:r>
      <w:r>
        <w:rPr>
          <w:rStyle w:val="CommentTok"/>
        </w:rPr>
        <w:t xml:space="preserve">#KgCO2</w:t>
      </w:r>
      <w:r>
        <w:br/>
      </w:r>
      <w:r>
        <w:rPr>
          <w:rStyle w:val="NormalTok"/>
        </w:rPr>
        <w:t xml:space="preserve">ba</w:t>
      </w:r>
      <w:r>
        <w:rPr>
          <w:rStyle w:val="OperatorTok"/>
        </w:rPr>
        <w:t xml:space="preserve">=</w:t>
      </w:r>
      <w:r>
        <w:rPr>
          <w:rStyle w:val="NormalTok"/>
        </w:rPr>
        <w:t xml:space="preserve">(</w:t>
      </w:r>
      <w:r>
        <w:rPr>
          <w:rStyle w:val="DecValTok"/>
        </w:rPr>
        <w:t xml:space="preserve">0</w:t>
      </w:r>
      <w:r>
        <w:rPr>
          <w:rStyle w:val="NormalTok"/>
        </w:rPr>
        <w:t xml:space="preserve">,</w:t>
      </w:r>
      <w:r>
        <w:rPr>
          <w:rStyle w:val="VariableTok"/>
        </w:rPr>
        <w:t xml:space="preserve">None</w:t>
      </w:r>
      <w:r>
        <w:rPr>
          <w:rStyle w:val="NormalTok"/>
        </w:rPr>
        <w:t xml:space="preserve">)</w:t>
      </w:r>
      <w:r>
        <w:br/>
      </w:r>
      <w:r>
        <w:rPr>
          <w:rStyle w:val="NormalTok"/>
        </w:rPr>
        <w:t xml:space="preserve">bb</w:t>
      </w:r>
      <w:r>
        <w:rPr>
          <w:rStyle w:val="OperatorTok"/>
        </w:rPr>
        <w:t xml:space="preserve">=</w:t>
      </w:r>
      <w:r>
        <w:rPr>
          <w:rStyle w:val="NormalTok"/>
        </w:rPr>
        <w:t xml:space="preserve">(</w:t>
      </w:r>
      <w:r>
        <w:rPr>
          <w:rStyle w:val="DecValTok"/>
        </w:rPr>
        <w:t xml:space="preserve">0</w:t>
      </w:r>
      <w:r>
        <w:rPr>
          <w:rStyle w:val="NormalTok"/>
        </w:rPr>
        <w:t xml:space="preserve">,</w:t>
      </w:r>
      <w:r>
        <w:rPr>
          <w:rStyle w:val="VariableTok"/>
        </w:rPr>
        <w:t xml:space="preserve">None</w:t>
      </w:r>
      <w:r>
        <w:rPr>
          <w:rStyle w:val="NormalTok"/>
        </w:rPr>
        <w:t xml:space="preserve">)</w:t>
      </w:r>
      <w:r>
        <w:br/>
      </w:r>
      <w:r>
        <w:rPr>
          <w:rStyle w:val="CommentTok"/>
        </w:rPr>
        <w:t xml:space="preserve"># Construct parameters</w:t>
      </w:r>
      <w:r>
        <w:br/>
      </w:r>
      <w:r>
        <w:rPr>
          <w:rStyle w:val="NormalTok"/>
        </w:rPr>
        <w:t xml:space="preserve">c_ex1 </w:t>
      </w:r>
      <w:r>
        <w:rPr>
          <w:rStyle w:val="OperatorTok"/>
        </w:rPr>
        <w:t xml:space="preserve">=</w:t>
      </w:r>
      <w:r>
        <w:rPr>
          <w:rStyle w:val="NormalTok"/>
        </w:rPr>
        <w:t xml:space="preserve"> np.array([</w:t>
      </w:r>
      <w:r>
        <w:rPr>
          <w:rStyle w:val="DecValTok"/>
        </w:rPr>
        <w:t xml:space="preserve">1284440</w:t>
      </w:r>
      <w:r>
        <w:rPr>
          <w:rStyle w:val="NormalTok"/>
        </w:rPr>
        <w:t xml:space="preserve">, </w:t>
      </w:r>
      <w:r>
        <w:rPr>
          <w:rStyle w:val="DecValTok"/>
        </w:rPr>
        <w:t xml:space="preserve">667880</w:t>
      </w:r>
      <w:r>
        <w:rPr>
          <w:rStyle w:val="NormalTok"/>
        </w:rPr>
        <w:t xml:space="preserve">])</w:t>
      </w:r>
      <w:r>
        <w:br/>
      </w:r>
      <w:r>
        <w:br/>
      </w:r>
      <w:r>
        <w:rPr>
          <w:rStyle w:val="CommentTok"/>
        </w:rPr>
        <w:t xml:space="preserve"># Inequality constraints</w:t>
      </w:r>
      <w:r>
        <w:br/>
      </w:r>
      <w:r>
        <w:rPr>
          <w:rStyle w:val="NormalTok"/>
        </w:rPr>
        <w:t xml:space="preserve">A_ex1 </w:t>
      </w:r>
      <w:r>
        <w:rPr>
          <w:rStyle w:val="OperatorTok"/>
        </w:rPr>
        <w:t xml:space="preserve">=</w:t>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350</w:t>
      </w:r>
      <w:r>
        <w:rPr>
          <w:rStyle w:val="NormalTok"/>
        </w:rPr>
        <w:t xml:space="preserve">]])</w:t>
      </w:r>
      <w:r>
        <w:br/>
      </w:r>
      <w:r>
        <w:rPr>
          <w:rStyle w:val="NormalTok"/>
        </w:rPr>
        <w:t xml:space="preserve">b_ex1 </w:t>
      </w:r>
      <w:r>
        <w:rPr>
          <w:rStyle w:val="OperatorTok"/>
        </w:rPr>
        <w:t xml:space="preserve">=</w:t>
      </w:r>
      <w:r>
        <w:rPr>
          <w:rStyle w:val="NormalTok"/>
        </w:rPr>
        <w:t xml:space="preserve"> np.array([</w:t>
      </w:r>
      <w:r>
        <w:rPr>
          <w:rStyle w:val="OperatorTok"/>
        </w:rPr>
        <w:t xml:space="preserve">-</w:t>
      </w:r>
      <w:r>
        <w:rPr>
          <w:rStyle w:val="NormalTok"/>
        </w:rPr>
        <w:t xml:space="preserve">omega,E])</w:t>
      </w:r>
      <w:r>
        <w:br/>
      </w:r>
      <w:r>
        <w:br/>
      </w:r>
      <w:r>
        <w:rPr>
          <w:rStyle w:val="NormalTok"/>
        </w:rPr>
        <w:t xml:space="preserve">bounds_ex2 </w:t>
      </w:r>
      <w:r>
        <w:rPr>
          <w:rStyle w:val="OperatorTok"/>
        </w:rPr>
        <w:t xml:space="preserve">=</w:t>
      </w:r>
      <w:r>
        <w:rPr>
          <w:rStyle w:val="NormalTok"/>
        </w:rPr>
        <w:t xml:space="preserve"> [ba,</w:t>
      </w:r>
      <w:r>
        <w:br/>
      </w:r>
      <w:r>
        <w:rPr>
          <w:rStyle w:val="NormalTok"/>
        </w:rPr>
        <w:t xml:space="preserve">              bb]</w:t>
      </w:r>
      <w:r>
        <w:br/>
      </w:r>
      <w:r>
        <w:br/>
      </w:r>
      <w:r>
        <w:rPr>
          <w:rStyle w:val="CommentTok"/>
        </w:rPr>
        <w:t xml:space="preserve"># Solve the problem</w:t>
      </w:r>
      <w:r>
        <w:br/>
      </w:r>
      <w:r>
        <w:rPr>
          <w:rStyle w:val="CommentTok"/>
        </w:rPr>
        <w:t xml:space="preserve"># we put a negative sign on the objective as linprog does minimization</w:t>
      </w:r>
      <w:r>
        <w:br/>
      </w:r>
      <w:r>
        <w:rPr>
          <w:rStyle w:val="NormalTok"/>
        </w:rPr>
        <w:t xml:space="preserve">res_ex1 </w:t>
      </w:r>
      <w:r>
        <w:rPr>
          <w:rStyle w:val="OperatorTok"/>
        </w:rPr>
        <w:t xml:space="preserve">=</w:t>
      </w:r>
      <w:r>
        <w:rPr>
          <w:rStyle w:val="NormalTok"/>
        </w:rPr>
        <w:t xml:space="preserve"> linprog(c_ex1, A_ub</w:t>
      </w:r>
      <w:r>
        <w:rPr>
          <w:rStyle w:val="OperatorTok"/>
        </w:rPr>
        <w:t xml:space="preserve">=</w:t>
      </w:r>
      <w:r>
        <w:rPr>
          <w:rStyle w:val="NormalTok"/>
        </w:rPr>
        <w:t xml:space="preserve">A_ex1, b_ub</w:t>
      </w:r>
      <w:r>
        <w:rPr>
          <w:rStyle w:val="OperatorTok"/>
        </w:rPr>
        <w:t xml:space="preserve">=</w:t>
      </w:r>
      <w:r>
        <w:rPr>
          <w:rStyle w:val="NormalTok"/>
        </w:rPr>
        <w:t xml:space="preserve">b_ex1,bounds</w:t>
      </w:r>
      <w:r>
        <w:rPr>
          <w:rStyle w:val="OperatorTok"/>
        </w:rPr>
        <w:t xml:space="preserve">=</w:t>
      </w:r>
      <w:r>
        <w:rPr>
          <w:rStyle w:val="NormalTok"/>
        </w:rPr>
        <w:t xml:space="preserve">bounds_ex2)</w:t>
      </w:r>
      <w:r>
        <w:br/>
      </w:r>
      <w:r>
        <w:br/>
      </w:r>
      <w:r>
        <w:rPr>
          <w:rStyle w:val="NormalTok"/>
        </w:rPr>
        <w:t xml:space="preserve">res_ex1</w:t>
      </w:r>
    </w:p>
    <w:p>
      <w:pPr>
        <w:pStyle w:val="SourceCode"/>
      </w:pPr>
      <w:r>
        <w:rPr>
          <w:rStyle w:val="VerbatimChar"/>
        </w:rPr>
        <w:t xml:space="preserve">        message: Optimization terminated successfully. (HiGHS Status 7: Optimal)</w:t>
      </w:r>
      <w:r>
        <w:br/>
      </w:r>
      <w:r>
        <w:rPr>
          <w:rStyle w:val="VerbatimChar"/>
        </w:rPr>
        <w:t xml:space="preserve">        success: True</w:t>
      </w:r>
      <w:r>
        <w:br/>
      </w:r>
      <w:r>
        <w:rPr>
          <w:rStyle w:val="VerbatimChar"/>
        </w:rPr>
        <w:t xml:space="preserve">         status: 0</w:t>
      </w:r>
      <w:r>
        <w:br/>
      </w:r>
      <w:r>
        <w:rPr>
          <w:rStyle w:val="VerbatimChar"/>
        </w:rPr>
        <w:t xml:space="preserve">            fun: 186679966971200.0</w:t>
      </w:r>
      <w:r>
        <w:br/>
      </w:r>
      <w:r>
        <w:rPr>
          <w:rStyle w:val="VerbatimChar"/>
        </w:rPr>
        <w:t xml:space="preserve">              x: [ 0.000e+00  2.795e+08]</w:t>
      </w:r>
      <w:r>
        <w:br/>
      </w:r>
      <w:r>
        <w:rPr>
          <w:rStyle w:val="VerbatimChar"/>
        </w:rPr>
        <w:t xml:space="preserve">            nit: 1</w:t>
      </w:r>
      <w:r>
        <w:br/>
      </w:r>
      <w:r>
        <w:rPr>
          <w:rStyle w:val="VerbatimChar"/>
        </w:rPr>
        <w:t xml:space="preserve">          lower:  residual: [ 0.000e+00  2.795e+08]</w:t>
      </w:r>
      <w:r>
        <w:br/>
      </w:r>
      <w:r>
        <w:rPr>
          <w:rStyle w:val="VerbatimChar"/>
        </w:rPr>
        <w:t xml:space="preserve">                 marginals: [ 6.166e+05  0.000e+00]</w:t>
      </w:r>
      <w:r>
        <w:br/>
      </w:r>
      <w:r>
        <w:rPr>
          <w:rStyle w:val="VerbatimChar"/>
        </w:rPr>
        <w:t xml:space="preserve">          upper:  residual: [       inf        inf]</w:t>
      </w:r>
      <w:r>
        <w:br/>
      </w:r>
      <w:r>
        <w:rPr>
          <w:rStyle w:val="VerbatimChar"/>
        </w:rPr>
        <w:t xml:space="preserve">                 marginals: [ 0.000e+00  0.000e+00]</w:t>
      </w:r>
      <w:r>
        <w:br/>
      </w:r>
      <w:r>
        <w:rPr>
          <w:rStyle w:val="VerbatimChar"/>
        </w:rPr>
        <w:t xml:space="preserve">          eqlin:  residual: []</w:t>
      </w:r>
      <w:r>
        <w:br/>
      </w:r>
      <w:r>
        <w:rPr>
          <w:rStyle w:val="VerbatimChar"/>
        </w:rPr>
        <w:t xml:space="preserve">                 marginals: []</w:t>
      </w:r>
      <w:r>
        <w:br/>
      </w:r>
      <w:r>
        <w:rPr>
          <w:rStyle w:val="VerbatimChar"/>
        </w:rPr>
        <w:t xml:space="preserve">        ineqlin:  residual: [ 0.000e+00  5.215e+11]</w:t>
      </w:r>
      <w:r>
        <w:br/>
      </w:r>
      <w:r>
        <w:rPr>
          <w:rStyle w:val="VerbatimChar"/>
        </w:rPr>
        <w:t xml:space="preserve">                 marginals: [-6.679e+05 -0.000e+00]</w:t>
      </w:r>
      <w:r>
        <w:br/>
      </w:r>
      <w:r>
        <w:rPr>
          <w:rStyle w:val="VerbatimChar"/>
        </w:rPr>
        <w:t xml:space="preserve"> mip_node_count: 0</w:t>
      </w:r>
      <w:r>
        <w:br/>
      </w:r>
      <w:r>
        <w:rPr>
          <w:rStyle w:val="VerbatimChar"/>
        </w:rPr>
        <w:t xml:space="preserve"> mip_dual_bound: 0.0</w:t>
      </w:r>
      <w:r>
        <w:br/>
      </w:r>
      <w:r>
        <w:rPr>
          <w:rStyle w:val="VerbatimChar"/>
        </w:rPr>
        <w:t xml:space="preserve">        mip_gap: 0.0</w:t>
      </w:r>
    </w:p>
    <w:bookmarkEnd w:id="25"/>
    <w:bookmarkStart w:id="26" w:name="section"/>
    <w:p>
      <w:pPr>
        <w:pStyle w:val="Heading2"/>
      </w:pPr>
      <w:r>
        <w:t xml:space="preserve">6</w:t>
      </w:r>
      <w:r>
        <w:t xml:space="preserve"> </w:t>
      </w:r>
    </w:p>
    <w:bookmarkEnd w:id="26"/>
    <w:bookmarkStart w:id="39" w:name="bibliography"/>
    <w:p>
      <w:pPr>
        <w:pStyle w:val="Heading2"/>
      </w:pPr>
      <w:r>
        <w:t xml:space="preserve">7 Bibliography</w:t>
      </w:r>
    </w:p>
    <w:bookmarkStart w:id="38" w:name="refs"/>
    <w:bookmarkStart w:id="28"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27">
        <w:r>
          <w:rPr>
            <w:rStyle w:val="Hyperlink"/>
          </w:rPr>
          <w:t xml:space="preserve">https://doi.org/10.29122/jtl.v11i2.1207</w:t>
        </w:r>
      </w:hyperlink>
      <w:r>
        <w:t xml:space="preserve">.</w:t>
      </w:r>
    </w:p>
    <w:bookmarkEnd w:id="28"/>
    <w:bookmarkStart w:id="30" w:name="ref-HDZ17"/>
    <w:p>
      <w:pPr>
        <w:pStyle w:val="Bibliography"/>
      </w:pPr>
      <w:r>
        <w:t xml:space="preserve">He, Ping, Guowei Dou, and Wei Zhang. 2017.</w:t>
      </w:r>
      <w:r>
        <w:t xml:space="preserve"> </w:t>
      </w:r>
      <w:r>
        <w:t xml:space="preserve">“Optimal Production Planning and Cap Setting Under Cap-and-Trade Regulation.”</w:t>
      </w:r>
      <w:r>
        <w:t xml:space="preserve"> </w:t>
      </w:r>
      <w:r>
        <w:t xml:space="preserve">Journal Article.</w:t>
      </w:r>
      <w:r>
        <w:t xml:space="preserve"> </w:t>
      </w:r>
      <w:r>
        <w:rPr>
          <w:iCs/>
          <w:i/>
        </w:rPr>
        <w:t xml:space="preserve">The Journal of the Operational Research Society</w:t>
      </w:r>
      <w:r>
        <w:t xml:space="preserve"> </w:t>
      </w:r>
      <w:r>
        <w:t xml:space="preserve">68 (9): 1094–1105. https://doi.org/</w:t>
      </w:r>
      <w:hyperlink r:id="rId29">
        <w:r>
          <w:rPr>
            <w:rStyle w:val="Hyperlink"/>
          </w:rPr>
          <w:t xml:space="preserve">https://doi.org/10.1057/s41274-016-0123-1</w:t>
        </w:r>
      </w:hyperlink>
      <w:r>
        <w:t xml:space="preserve">.</w:t>
      </w:r>
    </w:p>
    <w:bookmarkEnd w:id="30"/>
    <w:bookmarkStart w:id="31" w:name="ref-ember"/>
    <w:p>
      <w:pPr>
        <w:pStyle w:val="Bibliography"/>
      </w:pPr>
      <w:r>
        <w:t xml:space="preserve">Lolla, Muyi, Aditya AND Yang. 2021.</w:t>
      </w:r>
      <w:r>
        <w:t xml:space="preserve"> </w:t>
      </w:r>
      <w:r>
        <w:t xml:space="preserve">“Indonesia: Indonesia Defies Global Trend with More Coal in the Generation-Mix.”</w:t>
      </w:r>
      <w:r>
        <w:t xml:space="preserve"> </w:t>
      </w:r>
      <w:r>
        <w:t xml:space="preserve">ember-climate; Global Electricity Review 2021: G20 profile.</w:t>
      </w:r>
    </w:p>
    <w:bookmarkEnd w:id="31"/>
    <w:bookmarkStart w:id="32" w:name="ref-pln"/>
    <w:p>
      <w:pPr>
        <w:pStyle w:val="Bibliography"/>
      </w:pPr>
      <w:r>
        <w:t xml:space="preserve">PLN. 2021.</w:t>
      </w:r>
      <w:r>
        <w:t xml:space="preserve"> </w:t>
      </w:r>
      <w:r>
        <w:t xml:space="preserve">“Statistik PLN.”</w:t>
      </w:r>
      <w:r>
        <w:t xml:space="preserve"> </w:t>
      </w:r>
      <w:r>
        <w:t xml:space="preserve">01001-220630. Perusahaan Listrik Negara.</w:t>
      </w:r>
    </w:p>
    <w:bookmarkEnd w:id="32"/>
    <w:bookmarkStart w:id="34" w:name="ref-SEBK17"/>
    <w:p>
      <w:pPr>
        <w:pStyle w:val="Bibliography"/>
      </w:pPr>
      <w:r>
        <w:t xml:space="preserve">Sabzevar, Nikoo, S. T. Enns, Joule Bergerson, and Janne Kettunen. 2017.</w:t>
      </w:r>
      <w:r>
        <w:t xml:space="preserve"> </w:t>
      </w:r>
      <w:r>
        <w:t xml:space="preserve">“Modeling Competitive Firms’ Performance Under Price-Sensitive Demand and Cap-and-Trade Emissions Constraints.”</w:t>
      </w:r>
      <w:r>
        <w:t xml:space="preserve"> </w:t>
      </w:r>
      <w:r>
        <w:t xml:space="preserve">Journal Article.</w:t>
      </w:r>
      <w:r>
        <w:t xml:space="preserve"> </w:t>
      </w:r>
      <w:r>
        <w:rPr>
          <w:iCs/>
          <w:i/>
        </w:rPr>
        <w:t xml:space="preserve">International Journal of Production Economics</w:t>
      </w:r>
      <w:r>
        <w:t xml:space="preserve"> </w:t>
      </w:r>
      <w:r>
        <w:t xml:space="preserve">184: 193–209. https://doi.org/</w:t>
      </w:r>
      <w:hyperlink r:id="rId33">
        <w:r>
          <w:rPr>
            <w:rStyle w:val="Hyperlink"/>
          </w:rPr>
          <w:t xml:space="preserve">https://doi.org/10.1016/j.ijpe.2016.10.024</w:t>
        </w:r>
      </w:hyperlink>
      <w:r>
        <w:t xml:space="preserve">.</w:t>
      </w:r>
    </w:p>
    <w:bookmarkEnd w:id="34"/>
    <w:bookmarkStart w:id="35" w:name="ref-quant"/>
    <w:p>
      <w:pPr>
        <w:pStyle w:val="Bibliography"/>
      </w:pPr>
      <w:r>
        <w:t xml:space="preserve">Sargent, John, Thomas J. AND Stachurski. n.d.</w:t>
      </w:r>
      <w:r>
        <w:t xml:space="preserve"> </w:t>
      </w:r>
      <w:r>
        <w:t xml:space="preserve">“Intermediate Quantitative Economics with Python.”</w:t>
      </w:r>
      <w:r>
        <w:t xml:space="preserve"> </w:t>
      </w:r>
      <w:r>
        <w:t xml:space="preserve">quantecon.org.</w:t>
      </w:r>
    </w:p>
    <w:bookmarkEnd w:id="35"/>
    <w:bookmarkStart w:id="37" w:name="ref-jrc"/>
    <w:p>
      <w:pPr>
        <w:pStyle w:val="Bibliography"/>
      </w:pPr>
      <w:r>
        <w:t xml:space="preserve">Steen, M. 2021.</w:t>
      </w:r>
      <w:r>
        <w:t xml:space="preserve"> </w:t>
      </w:r>
      <w:r>
        <w:t xml:space="preserve">“Greenhouse Gas Emissions from Fossil Fuel Fired Power Generation Systems.”</w:t>
      </w:r>
      <w:r>
        <w:t xml:space="preserve"> </w:t>
      </w:r>
      <w:r>
        <w:t xml:space="preserve">JRC21207. JRC Publications Repository.</w:t>
      </w:r>
      <w:r>
        <w:t xml:space="preserve"> </w:t>
      </w:r>
      <w:hyperlink r:id="rId36">
        <w:r>
          <w:rPr>
            <w:rStyle w:val="Hyperlink"/>
          </w:rPr>
          <w:t xml:space="preserve">https://publications.jrc.ec.europa.eu/repository/handle/JRC21207</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 appendix for a more complete codes and parameterisation used in this paper.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16/j.ijpe.2016.10.024" TargetMode="External" /><Relationship Type="http://schemas.openxmlformats.org/officeDocument/2006/relationships/hyperlink" Id="rId29" Target="https://doi.org/10.1057/s41274-016-0123-1" TargetMode="External" /><Relationship Type="http://schemas.openxmlformats.org/officeDocument/2006/relationships/hyperlink" Id="rId27" Target="https://doi.org/10.29122/jtl.v11i2.1207" TargetMode="External" /><Relationship Type="http://schemas.openxmlformats.org/officeDocument/2006/relationships/hyperlink" Id="rId36" Target="https://publications.jrc.ec.europa.eu/repository/handle/JRC21207"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ijpe.2016.10.024" TargetMode="External" /><Relationship Type="http://schemas.openxmlformats.org/officeDocument/2006/relationships/hyperlink" Id="rId29" Target="https://doi.org/10.1057/s41274-016-0123-1" TargetMode="External" /><Relationship Type="http://schemas.openxmlformats.org/officeDocument/2006/relationships/hyperlink" Id="rId27" Target="https://doi.org/10.29122/jtl.v11i2.1207" TargetMode="External" /><Relationship Type="http://schemas.openxmlformats.org/officeDocument/2006/relationships/hyperlink" Id="rId36" Target="https://publications.jrc.ec.europa.eu/repository/handle/JRC212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green_paper</dc:title>
  <dc:creator>Krisna Gupta</dc:creator>
  <cp:keywords/>
  <dcterms:created xsi:type="dcterms:W3CDTF">2023-11-01T11:22:14Z</dcterms:created>
  <dcterms:modified xsi:type="dcterms:W3CDTF">2023-11-01T11:22:14Z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awokawokawo</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olorlinks">
    <vt:lpwstr>True</vt:lpwstr>
  </property>
  <property fmtid="{D5CDD505-2E9C-101B-9397-08002B2CF9AE}" pid="8" name="csl">
    <vt:lpwstr>chicago.csl</vt:lpwstr>
  </property>
  <property fmtid="{D5CDD505-2E9C-101B-9397-08002B2CF9AE}" pid="9" name="date">
    <vt:lpwstr>November 1,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