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Dampak HGBT</w:t>
      </w:r>
    </w:p>
    <w:p>
      <w:pPr>
        <w:pStyle w:val="Author"/>
      </w:pPr>
      <w:r>
        <w:t xml:space="preserve">Krisna Gupta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Di sini saya membahas soal isu-isu kontemporer dalam perdagangan internasional</w:t>
      </w:r>
    </w:p>
    <w:bookmarkStart w:id="20" w:name="data"/>
    <w:p>
      <w:pPr>
        <w:pStyle w:val="Heading2"/>
      </w:pPr>
      <w:r>
        <w:t xml:space="preserve">1 Data</w:t>
      </w:r>
    </w:p>
    <w:p>
      <w:pPr>
        <w:pStyle w:val="FirstParagraph"/>
      </w:pPr>
      <w:r>
        <w:t xml:space="preserve">Data dikumpulkan berdasarkan laporan tahunan.</w:t>
      </w:r>
    </w:p>
    <w:bookmarkEnd w:id="20"/>
    <w:bookmarkStart w:id="21" w:name="hasil"/>
    <w:p>
      <w:pPr>
        <w:pStyle w:val="Heading2"/>
      </w:pPr>
      <w:r>
        <w:t xml:space="preserve">2 Hasil</w:t>
      </w:r>
    </w:p>
    <w:p>
      <w:pPr>
        <w:pStyle w:val="SourceCode"/>
      </w:pPr>
      <w:r>
        <w:rPr>
          <w:rStyle w:val="VerbatimChar"/>
        </w:rPr>
        <w:t xml:space="preserve">Joining with `by = join_by(Tahun)`</w:t>
      </w:r>
    </w:p>
    <w:tbl>
      <w:tblPr>
        <w:tblStyle w:val="Table"/>
        <w:tblW w:type="pct" w:w="3472"/>
        <w:tblLayout w:type="fixed"/>
        <w:tblLook w:firstRow="1" w:lastRow="1" w:firstColumn="0" w:lastColumn="0" w:noHBand="0" w:noVBand="0" w:val="0020"/>
      </w:tblPr>
      <w:tblGrid>
        <w:gridCol w:w="1870"/>
        <w:gridCol w:w="1210"/>
        <w:gridCol w:w="1210"/>
        <w:gridCol w:w="12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FE</w:t>
            </w:r>
          </w:p>
        </w:tc>
        <w:tc>
          <w:tcPr/>
          <w:p>
            <w:pPr>
              <w:pStyle w:val="Compact"/>
            </w:pPr>
            <w:r>
              <w:t xml:space="preserve">TWFE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1.314***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(0.286)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lK</w:t>
            </w:r>
          </w:p>
        </w:tc>
        <w:tc>
          <w:tcPr/>
          <w:p>
            <w:pPr>
              <w:pStyle w:val="Compact"/>
            </w:pPr>
            <w:r>
              <w:t xml:space="preserve">0.642***</w:t>
            </w:r>
          </w:p>
        </w:tc>
        <w:tc>
          <w:tcPr/>
          <w:p>
            <w:pPr>
              <w:pStyle w:val="Compact"/>
            </w:pPr>
            <w:r>
              <w:t xml:space="preserve">0.459***</w:t>
            </w:r>
          </w:p>
        </w:tc>
        <w:tc>
          <w:tcPr/>
          <w:p>
            <w:pPr>
              <w:pStyle w:val="Compact"/>
            </w:pPr>
            <w:r>
              <w:t xml:space="preserve">0.381***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</w:t>
            </w:r>
          </w:p>
        </w:tc>
        <w:tc>
          <w:tcPr/>
          <w:p>
            <w:pPr>
              <w:pStyle w:val="Compact"/>
            </w:pPr>
            <w:r>
              <w:t xml:space="preserve">0.365***</w:t>
            </w:r>
          </w:p>
        </w:tc>
        <w:tc>
          <w:tcPr/>
          <w:p>
            <w:pPr>
              <w:pStyle w:val="Compact"/>
            </w:pPr>
            <w:r>
              <w:t xml:space="preserve">0.347***</w:t>
            </w:r>
          </w:p>
        </w:tc>
        <w:tc>
          <w:tcPr/>
          <w:p>
            <w:pPr>
              <w:pStyle w:val="Compact"/>
            </w:pPr>
            <w:r>
              <w:t xml:space="preserve">0.341***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HGBT</w:t>
            </w:r>
          </w:p>
        </w:tc>
        <w:tc>
          <w:tcPr/>
          <w:p>
            <w:pPr>
              <w:pStyle w:val="Compact"/>
            </w:pPr>
            <w:r>
              <w:t xml:space="preserve">0.152*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-0.080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308.2</w:t>
            </w:r>
          </w:p>
        </w:tc>
        <w:tc>
          <w:tcPr/>
          <w:p>
            <w:pPr>
              <w:pStyle w:val="Compact"/>
            </w:pPr>
            <w:r>
              <w:t xml:space="preserve">75.5</w:t>
            </w:r>
          </w:p>
        </w:tc>
        <w:tc>
          <w:tcPr/>
          <w:p>
            <w:pPr>
              <w:pStyle w:val="Compact"/>
            </w:pPr>
            <w:r>
              <w:t xml:space="preserve">73.2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322.6</w:t>
            </w:r>
          </w:p>
        </w:tc>
        <w:tc>
          <w:tcPr/>
          <w:p>
            <w:pPr>
              <w:pStyle w:val="Compact"/>
            </w:pPr>
            <w:r>
              <w:t xml:space="preserve">197.7</w:t>
            </w:r>
          </w:p>
        </w:tc>
        <w:tc>
          <w:tcPr/>
          <w:p>
            <w:pPr>
              <w:pStyle w:val="Compact"/>
            </w:pPr>
            <w:r>
              <w:t xml:space="preserve">227.8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Perusahaan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Tahun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tbl>
      <w:tblPr>
        <w:tblStyle w:val="Table"/>
        <w:tblW w:type="pct" w:w="3472"/>
        <w:tblLayout w:type="fixed"/>
        <w:tblLook w:firstRow="1" w:lastRow="1" w:firstColumn="0" w:lastColumn="0" w:noHBand="0" w:noVBand="0" w:val="0020"/>
      </w:tblPr>
      <w:tblGrid>
        <w:gridCol w:w="1870"/>
        <w:gridCol w:w="1210"/>
        <w:gridCol w:w="1210"/>
        <w:gridCol w:w="12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FE</w:t>
            </w:r>
          </w:p>
        </w:tc>
        <w:tc>
          <w:tcPr/>
          <w:p>
            <w:pPr>
              <w:pStyle w:val="Compact"/>
            </w:pPr>
            <w:r>
              <w:t xml:space="preserve">TWFE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1.298***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(0.276)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lK1</w:t>
            </w:r>
          </w:p>
        </w:tc>
        <w:tc>
          <w:tcPr/>
          <w:p>
            <w:pPr>
              <w:pStyle w:val="Compact"/>
            </w:pPr>
            <w:r>
              <w:t xml:space="preserve">0.644***</w:t>
            </w:r>
          </w:p>
        </w:tc>
        <w:tc>
          <w:tcPr/>
          <w:p>
            <w:pPr>
              <w:pStyle w:val="Compact"/>
            </w:pPr>
            <w:r>
              <w:t xml:space="preserve">0.424***</w:t>
            </w:r>
          </w:p>
        </w:tc>
        <w:tc>
          <w:tcPr/>
          <w:p>
            <w:pPr>
              <w:pStyle w:val="Compact"/>
            </w:pPr>
            <w:r>
              <w:t xml:space="preserve">0.381***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(0.083)</w:t>
            </w:r>
          </w:p>
        </w:tc>
        <w:tc>
          <w:tcPr/>
          <w:p>
            <w:pPr>
              <w:pStyle w:val="Compact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lL1</w:t>
            </w:r>
          </w:p>
        </w:tc>
        <w:tc>
          <w:tcPr/>
          <w:p>
            <w:pPr>
              <w:pStyle w:val="Compact"/>
            </w:pPr>
            <w:r>
              <w:t xml:space="preserve">0.365***</w:t>
            </w:r>
          </w:p>
        </w:tc>
        <w:tc>
          <w:tcPr/>
          <w:p>
            <w:pPr>
              <w:pStyle w:val="Compact"/>
            </w:pPr>
            <w:r>
              <w:t xml:space="preserve">0.328***</w:t>
            </w:r>
          </w:p>
        </w:tc>
        <w:tc>
          <w:tcPr/>
          <w:p>
            <w:pPr>
              <w:pStyle w:val="Compact"/>
            </w:pPr>
            <w:r>
              <w:t xml:space="preserve">0.341***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HGBT</w:t>
            </w:r>
          </w:p>
        </w:tc>
        <w:tc>
          <w:tcPr/>
          <w:p>
            <w:pPr>
              <w:pStyle w:val="Compact"/>
            </w:pPr>
            <w:r>
              <w:t xml:space="preserve">0.151*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308.1</w:t>
            </w:r>
          </w:p>
        </w:tc>
        <w:tc>
          <w:tcPr/>
          <w:p>
            <w:pPr>
              <w:pStyle w:val="Compact"/>
            </w:pPr>
            <w:r>
              <w:t xml:space="preserve">71.9</w:t>
            </w:r>
          </w:p>
        </w:tc>
        <w:tc>
          <w:tcPr/>
          <w:p>
            <w:pPr>
              <w:pStyle w:val="Compact"/>
            </w:pPr>
            <w:r>
              <w:t xml:space="preserve">73.2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322.5</w:t>
            </w:r>
          </w:p>
        </w:tc>
        <w:tc>
          <w:tcPr/>
          <w:p>
            <w:pPr>
              <w:pStyle w:val="Compact"/>
            </w:pPr>
            <w:r>
              <w:t xml:space="preserve">194.1</w:t>
            </w:r>
          </w:p>
        </w:tc>
        <w:tc>
          <w:tcPr/>
          <w:p>
            <w:pPr>
              <w:pStyle w:val="Compact"/>
            </w:pPr>
            <w:r>
              <w:t xml:space="preserve">227.8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Perusahaan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Tahun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bookmarkEnd w:id="21"/>
    <w:bookmarkStart w:id="22" w:name="references"/>
    <w:p>
      <w:pPr>
        <w:pStyle w:val="Heading2"/>
      </w:pPr>
      <w:r>
        <w:t xml:space="preserve">References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Dampak HGBT</dc:title>
  <dc:creator>Krisna Gupta</dc:creator>
  <cp:keywords/>
  <dcterms:created xsi:type="dcterms:W3CDTF">2025-11-16T17:15:46Z</dcterms:created>
  <dcterms:modified xsi:type="dcterms:W3CDTF">2025-11-16T17:15:46Z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Di sini saya membahas soal isu-isu kontemporer dalam perdagangan internasional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sl">
    <vt:lpwstr>apa.csl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