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Dampak HGBT</w:t>
      </w:r>
    </w:p>
    <w:p>
      <w:pPr>
        <w:pStyle w:val="Author"/>
      </w:pPr>
      <w:r>
        <w:t xml:space="preserve">Krisna Gupta</w:t>
      </w:r>
    </w:p>
    <w:p>
      <w:pPr>
        <w:pStyle w:val="AbstractTitle"/>
      </w:pPr>
      <w:r>
        <w:t xml:space="preserve">Ringkasan</w:t>
      </w:r>
    </w:p>
    <w:p>
      <w:pPr>
        <w:pStyle w:val="Abstract"/>
      </w:pPr>
      <w:r>
        <w:t xml:space="preserve">Di sini saya membahas soal isu-isu kontemporer dalam perdagangan internasional</w:t>
      </w:r>
    </w:p>
    <w:bookmarkStart w:id="20" w:name="pendahuluan"/>
    <w:p>
      <w:pPr>
        <w:pStyle w:val="Heading2"/>
      </w:pPr>
      <w:r>
        <w:t xml:space="preserve">1 Pendahuluan</w:t>
      </w:r>
    </w:p>
    <w:p>
      <w:pPr>
        <w:pStyle w:val="FirstParagraph"/>
      </w:pPr>
      <w:r>
        <w:t xml:space="preserve">ikutin aja docx sebelumnya</w:t>
      </w:r>
    </w:p>
    <w:bookmarkEnd w:id="20"/>
    <w:bookmarkStart w:id="21" w:name="studi-literatur"/>
    <w:p>
      <w:pPr>
        <w:pStyle w:val="Heading2"/>
      </w:pPr>
      <w:r>
        <w:t xml:space="preserve">2 Studi literatur</w:t>
      </w:r>
    </w:p>
    <w:p>
      <w:pPr>
        <w:pStyle w:val="FirstParagraph"/>
      </w:pPr>
      <w:r>
        <w:t xml:space="preserve">Tambahin literatur di manajemen tentang dampak dari subsidi input ke perusahaan.</w:t>
      </w:r>
    </w:p>
    <w:bookmarkEnd w:id="21"/>
    <w:bookmarkStart w:id="39" w:name="metodologi-penelitian"/>
    <w:p>
      <w:pPr>
        <w:pStyle w:val="Heading2"/>
      </w:pPr>
      <w:r>
        <w:t xml:space="preserve">3 Metodologi penelitian</w:t>
      </w:r>
    </w:p>
    <w:bookmarkStart w:id="30" w:name="desain-penelitian"/>
    <w:p>
      <w:pPr>
        <w:pStyle w:val="Heading3"/>
      </w:pPr>
      <w:r>
        <w:t xml:space="preserve">3.1 Desain penelitian</w:t>
      </w:r>
    </w:p>
    <w:p>
      <w:pPr>
        <w:pStyle w:val="FirstParagraph"/>
      </w:pPr>
      <w:r>
        <w:t xml:space="preserve">Artikel ini menggunakan pendekatan fungsi produksi yang sama dengan</w:t>
      </w:r>
      <w:r>
        <w:t xml:space="preserve"> </w:t>
      </w:r>
      <w:r>
        <w:t xml:space="preserve">Corong dkk. (2017)</w:t>
      </w:r>
      <w:r>
        <w:t xml:space="preserve">, di mana produksi sebuah perusahaan diasumsikan dengan menggunakan fungsi produksi berjenjang. Jenjang pertama adalah keluaran (</w:t>
      </w:r>
      <w:r>
        <w:rPr>
          <w:i/>
          <w:iCs/>
        </w:rPr>
        <w:t xml:space="preserve">output</w:t>
      </w:r>
      <w:r>
        <w:t xml:space="preserve">,</w:t>
      </w:r>
      <w:r>
        <w:t xml:space="preserve"> </w:t>
      </w:r>
      <m:oMath>
        <m:r>
          <m:t>Q</m:t>
        </m:r>
      </m:oMath>
      <w:r>
        <w:t xml:space="preserve">) sebagai fungsi komplementer dari masukan (</w:t>
      </w:r>
      <w:r>
        <w:rPr>
          <w:i/>
          <w:iCs/>
        </w:rPr>
        <w:t xml:space="preserve">input</w:t>
      </w:r>
      <w:r>
        <w:t xml:space="preserve">,</w:t>
      </w:r>
      <w:r>
        <w:t xml:space="preserve"> </w:t>
      </w:r>
      <m:oMath>
        <m:r>
          <m:t>M</m:t>
        </m:r>
      </m:oMath>
      <w:r>
        <w:t xml:space="preserve">) dan nilai tambah (</w:t>
      </w:r>
      <w:r>
        <w:rPr>
          <w:i/>
          <w:iCs/>
        </w:rPr>
        <w:t xml:space="preserve">Factor value add</w:t>
      </w:r>
      <w:r>
        <w:t xml:space="preserve">,</w:t>
      </w:r>
      <w:r>
        <w:t xml:space="preserve"> </w:t>
      </w:r>
      <m:oMath>
        <m:r>
          <m:t>V</m:t>
        </m:r>
      </m:oMath>
      <w:r>
        <w:t xml:space="preserve">). VA sendiri, kemudian, merupakan fungsi dari Cobb-Douglass dengan kapital (</w:t>
      </w:r>
      <m:oMath>
        <m:r>
          <m:t>K</m:t>
        </m:r>
      </m:oMath>
      <w:r>
        <w:t xml:space="preserve">) dan tenaga kerja (</w:t>
      </w:r>
      <m:oMath>
        <m:r>
          <m:t>L</m:t>
        </m:r>
      </m:oMath>
      <w:r>
        <w:t xml:space="preserve">) sebagai komponennya.</w:t>
      </w:r>
    </w:p>
    <w:tbl>
      <w:tblPr>
        <w:tblStyle w:val="Table"/>
        <w:tblW w:type="pct" w:w="5000"/>
        <w:tblLayout w:type="fixed"/>
        <w:tblLook w:firstRow="0" w:lastRow="0" w:firstColumn="0" w:lastColumn="0" w:noHBand="0" w:noVBand="0" w:val="0000"/>
      </w:tblPr>
      <w:tblGrid>
        <w:gridCol w:w="7920"/>
      </w:tblGrid>
      <w:tr>
        <w:tc>
          <w:tcPr/>
          <w:bookmarkStart w:id="25" w:name="fig-mermaid"/>
          <w:p>
            <w:pPr>
              <w:jc w:val="center"/>
            </w:pPr>
          </w:p>
          <w:p>
            <w:pPr>
              <w:jc w:val="center"/>
            </w:pPr>
            <w:r>
              <w:drawing>
                <wp:inline>
                  <wp:extent cx="2532888" cy="4343400"/>
                  <wp:effectExtent b="0" l="0" r="0" t="0"/>
                  <wp:docPr descr="" title="" id="23" name="Picture"/>
                  <a:graphic>
                    <a:graphicData uri="http://schemas.openxmlformats.org/drawingml/2006/picture">
                      <pic:pic>
                        <pic:nvPicPr>
                          <pic:cNvPr descr="index_files\figure-docx\mermaid-figure-1.png" id="24" name="Picture"/>
                          <pic:cNvPicPr>
                            <a:picLocks noChangeArrowheads="1" noChangeAspect="1"/>
                          </pic:cNvPicPr>
                        </pic:nvPicPr>
                        <pic:blipFill>
                          <a:blip r:embed="rId22"/>
                          <a:stretch>
                            <a:fillRect/>
                          </a:stretch>
                        </pic:blipFill>
                        <pic:spPr bwMode="auto">
                          <a:xfrm>
                            <a:off x="0" y="0"/>
                            <a:ext cx="2532888" cy="4343400"/>
                          </a:xfrm>
                          <a:prstGeom prst="rect">
                            <a:avLst/>
                          </a:prstGeom>
                          <a:noFill/>
                          <a:ln w="9525">
                            <a:noFill/>
                            <a:headEnd/>
                            <a:tailEnd/>
                          </a:ln>
                        </pic:spPr>
                      </pic:pic>
                    </a:graphicData>
                  </a:graphic>
                </wp:inline>
              </w:drawing>
            </w:r>
          </w:p>
          <w:p>
            <w:pPr>
              <w:jc w:val="center"/>
            </w:pPr>
          </w:p>
          <w:p>
            <w:pPr>
              <w:jc w:val="center"/>
            </w:pPr>
            <w:pPr>
              <w:jc w:val="left"/>
              <w:spacing w:before="200"/>
              <w:pStyle w:val="ImageCaption"/>
            </w:pPr>
            <w:r>
              <w:t xml:space="preserve">Gambar 1: Diagram fungsi produksi</w:t>
            </w:r>
          </w:p>
          <w:bookmarkEnd w:id="25"/>
        </w:tc>
      </w:tr>
    </w:tbl>
    <w:p>
      <w:pPr>
        <w:pStyle w:val="BodyText"/>
      </w:pPr>
      <w:r>
        <w:t xml:space="preserve">Kita hitung V sebagai keluaran dikurangi dengan biaya masukan, sehingga V memiliki fungsi sebagai berikut:</w:t>
      </w:r>
    </w:p>
    <w:p>
      <w:pPr>
        <w:pStyle w:val="BodyText"/>
      </w:pPr>
      <w:bookmarkStart w:id="26" w:name="eq-1"/>
      <m:oMathPara>
        <m:oMathParaPr>
          <m:jc m:val="center"/>
        </m:oMathParaPr>
        <m:oMath>
          <m:sSub>
            <m:e>
              <m:r>
                <m:t>V</m:t>
              </m:r>
            </m:e>
            <m:sub>
              <m:r>
                <m:t>i</m:t>
              </m:r>
            </m:sub>
          </m:sSub>
          <m:r>
            <m:rPr>
              <m:sty m:val="p"/>
            </m:rPr>
            <m:t>=</m:t>
          </m:r>
          <m:r>
            <m:t>A</m:t>
          </m:r>
          <m:sSubSup>
            <m:e>
              <m:r>
                <m:t>K</m:t>
              </m:r>
            </m:e>
            <m:sub>
              <m:r>
                <m:t>i</m:t>
              </m:r>
            </m:sub>
            <m:sup>
              <m:sSub>
                <m:e>
                  <m:r>
                    <m:t>β</m:t>
                  </m:r>
                </m:e>
                <m:sub>
                  <m:r>
                    <m:t>k</m:t>
                  </m:r>
                </m:sub>
              </m:sSub>
            </m:sup>
          </m:sSubSup>
          <m:sSubSup>
            <m:e>
              <m:r>
                <m:t>L</m:t>
              </m:r>
            </m:e>
            <m:sub>
              <m:r>
                <m:t>i</m:t>
              </m:r>
            </m:sub>
            <m:sup>
              <m:sSub>
                <m:e>
                  <m:r>
                    <m:t>β</m:t>
                  </m:r>
                </m:e>
                <m:sub>
                  <m:r>
                    <m:t>L</m:t>
                  </m:r>
                </m:sub>
              </m:sSub>
            </m:sup>
          </m:sSubSup>
          <m:r>
            <m:t>  </m:t>
          </m:r>
          <m:d>
            <m:dPr>
              <m:begChr m:val="("/>
              <m:sepChr m:val=""/>
              <m:endChr m:val=")"/>
              <m:grow/>
            </m:dPr>
            <m:e>
              <m:r>
                <m:t>1</m:t>
              </m:r>
            </m:e>
          </m:d>
        </m:oMath>
      </m:oMathPara>
      <w:bookmarkEnd w:id="26"/>
    </w:p>
    <w:p>
      <w:pPr>
        <w:pStyle w:val="FirstParagraph"/>
      </w:pPr>
      <w:r>
        <w:t xml:space="preserve">di mana</w:t>
      </w:r>
      <w:r>
        <w:t xml:space="preserve"> </w:t>
      </w:r>
      <m:oMath>
        <m:sSub>
          <m:e>
            <m:r>
              <m:t>V</m:t>
            </m:r>
          </m:e>
          <m:sub>
            <m:r>
              <m:t>i</m:t>
            </m:r>
          </m:sub>
        </m:sSub>
      </m:oMath>
      <w:r>
        <w:t xml:space="preserve"> </w:t>
      </w:r>
      <w:r>
        <w:t xml:space="preserve">adalah nilai tambah faktor produksi dari perusahaan</w:t>
      </w:r>
      <w:r>
        <w:t xml:space="preserve"> </w:t>
      </w:r>
      <m:oMath>
        <m:r>
          <m:t>i</m:t>
        </m:r>
      </m:oMath>
      <w:r>
        <w:t xml:space="preserve">,</w:t>
      </w:r>
      <w:r>
        <w:t xml:space="preserve"> </w:t>
      </w:r>
      <m:oMath>
        <m:sSub>
          <m:e>
            <m:r>
              <m:t>K</m:t>
            </m:r>
          </m:e>
          <m:sub>
            <m:r>
              <m:t>i</m:t>
            </m:r>
          </m:sub>
        </m:sSub>
      </m:oMath>
      <w:r>
        <w:t xml:space="preserve"> </w:t>
      </w:r>
      <w:r>
        <w:t xml:space="preserve">dan</w:t>
      </w:r>
      <w:r>
        <w:t xml:space="preserve"> </w:t>
      </w:r>
      <m:oMath>
        <m:sSub>
          <m:e>
            <m:r>
              <m:t>L</m:t>
            </m:r>
          </m:e>
          <m:sub>
            <m:r>
              <m:t>i</m:t>
            </m:r>
          </m:sub>
        </m:sSub>
      </m:oMath>
      <w:r>
        <w:t xml:space="preserve"> </w:t>
      </w:r>
      <w:r>
        <w:t xml:space="preserve">adalah kapital dan tenaga kerja yang digunakan oleh perusahaan</w:t>
      </w:r>
      <w:r>
        <w:t xml:space="preserve"> </w:t>
      </w:r>
      <m:oMath>
        <m:r>
          <m:t>i</m:t>
        </m:r>
      </m:oMath>
      <w:r>
        <w:t xml:space="preserve">, sementara</w:t>
      </w:r>
      <w:r>
        <w:t xml:space="preserve"> </w:t>
      </w:r>
      <m:oMath>
        <m:r>
          <m:t>A</m:t>
        </m:r>
      </m:oMath>
      <w:r>
        <w:t xml:space="preserve"> </w:t>
      </w:r>
      <w:r>
        <w:t xml:space="preserve">adalah produktivitas industri.</w:t>
      </w:r>
    </w:p>
    <w:p>
      <w:pPr>
        <w:pStyle w:val="BodyText"/>
      </w:pPr>
      <w:r>
        <w:t xml:space="preserve">Modifikasi dari persamaan</w:t>
      </w:r>
      <w:r>
        <w:t xml:space="preserve"> </w:t>
      </w:r>
      <w:hyperlink w:anchor="eq-1">
        <w:r>
          <w:rPr>
            <w:rStyle w:val="Hyperlink"/>
          </w:rPr>
          <w:t xml:space="preserve">Perhitungan 1</w:t>
        </w:r>
      </w:hyperlink>
      <w:r>
        <w:t xml:space="preserve"> </w:t>
      </w:r>
      <w:r>
        <w:t xml:space="preserve">dilakukan untuk mengakomodir adanya perbedaan antara perusahaan yang menggunakan HGBT dengan perusahaan yang tidak menggunakan HGBT. Kita asumsikan bahwa HGBT memiliki dampak positif terhadap pendapatan yang dihasilkan oleh suatu perusahaan. Efek ini akan muncul secara dikotomis. Dengan kata lain:</w:t>
      </w:r>
    </w:p>
    <w:p>
      <w:pPr>
        <w:pStyle w:val="BodyText"/>
      </w:pPr>
      <w:bookmarkStart w:id="27" w:name="eq-2"/>
      <m:oMathPara>
        <m:oMathParaPr>
          <m:jc m:val="center"/>
        </m:oMathParaPr>
        <m:oMath>
          <m:sSub>
            <m:e>
              <m:r>
                <m:t>V</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sSubSup>
                      <m:e>
                        <m:r>
                          <m:t>A</m:t>
                        </m:r>
                      </m:e>
                      <m:sub>
                        <m:r>
                          <m:t>i</m:t>
                        </m:r>
                      </m:sub>
                      <m:sup>
                        <m:r>
                          <m:t>1</m:t>
                        </m:r>
                      </m:sup>
                    </m:sSubSup>
                    <m:sSubSup>
                      <m:e>
                        <m:r>
                          <m:t>K</m:t>
                        </m:r>
                      </m:e>
                      <m:sub>
                        <m:r>
                          <m:t>i</m:t>
                        </m:r>
                      </m:sub>
                      <m:sup>
                        <m:sSub>
                          <m:e>
                            <m:r>
                              <m:t>β</m:t>
                            </m:r>
                          </m:e>
                          <m:sub>
                            <m:r>
                              <m:t>k</m:t>
                            </m:r>
                          </m:sub>
                        </m:sSub>
                      </m:sup>
                    </m:sSubSup>
                    <m:sSubSup>
                      <m:e>
                        <m:r>
                          <m:t>L</m:t>
                        </m:r>
                      </m:e>
                      <m:sub>
                        <m:r>
                          <m:t>i</m:t>
                        </m:r>
                      </m:sub>
                      <m:sup>
                        <m:sSub>
                          <m:e>
                            <m:r>
                              <m:t>β</m:t>
                            </m:r>
                          </m:e>
                          <m:sub>
                            <m:r>
                              <m:t>L</m:t>
                            </m:r>
                          </m:sub>
                        </m:sSub>
                      </m:sup>
                    </m:sSubSup>
                    <m:r>
                      <m:rPr>
                        <m:sty m:val="p"/>
                      </m:rPr>
                      <m:t>,</m:t>
                    </m:r>
                  </m:e>
                  <m:e>
                    <m:r>
                      <m:t>i</m:t>
                    </m:r>
                    <m:r>
                      <m:rPr>
                        <m:sty m:val="p"/>
                      </m:rPr>
                      <m:t>∈</m:t>
                    </m:r>
                    <m:r>
                      <m:rPr>
                        <m:sty m:val="p"/>
                      </m:rPr>
                      <m:t>{</m:t>
                    </m:r>
                    <m:r>
                      <m:rPr>
                        <m:nor/>
                        <m:sty m:val="p"/>
                      </m:rPr>
                      <m:t>penerima HGBT</m:t>
                    </m:r>
                    <m:r>
                      <m:rPr>
                        <m:sty m:val="p"/>
                      </m:rPr>
                      <m:t>}</m:t>
                    </m:r>
                  </m:e>
                </m:mr>
                <m:mr>
                  <m:e>
                    <m:sSubSup>
                      <m:e>
                        <m:r>
                          <m:t>A</m:t>
                        </m:r>
                      </m:e>
                      <m:sub>
                        <m:r>
                          <m:t>i</m:t>
                        </m:r>
                      </m:sub>
                      <m:sup>
                        <m:r>
                          <m:t>0</m:t>
                        </m:r>
                      </m:sup>
                    </m:sSubSup>
                    <m:sSubSup>
                      <m:e>
                        <m:r>
                          <m:t>K</m:t>
                        </m:r>
                      </m:e>
                      <m:sub>
                        <m:r>
                          <m:t>i</m:t>
                        </m:r>
                      </m:sub>
                      <m:sup>
                        <m:sSub>
                          <m:e>
                            <m:r>
                              <m:t>β</m:t>
                            </m:r>
                          </m:e>
                          <m:sub>
                            <m:r>
                              <m:t>k</m:t>
                            </m:r>
                          </m:sub>
                        </m:sSub>
                      </m:sup>
                    </m:sSubSup>
                    <m:sSubSup>
                      <m:e>
                        <m:r>
                          <m:t>L</m:t>
                        </m:r>
                      </m:e>
                      <m:sub>
                        <m:r>
                          <m:t>i</m:t>
                        </m:r>
                      </m:sub>
                      <m:sup>
                        <m:sSub>
                          <m:e>
                            <m:r>
                              <m:t>β</m:t>
                            </m:r>
                          </m:e>
                          <m:sub>
                            <m:r>
                              <m:t>L</m:t>
                            </m:r>
                          </m:sub>
                        </m:sSub>
                      </m:sup>
                    </m:sSubSup>
                    <m:r>
                      <m:rPr>
                        <m:sty m:val="p"/>
                      </m:rPr>
                      <m:t>,</m:t>
                    </m:r>
                  </m:e>
                  <m:e>
                    <m:r>
                      <m:t>i</m:t>
                    </m:r>
                    <m:r>
                      <m:rPr>
                        <m:sty m:val="p"/>
                      </m:rPr>
                      <m:t>∈</m:t>
                    </m:r>
                    <m:r>
                      <m:rPr>
                        <m:sty m:val="p"/>
                      </m:rPr>
                      <m:t>{</m:t>
                    </m:r>
                    <m:r>
                      <m:rPr>
                        <m:nor/>
                        <m:sty m:val="p"/>
                      </m:rPr>
                      <m:t>non-penerima HGBT</m:t>
                    </m:r>
                    <m:r>
                      <m:rPr>
                        <m:sty m:val="p"/>
                      </m:rPr>
                      <m:t>}</m:t>
                    </m:r>
                  </m:e>
                </m:mr>
              </m:m>
            </m:e>
          </m:d>
          <m:r>
            <m:t>  </m:t>
          </m:r>
          <m:d>
            <m:dPr>
              <m:begChr m:val="("/>
              <m:sepChr m:val=""/>
              <m:endChr m:val=")"/>
              <m:grow/>
            </m:dPr>
            <m:e>
              <m:r>
                <m:t>2</m:t>
              </m:r>
            </m:e>
          </m:d>
        </m:oMath>
      </m:oMathPara>
      <w:bookmarkEnd w:id="27"/>
    </w:p>
    <w:p>
      <w:pPr>
        <w:pStyle w:val="FirstParagraph"/>
      </w:pPr>
      <w:r>
        <w:t xml:space="preserve">di mana</w:t>
      </w:r>
      <w:r>
        <w:t xml:space="preserve"> </w:t>
      </w:r>
      <m:oMath>
        <m:sSubSup>
          <m:e>
            <m:r>
              <m:t>A</m:t>
            </m:r>
          </m:e>
          <m:sub>
            <m:r>
              <m:t>i</m:t>
            </m:r>
          </m:sub>
          <m:sup>
            <m:r>
              <m:t>1</m:t>
            </m:r>
          </m:sup>
        </m:sSubSup>
      </m:oMath>
      <w:r>
        <w:t xml:space="preserve"> </w:t>
      </w:r>
      <w:r>
        <w:t xml:space="preserve">adalah produktivitas dari industri yang menerima HGBT,</w:t>
      </w:r>
      <w:r>
        <w:t xml:space="preserve"> </w:t>
      </w:r>
      <m:oMath>
        <m:sSubSup>
          <m:e>
            <m:r>
              <m:t>A</m:t>
            </m:r>
          </m:e>
          <m:sub>
            <m:r>
              <m:t>i</m:t>
            </m:r>
          </m:sub>
          <m:sup>
            <m:r>
              <m:t>0</m:t>
            </m:r>
          </m:sup>
        </m:sSubSup>
      </m:oMath>
      <w:r>
        <w:t xml:space="preserve"> </w:t>
      </w:r>
      <w:r>
        <w:t xml:space="preserve">adalah produktivitas dari industri yang tidak menerima HGBT, dan</w:t>
      </w:r>
      <w:r>
        <w:t xml:space="preserve"> </w:t>
      </w:r>
      <m:oMath>
        <m:sSubSup>
          <m:e>
            <m:r>
              <m:t>A</m:t>
            </m:r>
          </m:e>
          <m:sub>
            <m:r>
              <m:t>i</m:t>
            </m:r>
          </m:sub>
          <m:sup>
            <m:r>
              <m:t>1</m:t>
            </m:r>
          </m:sup>
        </m:sSubSup>
        <m:r>
          <m:rPr>
            <m:sty m:val="p"/>
          </m:rPr>
          <m:t>&gt;</m:t>
        </m:r>
        <m:sSubSup>
          <m:e>
            <m:r>
              <m:t>A</m:t>
            </m:r>
          </m:e>
          <m:sub>
            <m:r>
              <m:t>i</m:t>
            </m:r>
          </m:sub>
          <m:sup>
            <m:r>
              <m:t>0</m:t>
            </m:r>
          </m:sup>
        </m:sSubSup>
      </m:oMath>
      <w:r>
        <w:t xml:space="preserve">.</w:t>
      </w:r>
    </w:p>
    <w:p>
      <w:pPr>
        <w:pStyle w:val="BodyText"/>
      </w:pPr>
      <w:r>
        <w:t xml:space="preserve">Dengan melakukan transformasi logaritma, kita akan mendapatkan sebuah persamaan linear sebagai berikut:</w:t>
      </w:r>
    </w:p>
    <w:p>
      <w:pPr>
        <w:pStyle w:val="BodyText"/>
      </w:pPr>
      <w:bookmarkStart w:id="28" w:name="eq-3"/>
      <m:oMathPara>
        <m:oMathParaPr>
          <m:jc m:val="center"/>
        </m:oMathParaPr>
        <m:oMath>
          <m:sSub>
            <m:e>
              <m:r>
                <m:t>v</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sSup>
                      <m:e>
                        <m:r>
                          <m:t>a</m:t>
                        </m:r>
                      </m:e>
                      <m:sup>
                        <m:r>
                          <m:t>1</m:t>
                        </m:r>
                      </m:sup>
                    </m:sSup>
                    <m:r>
                      <m:rPr>
                        <m:sty m:val="p"/>
                      </m:rPr>
                      <m:t>+</m:t>
                    </m:r>
                    <m:sSub>
                      <m:e>
                        <m:r>
                          <m:t>β</m:t>
                        </m:r>
                      </m:e>
                      <m:sub>
                        <m:r>
                          <m:t>K</m:t>
                        </m:r>
                      </m:sub>
                    </m:sSub>
                    <m:sSub>
                      <m:e>
                        <m:r>
                          <m:t>k</m:t>
                        </m:r>
                      </m:e>
                      <m:sub>
                        <m:r>
                          <m:t>i</m:t>
                        </m:r>
                      </m:sub>
                    </m:sSub>
                    <m:r>
                      <m:rPr>
                        <m:sty m:val="p"/>
                      </m:rPr>
                      <m:t>+</m:t>
                    </m:r>
                    <m:sSub>
                      <m:e>
                        <m:r>
                          <m:t>β</m:t>
                        </m:r>
                      </m:e>
                      <m:sub>
                        <m:r>
                          <m:t>L</m:t>
                        </m:r>
                      </m:sub>
                    </m:sSub>
                    <m:sSub>
                      <m:e>
                        <m:r>
                          <m:t>l</m:t>
                        </m:r>
                      </m:e>
                      <m:sub>
                        <m:r>
                          <m:t>i</m:t>
                        </m:r>
                      </m:sub>
                    </m:sSub>
                    <m:r>
                      <m:rPr>
                        <m:sty m:val="p"/>
                      </m:rPr>
                      <m:t>,</m:t>
                    </m:r>
                  </m:e>
                  <m:e>
                    <m:r>
                      <m:t>i</m:t>
                    </m:r>
                    <m:r>
                      <m:rPr>
                        <m:sty m:val="p"/>
                      </m:rPr>
                      <m:t>∈</m:t>
                    </m:r>
                    <m:r>
                      <m:rPr>
                        <m:sty m:val="p"/>
                      </m:rPr>
                      <m:t>{</m:t>
                    </m:r>
                    <m:r>
                      <m:rPr>
                        <m:nor/>
                        <m:sty m:val="p"/>
                      </m:rPr>
                      <m:t>penerima HGBT</m:t>
                    </m:r>
                    <m:r>
                      <m:rPr>
                        <m:sty m:val="p"/>
                      </m:rPr>
                      <m:t>}</m:t>
                    </m:r>
                  </m:e>
                </m:mr>
                <m:mr>
                  <m:e>
                    <m:sSup>
                      <m:e>
                        <m:r>
                          <m:t>a</m:t>
                        </m:r>
                      </m:e>
                      <m:sup>
                        <m:r>
                          <m:t>0</m:t>
                        </m:r>
                      </m:sup>
                    </m:sSup>
                    <m:r>
                      <m:rPr>
                        <m:sty m:val="p"/>
                      </m:rPr>
                      <m:t>+</m:t>
                    </m:r>
                    <m:sSub>
                      <m:e>
                        <m:r>
                          <m:t>β</m:t>
                        </m:r>
                      </m:e>
                      <m:sub>
                        <m:r>
                          <m:t>K</m:t>
                        </m:r>
                      </m:sub>
                    </m:sSub>
                    <m:sSub>
                      <m:e>
                        <m:r>
                          <m:t>k</m:t>
                        </m:r>
                      </m:e>
                      <m:sub>
                        <m:r>
                          <m:t>i</m:t>
                        </m:r>
                      </m:sub>
                    </m:sSub>
                    <m:r>
                      <m:rPr>
                        <m:sty m:val="p"/>
                      </m:rPr>
                      <m:t>+</m:t>
                    </m:r>
                    <m:sSub>
                      <m:e>
                        <m:r>
                          <m:t>β</m:t>
                        </m:r>
                      </m:e>
                      <m:sub>
                        <m:r>
                          <m:t>L</m:t>
                        </m:r>
                      </m:sub>
                    </m:sSub>
                    <m:sSub>
                      <m:e>
                        <m:r>
                          <m:t>l</m:t>
                        </m:r>
                      </m:e>
                      <m:sub>
                        <m:r>
                          <m:t>i</m:t>
                        </m:r>
                      </m:sub>
                    </m:sSub>
                    <m:r>
                      <m:rPr>
                        <m:sty m:val="p"/>
                      </m:rPr>
                      <m:t>,</m:t>
                    </m:r>
                  </m:e>
                  <m:e>
                    <m:r>
                      <m:t>i</m:t>
                    </m:r>
                    <m:r>
                      <m:rPr>
                        <m:sty m:val="p"/>
                      </m:rPr>
                      <m:t>∈</m:t>
                    </m:r>
                    <m:r>
                      <m:rPr>
                        <m:sty m:val="p"/>
                      </m:rPr>
                      <m:t>{</m:t>
                    </m:r>
                    <m:r>
                      <m:rPr>
                        <m:nor/>
                        <m:sty m:val="p"/>
                      </m:rPr>
                      <m:t>non-penerima HGBT</m:t>
                    </m:r>
                    <m:r>
                      <m:rPr>
                        <m:sty m:val="p"/>
                      </m:rPr>
                      <m:t>}</m:t>
                    </m:r>
                  </m:e>
                </m:mr>
              </m:m>
            </m:e>
          </m:d>
          <m:r>
            <m:t>  </m:t>
          </m:r>
          <m:d>
            <m:dPr>
              <m:begChr m:val="("/>
              <m:sepChr m:val=""/>
              <m:endChr m:val=")"/>
              <m:grow/>
            </m:dPr>
            <m:e>
              <m:r>
                <m:t>3</m:t>
              </m:r>
            </m:e>
          </m:d>
        </m:oMath>
      </m:oMathPara>
      <w:bookmarkEnd w:id="28"/>
    </w:p>
    <w:p>
      <w:pPr>
        <w:pStyle w:val="FirstParagraph"/>
      </w:pPr>
      <w:r>
        <w:t xml:space="preserve">di mana huruf kecil melambangkan transformasi natural log dari variabel aslinya. Jika diasumsikan bahwa</w:t>
      </w:r>
      <w:r>
        <w:t xml:space="preserve"> </w:t>
      </w:r>
      <m:oMath>
        <m:sSup>
          <m:e>
            <m:r>
              <m:t>a</m:t>
            </m:r>
          </m:e>
          <m:sup>
            <m:r>
              <m:t>1</m:t>
            </m:r>
          </m:sup>
        </m:sSup>
        <m:r>
          <m:rPr>
            <m:sty m:val="p"/>
          </m:rPr>
          <m:t>&gt;</m:t>
        </m:r>
        <m:sSup>
          <m:e>
            <m:r>
              <m:t>a</m:t>
            </m:r>
          </m:e>
          <m:sup>
            <m:r>
              <m:t>0</m:t>
            </m:r>
          </m:sup>
        </m:sSup>
      </m:oMath>
      <w:r>
        <w:t xml:space="preserve">, definisikan</w:t>
      </w:r>
      <w:r>
        <w:t xml:space="preserve"> </w:t>
      </w:r>
      <m:oMath>
        <m:r>
          <m:t>η</m:t>
        </m:r>
        <m:r>
          <m:rPr>
            <m:sty m:val="p"/>
          </m:rPr>
          <m:t>=</m:t>
        </m:r>
        <m:sSup>
          <m:e>
            <m:r>
              <m:t>a</m:t>
            </m:r>
          </m:e>
          <m:sup>
            <m:r>
              <m:t>1</m:t>
            </m:r>
          </m:sup>
        </m:sSup>
        <m:r>
          <m:rPr>
            <m:sty m:val="p"/>
          </m:rPr>
          <m:t>−</m:t>
        </m:r>
        <m:sSup>
          <m:e>
            <m:r>
              <m:t>a</m:t>
            </m:r>
          </m:e>
          <m:sup>
            <m:r>
              <m:t>0</m:t>
            </m:r>
          </m:sup>
        </m:sSup>
      </m:oMath>
      <w:r>
        <w:t xml:space="preserve">, kita akan mendapatkan sebuah linear model:</w:t>
      </w:r>
    </w:p>
    <w:p>
      <w:pPr>
        <w:pStyle w:val="BodyText"/>
      </w:pPr>
      <w:bookmarkStart w:id="29" w:name="eq-4"/>
      <m:oMathPara>
        <m:oMathParaPr>
          <m:jc m:val="center"/>
        </m:oMathParaPr>
        <m:oMath>
          <m:sSub>
            <m:e>
              <m:r>
                <m:t>v</m:t>
              </m:r>
            </m:e>
            <m:sub>
              <m:r>
                <m:t>i</m:t>
              </m:r>
            </m:sub>
          </m:sSub>
          <m:r>
            <m:rPr>
              <m:sty m:val="p"/>
            </m:rPr>
            <m:t>=</m:t>
          </m:r>
          <m:sSubSup>
            <m:e>
              <m:r>
                <m:t>a</m:t>
              </m:r>
            </m:e>
            <m:sub>
              <m:r>
                <m:t>i</m:t>
              </m:r>
            </m:sub>
            <m:sup>
              <m:r>
                <m:t>0</m:t>
              </m:r>
            </m:sup>
          </m:sSubSup>
          <m:r>
            <m:rPr>
              <m:sty m:val="p"/>
            </m:rPr>
            <m:t>+</m:t>
          </m:r>
          <m:sSub>
            <m:e>
              <m:r>
                <m:t>β</m:t>
              </m:r>
            </m:e>
            <m:sub>
              <m:r>
                <m:t>K</m:t>
              </m:r>
            </m:sub>
          </m:sSub>
          <m:sSub>
            <m:e>
              <m:r>
                <m:t>k</m:t>
              </m:r>
            </m:e>
            <m:sub>
              <m:r>
                <m:t>i</m:t>
              </m:r>
            </m:sub>
          </m:sSub>
          <m:r>
            <m:rPr>
              <m:sty m:val="p"/>
            </m:rPr>
            <m:t>+</m:t>
          </m:r>
          <m:sSub>
            <m:e>
              <m:r>
                <m:t>β</m:t>
              </m:r>
            </m:e>
            <m:sub>
              <m:r>
                <m:t>L</m:t>
              </m:r>
            </m:sub>
          </m:sSub>
          <m:sSub>
            <m:e>
              <m:r>
                <m:t>l</m:t>
              </m:r>
            </m:e>
            <m:sub>
              <m:r>
                <m:t>i</m:t>
              </m:r>
            </m:sub>
          </m:sSub>
          <m:r>
            <m:rPr>
              <m:sty m:val="p"/>
            </m:rPr>
            <m:t>+</m:t>
          </m:r>
          <m:r>
            <m:t>η</m:t>
          </m:r>
          <m:r>
            <m:t>H</m:t>
          </m:r>
          <m:r>
            <m:rPr>
              <m:sty m:val="p"/>
            </m:rPr>
            <m:t>+</m:t>
          </m:r>
          <m:sSub>
            <m:e>
              <m:r>
                <m:t>ε</m:t>
              </m:r>
            </m:e>
            <m:sub>
              <m:r>
                <m:t>i</m:t>
              </m:r>
            </m:sub>
          </m:sSub>
          <m:r>
            <m:t>  </m:t>
          </m:r>
          <m:d>
            <m:dPr>
              <m:begChr m:val="("/>
              <m:sepChr m:val=""/>
              <m:endChr m:val=")"/>
              <m:grow/>
            </m:dPr>
            <m:e>
              <m:r>
                <m:t>4</m:t>
              </m:r>
            </m:e>
          </m:d>
        </m:oMath>
      </m:oMathPara>
      <w:bookmarkEnd w:id="29"/>
    </w:p>
    <w:p>
      <w:pPr>
        <w:pStyle w:val="FirstParagraph"/>
      </w:pPr>
      <w:r>
        <w:t xml:space="preserve">yang dapat diestimasikan dengan metode regresi linear.</w:t>
      </w:r>
      <w:r>
        <w:t xml:space="preserve"> </w:t>
      </w:r>
      <m:oMath>
        <m:r>
          <m:t>η</m:t>
        </m:r>
      </m:oMath>
      <w:r>
        <w:t xml:space="preserve"> </w:t>
      </w:r>
      <w:r>
        <w:t xml:space="preserve">adalah dampak HGBT, sementara</w:t>
      </w:r>
      <w:r>
        <w:t xml:space="preserve"> </w:t>
      </w:r>
      <m:oMath>
        <m:r>
          <m:t>H</m:t>
        </m:r>
      </m:oMath>
      <w:r>
        <w:t xml:space="preserve"> </w:t>
      </w:r>
      <w:r>
        <w:t xml:space="preserve">adalah variabel dummy di mana</w:t>
      </w:r>
      <w:r>
        <w:t xml:space="preserve"> </w:t>
      </w:r>
      <m:oMath>
        <m:r>
          <m:t>H</m:t>
        </m:r>
        <m:r>
          <m:rPr>
            <m:sty m:val="p"/>
          </m:rPr>
          <m:t>=</m:t>
        </m:r>
        <m:r>
          <m:t>1</m:t>
        </m:r>
      </m:oMath>
      <w:r>
        <w:t xml:space="preserve"> </w:t>
      </w:r>
      <w:r>
        <w:t xml:space="preserve">jika</w:t>
      </w:r>
      <w:r>
        <w:t xml:space="preserve"> </w:t>
      </w:r>
      <m:oMath>
        <m:r>
          <m:t>i</m:t>
        </m:r>
      </m:oMath>
      <w:r>
        <w:t xml:space="preserve"> </w:t>
      </w:r>
      <w:r>
        <w:t xml:space="preserve">adalah penerima HGBT.</w:t>
      </w:r>
    </w:p>
    <w:p>
      <w:pPr>
        <w:pStyle w:val="BodyText"/>
      </w:pPr>
      <w:r>
        <w:t xml:space="preserve">Dengan demikian, hipotesis penelitian ini adalah sebagai berikut:</w:t>
      </w:r>
    </w:p>
    <w:p>
      <w:pPr>
        <w:pStyle w:val="BlockText"/>
      </w:pPr>
      <w:r>
        <w:t xml:space="preserve">Keberhasilan program HGBT dalam meningkatkan produktivitas, maka</w:t>
      </w:r>
      <w:r>
        <w:t xml:space="preserve"> </w:t>
      </w:r>
      <m:oMath>
        <m:r>
          <m:t>η</m:t>
        </m:r>
      </m:oMath>
      <w:r>
        <w:t xml:space="preserve"> </w:t>
      </w:r>
      <w:r>
        <w:t xml:space="preserve">akan bernilai positif dan signifikan.</w:t>
      </w:r>
    </w:p>
    <w:p>
      <w:pPr>
        <w:pStyle w:val="FirstParagraph"/>
      </w:pPr>
      <w:r>
        <w:t xml:space="preserve">Akan dilakukan tiga jenis regresi berbeda. Pertama adalah regresi linear dengan variabel dummy</w:t>
      </w:r>
      <w:r>
        <w:t xml:space="preserve"> </w:t>
      </w:r>
      <m:oMath>
        <m:r>
          <m:t>H</m:t>
        </m:r>
      </m:oMath>
      <w:r>
        <w:t xml:space="preserve">, kemudian kita perkenalkan Fixed Effect, dan Two-way Fixed Effect untuk mengatasi variabel yang tidak dapat diobservasi yang melekat ke individu sepanjang tahun</w:t>
      </w:r>
      <w:r>
        <w:t xml:space="preserve"> </w:t>
      </w:r>
      <w:r>
        <w:t xml:space="preserve">(Huntington-Klein, t.t.; Wooldridge, 2008)</w:t>
      </w:r>
      <w:r>
        <w:t xml:space="preserve">.</w:t>
      </w:r>
    </w:p>
    <w:bookmarkEnd w:id="30"/>
    <w:bookmarkStart w:id="38" w:name="sumber-data"/>
    <w:p>
      <w:pPr>
        <w:pStyle w:val="Heading3"/>
      </w:pPr>
      <w:r>
        <w:t xml:space="preserve">3.2 Sumber data</w:t>
      </w:r>
    </w:p>
    <w:p>
      <w:pPr>
        <w:pStyle w:val="FirstParagraph"/>
      </w:pPr>
      <w:r>
        <w:t xml:space="preserve">Dibutuhkan data yang tepat untuk mendukung hipotesis penelitian di atas. Ada tiga peraturan acuan di penelitian ini. Pertama adalah Peraturan Menteri Energi dan Sumber Daya Mineral Republik Indonesia Nomor 40 Tahun 2016 Tentang Harga Gas Bumi untuk Industri Tertentu. Kedua adalah Peraturan Presiden Republik Indonesia Nomor 121 Tahun 2020 tentang Perubahan atas Peraturan Presiden Nomor 40 Tahun 2016 tentang Penetapan Harga Gas Bumi. Ketiga adalah Keputusan Menteri Energi dan Sumber Daya Mineral Republik Indonesia Nomor 91.K/MG.01/MEM.M/2023 tentang Penggunaa Gas Bumi Tertentu dan Harga Gas Bumi Tertentu di Bidang Industri.</w:t>
      </w:r>
    </w:p>
    <w:p>
      <w:pPr>
        <w:pStyle w:val="BodyText"/>
      </w:pPr>
      <w:r>
        <w:t xml:space="preserve">Meskipun tingkat peraturan dari ketiga peraturan ini berbeda, ketiganya memiliki persamaan yaitu berupa adanya lampiran yang berisi nama-nama perusahaan yang menerima fasilitas harga gas bumi yang lebih murah. Dari nama-nama tersebut, sebagian besar diantaranya adalah perusahaan terbuka atau Badan Usaha Milik Negara (BUMN) yang laporan tahunannya dipublikasikan secara umum.</w:t>
      </w:r>
    </w:p>
    <w:p>
      <w:pPr>
        <w:pStyle w:val="BodyText"/>
      </w:pPr>
      <w:r>
        <w:t xml:space="preserve">Dari laporan-laporan tahunan tersebut, diambil informasi yang dibutuhkan untuk melakukan estimasi regresi linear. Beberapa informasi yang diambil adalah total pendapatan sebagai</w:t>
      </w:r>
      <w:r>
        <w:t xml:space="preserve"> </w:t>
      </w:r>
      <w:r>
        <w:rPr>
          <w:i/>
          <w:iCs/>
        </w:rPr>
        <w:t xml:space="preserve">proxy</w:t>
      </w:r>
      <w:r>
        <w:t xml:space="preserve"> </w:t>
      </w:r>
      <m:oMath>
        <m:r>
          <m:t>Q</m:t>
        </m:r>
      </m:oMath>
      <w:r>
        <w:t xml:space="preserve">, biaya tenaga kerja sebagai</w:t>
      </w:r>
      <w:r>
        <w:t xml:space="preserve"> </w:t>
      </w:r>
      <w:r>
        <w:rPr>
          <w:i/>
          <w:iCs/>
        </w:rPr>
        <w:t xml:space="preserve">proxy</w:t>
      </w:r>
      <w:r>
        <w:t xml:space="preserve"> </w:t>
      </w:r>
      <m:oMath>
        <m:r>
          <m:t>L</m:t>
        </m:r>
      </m:oMath>
      <w:r>
        <w:t xml:space="preserve">, biaya bunga dan penyusutan sebagai</w:t>
      </w:r>
      <w:r>
        <w:t xml:space="preserve"> </w:t>
      </w:r>
      <w:r>
        <w:rPr>
          <w:i/>
          <w:iCs/>
        </w:rPr>
        <w:t xml:space="preserve">proxy</w:t>
      </w:r>
      <w:r>
        <w:t xml:space="preserve"> </w:t>
      </w:r>
      <m:oMath>
        <m:r>
          <m:t>K</m:t>
        </m:r>
      </m:oMath>
      <w:r>
        <w:t xml:space="preserve"> </w:t>
      </w:r>
      <w:r>
        <w:t xml:space="preserve">dan boaya material dan energi sebagai</w:t>
      </w:r>
      <w:r>
        <w:t xml:space="preserve"> </w:t>
      </w:r>
      <w:r>
        <w:rPr>
          <w:i/>
          <w:iCs/>
        </w:rPr>
        <w:t xml:space="preserve">proxy</w:t>
      </w:r>
      <w:r>
        <w:t xml:space="preserve"> </w:t>
      </w:r>
      <m:oMath>
        <m:r>
          <m:t>M</m:t>
        </m:r>
      </m:oMath>
      <w:r>
        <w:t xml:space="preserve">. Selain perusahaan yang ada di peraturan tersebut, terdapat juga perusahaan di industri sejenis yang tidak ada di lampiran peraturan tentang penerima HGBT, yang berarti perusahaan-perusahaan ini tidak menerima HGBT.</w:t>
      </w:r>
    </w:p>
    <w:p>
      <w:pPr>
        <w:pStyle w:val="SourceCode"/>
      </w:pPr>
      <w:r>
        <w:rPr>
          <w:rStyle w:val="VerbatimChar"/>
        </w:rPr>
        <w:t xml:space="preserve">Joining with `by = join_by(Tahun)`</w:t>
      </w:r>
    </w:p>
    <w:tbl>
      <w:tblPr>
        <w:tblStyle w:val="Table"/>
        <w:tblW w:type="pct" w:w="5000"/>
        <w:tblLayout w:type="fixed"/>
        <w:tblLook w:firstRow="0" w:lastRow="0" w:firstColumn="0" w:lastColumn="0" w:noHBand="0" w:noVBand="0" w:val="0000"/>
      </w:tblPr>
      <w:tblGrid>
        <w:gridCol w:w="7920"/>
      </w:tblGrid>
      <w:tr>
        <w:tc>
          <w:tcPr/>
          <w:bookmarkStart w:id="31" w:name="tbl-1"/>
          <w:p>
            <w:pPr>
              <w:jc w:val="center"/>
            </w:pPr>
            <w:pPr>
              <w:jc w:val="left"/>
              <w:spacing w:before="200"/>
              <w:pStyle w:val="ImageCaption"/>
            </w:pPr>
            <w:r>
              <w:t xml:space="preserve">Tabel 1: Deskriptif statistik sampel</w:t>
            </w:r>
          </w:p>
          <w:tbl>
            <w:tblPr>
              <w:tblStyle w:val="Table"/>
              <w:tblW w:type="pct" w:w="4719"/>
              <w:tblLayout w:type="fixed"/>
              <w:tblLook w:firstRow="1" w:lastRow="1" w:firstColumn="0" w:lastColumn="0" w:noHBand="0" w:noVBand="0" w:val="0020"/>
            </w:tblPr>
            <w:tblGrid>
              <w:gridCol w:w="355"/>
              <w:gridCol w:w="1156"/>
              <w:gridCol w:w="1156"/>
              <w:gridCol w:w="1156"/>
              <w:gridCol w:w="1245"/>
              <w:gridCol w:w="1156"/>
              <w:gridCol w:w="1245"/>
            </w:tblGrid>
            <w:tr>
              <w:trPr>
                <w:tblHeader w:val="on"/>
              </w:trPr>
              <w:tc>
                <w:tcPr/>
                <w:p>
                  <w:pPr>
                    <w:pStyle w:val="Compact"/>
                  </w:pPr>
                </w:p>
              </w:tc>
              <w:tc>
                <w:tcPr>
                  <w:gridSpan w:val="3"/>
                </w:tcPr>
                <w:p>
                  <w:pPr>
                    <w:pStyle w:val="Compact"/>
                    <w:jc w:val="center"/>
                  </w:pPr>
                  <w:r>
                    <w:t xml:space="preserve">0</w:t>
                  </w:r>
                </w:p>
              </w:tc>
              <w:tc>
                <w:tcPr>
                  <w:gridSpan w:val="3"/>
                </w:tcPr>
                <w:p>
                  <w:pPr>
                    <w:pStyle w:val="Compact"/>
                    <w:jc w:val="center"/>
                  </w:pPr>
                  <w:r>
                    <w:t xml:space="preserve">1</w:t>
                  </w:r>
                </w:p>
              </w:tc>
            </w:tr>
            <w:tr>
              <w:trPr>
                <w:tblHeader w:val="on"/>
              </w:trPr>
              <w:tc>
                <w:tcPr/>
                <w:p>
                  <w:pPr>
                    <w:pStyle w:val="Compact"/>
                  </w:pPr>
                </w:p>
              </w:tc>
              <w:tc>
                <w:tcPr/>
                <w:p>
                  <w:pPr>
                    <w:pStyle w:val="Compact"/>
                    <w:jc w:val="center"/>
                  </w:pPr>
                  <w:r>
                    <w:t xml:space="preserve">Mean</w:t>
                  </w:r>
                </w:p>
              </w:tc>
              <w:tc>
                <w:tcPr/>
                <w:p>
                  <w:pPr>
                    <w:pStyle w:val="Compact"/>
                    <w:jc w:val="center"/>
                  </w:pPr>
                  <w:r>
                    <w:t xml:space="preserve">Median</w:t>
                  </w:r>
                </w:p>
              </w:tc>
              <w:tc>
                <w:tcPr/>
                <w:p>
                  <w:pPr>
                    <w:pStyle w:val="Compact"/>
                    <w:jc w:val="center"/>
                  </w:pPr>
                  <w:r>
                    <w:t xml:space="preserve">SD</w:t>
                  </w:r>
                </w:p>
              </w:tc>
              <w:tc>
                <w:tcPr/>
                <w:p>
                  <w:pPr>
                    <w:pStyle w:val="Compact"/>
                    <w:jc w:val="center"/>
                  </w:pPr>
                  <w:r>
                    <w:t xml:space="preserve">Mean</w:t>
                  </w:r>
                </w:p>
              </w:tc>
              <w:tc>
                <w:tcPr/>
                <w:p>
                  <w:pPr>
                    <w:pStyle w:val="Compact"/>
                    <w:jc w:val="center"/>
                  </w:pPr>
                  <w:r>
                    <w:t xml:space="preserve">Median</w:t>
                  </w:r>
                </w:p>
              </w:tc>
              <w:tc>
                <w:tcPr/>
                <w:p>
                  <w:pPr>
                    <w:pStyle w:val="Compact"/>
                    <w:jc w:val="center"/>
                  </w:pPr>
                  <w:r>
                    <w:t xml:space="preserve">SD</w:t>
                  </w:r>
                </w:p>
              </w:tc>
            </w:tr>
            <w:tr>
              <w:tc>
                <w:tcPr/>
                <w:p>
                  <w:pPr>
                    <w:pStyle w:val="Compact"/>
                    <w:jc w:val="center"/>
                  </w:pPr>
                  <w:r>
                    <w:t xml:space="preserve">L</w:t>
                  </w:r>
                </w:p>
              </w:tc>
              <w:tc>
                <w:tcPr/>
                <w:p>
                  <w:pPr>
                    <w:pStyle w:val="Compact"/>
                    <w:jc w:val="center"/>
                  </w:pPr>
                  <w:r>
                    <w:t xml:space="preserve">167346.04</w:t>
                  </w:r>
                </w:p>
              </w:tc>
              <w:tc>
                <w:tcPr/>
                <w:p>
                  <w:pPr>
                    <w:pStyle w:val="Compact"/>
                    <w:jc w:val="center"/>
                  </w:pPr>
                  <w:r>
                    <w:t xml:space="preserve">74376.50</w:t>
                  </w:r>
                </w:p>
              </w:tc>
              <w:tc>
                <w:tcPr/>
                <w:p>
                  <w:pPr>
                    <w:pStyle w:val="Compact"/>
                    <w:jc w:val="center"/>
                  </w:pPr>
                  <w:r>
                    <w:t xml:space="preserve">225323.95</w:t>
                  </w:r>
                </w:p>
              </w:tc>
              <w:tc>
                <w:tcPr/>
                <w:p>
                  <w:pPr>
                    <w:pStyle w:val="Compact"/>
                    <w:jc w:val="center"/>
                  </w:pPr>
                  <w:r>
                    <w:t xml:space="preserve">593742.05</w:t>
                  </w:r>
                </w:p>
              </w:tc>
              <w:tc>
                <w:tcPr/>
                <w:p>
                  <w:pPr>
                    <w:pStyle w:val="Compact"/>
                    <w:jc w:val="center"/>
                  </w:pPr>
                  <w:r>
                    <w:t xml:space="preserve">438382.42</w:t>
                  </w:r>
                </w:p>
              </w:tc>
              <w:tc>
                <w:tcPr/>
                <w:p>
                  <w:pPr>
                    <w:pStyle w:val="Compact"/>
                    <w:jc w:val="center"/>
                  </w:pPr>
                  <w:r>
                    <w:t xml:space="preserve">602025.91</w:t>
                  </w:r>
                </w:p>
              </w:tc>
            </w:tr>
            <w:tr>
              <w:tc>
                <w:tcPr/>
                <w:p>
                  <w:pPr>
                    <w:pStyle w:val="Compact"/>
                    <w:jc w:val="center"/>
                  </w:pPr>
                  <w:r>
                    <w:t xml:space="preserve">M</w:t>
                  </w:r>
                </w:p>
              </w:tc>
              <w:tc>
                <w:tcPr/>
                <w:p>
                  <w:pPr>
                    <w:pStyle w:val="Compact"/>
                    <w:jc w:val="center"/>
                  </w:pPr>
                  <w:r>
                    <w:t xml:space="preserve">3144005.22</w:t>
                  </w:r>
                </w:p>
              </w:tc>
              <w:tc>
                <w:tcPr/>
                <w:p>
                  <w:pPr>
                    <w:pStyle w:val="Compact"/>
                    <w:jc w:val="center"/>
                  </w:pPr>
                  <w:r>
                    <w:t xml:space="preserve">1518955.22</w:t>
                  </w:r>
                </w:p>
              </w:tc>
              <w:tc>
                <w:tcPr/>
                <w:p>
                  <w:pPr>
                    <w:pStyle w:val="Compact"/>
                    <w:jc w:val="center"/>
                  </w:pPr>
                  <w:r>
                    <w:t xml:space="preserve">4894040.05</w:t>
                  </w:r>
                </w:p>
              </w:tc>
              <w:tc>
                <w:tcPr/>
                <w:p>
                  <w:pPr>
                    <w:pStyle w:val="Compact"/>
                    <w:jc w:val="center"/>
                  </w:pPr>
                  <w:r>
                    <w:t xml:space="preserve">7628974.06</w:t>
                  </w:r>
                </w:p>
              </w:tc>
              <w:tc>
                <w:tcPr/>
                <w:p>
                  <w:pPr>
                    <w:pStyle w:val="Compact"/>
                    <w:jc w:val="center"/>
                  </w:pPr>
                  <w:r>
                    <w:t xml:space="preserve">4713599.00</w:t>
                  </w:r>
                </w:p>
              </w:tc>
              <w:tc>
                <w:tcPr/>
                <w:p>
                  <w:pPr>
                    <w:pStyle w:val="Compact"/>
                    <w:jc w:val="center"/>
                  </w:pPr>
                  <w:r>
                    <w:t xml:space="preserve">7201229.63</w:t>
                  </w:r>
                </w:p>
              </w:tc>
            </w:tr>
            <w:tr>
              <w:tc>
                <w:tcPr/>
                <w:p>
                  <w:pPr>
                    <w:pStyle w:val="Compact"/>
                    <w:jc w:val="center"/>
                  </w:pPr>
                  <w:r>
                    <w:t xml:space="preserve">K</w:t>
                  </w:r>
                </w:p>
              </w:tc>
              <w:tc>
                <w:tcPr/>
                <w:p>
                  <w:pPr>
                    <w:pStyle w:val="Compact"/>
                    <w:jc w:val="center"/>
                  </w:pPr>
                  <w:r>
                    <w:t xml:space="preserve">747066.38</w:t>
                  </w:r>
                </w:p>
              </w:tc>
              <w:tc>
                <w:tcPr/>
                <w:p>
                  <w:pPr>
                    <w:pStyle w:val="Compact"/>
                    <w:jc w:val="center"/>
                  </w:pPr>
                  <w:r>
                    <w:t xml:space="preserve">466074.50</w:t>
                  </w:r>
                </w:p>
              </w:tc>
              <w:tc>
                <w:tcPr/>
                <w:p>
                  <w:pPr>
                    <w:pStyle w:val="Compact"/>
                    <w:jc w:val="center"/>
                  </w:pPr>
                  <w:r>
                    <w:t xml:space="preserve">882774.51</w:t>
                  </w:r>
                </w:p>
              </w:tc>
              <w:tc>
                <w:tcPr/>
                <w:p>
                  <w:pPr>
                    <w:pStyle w:val="Compact"/>
                    <w:jc w:val="center"/>
                  </w:pPr>
                  <w:r>
                    <w:t xml:space="preserve">1039017.94</w:t>
                  </w:r>
                </w:p>
              </w:tc>
              <w:tc>
                <w:tcPr/>
                <w:p>
                  <w:pPr>
                    <w:pStyle w:val="Compact"/>
                    <w:jc w:val="center"/>
                  </w:pPr>
                  <w:r>
                    <w:t xml:space="preserve">968287.00</w:t>
                  </w:r>
                </w:p>
              </w:tc>
              <w:tc>
                <w:tcPr/>
                <w:p>
                  <w:pPr>
                    <w:pStyle w:val="Compact"/>
                    <w:jc w:val="center"/>
                  </w:pPr>
                  <w:r>
                    <w:t xml:space="preserve">700201.01</w:t>
                  </w:r>
                </w:p>
              </w:tc>
            </w:tr>
            <w:tr>
              <w:tc>
                <w:tcPr/>
                <w:p>
                  <w:pPr>
                    <w:pStyle w:val="Compact"/>
                    <w:jc w:val="center"/>
                  </w:pPr>
                  <w:r>
                    <w:t xml:space="preserve">R</w:t>
                  </w:r>
                </w:p>
              </w:tc>
              <w:tc>
                <w:tcPr/>
                <w:p>
                  <w:pPr>
                    <w:pStyle w:val="Compact"/>
                    <w:jc w:val="center"/>
                  </w:pPr>
                  <w:r>
                    <w:t xml:space="preserve">4977557.64</w:t>
                  </w:r>
                </w:p>
              </w:tc>
              <w:tc>
                <w:tcPr/>
                <w:p>
                  <w:pPr>
                    <w:pStyle w:val="Compact"/>
                    <w:jc w:val="center"/>
                  </w:pPr>
                  <w:r>
                    <w:t xml:space="preserve">2730057.32</w:t>
                  </w:r>
                </w:p>
              </w:tc>
              <w:tc>
                <w:tcPr/>
                <w:p>
                  <w:pPr>
                    <w:pStyle w:val="Compact"/>
                    <w:jc w:val="center"/>
                  </w:pPr>
                  <w:r>
                    <w:t xml:space="preserve">7070953.75</w:t>
                  </w:r>
                </w:p>
              </w:tc>
              <w:tc>
                <w:tcPr/>
                <w:p>
                  <w:pPr>
                    <w:pStyle w:val="Compact"/>
                    <w:jc w:val="center"/>
                  </w:pPr>
                  <w:r>
                    <w:t xml:space="preserve">12153851.49</w:t>
                  </w:r>
                </w:p>
              </w:tc>
              <w:tc>
                <w:tcPr/>
                <w:p>
                  <w:pPr>
                    <w:pStyle w:val="Compact"/>
                    <w:jc w:val="center"/>
                  </w:pPr>
                  <w:r>
                    <w:t xml:space="preserve">6941342.00</w:t>
                  </w:r>
                </w:p>
              </w:tc>
              <w:tc>
                <w:tcPr/>
                <w:p>
                  <w:pPr>
                    <w:pStyle w:val="Compact"/>
                    <w:jc w:val="center"/>
                  </w:pPr>
                  <w:r>
                    <w:t xml:space="preserve">10684765.58</w:t>
                  </w:r>
                </w:p>
              </w:tc>
            </w:tr>
            <w:tr>
              <w:tc>
                <w:tcPr/>
                <w:p>
                  <w:pPr>
                    <w:pStyle w:val="Compact"/>
                    <w:jc w:val="center"/>
                  </w:pPr>
                  <w:r>
                    <w:t xml:space="preserve">V</w:t>
                  </w:r>
                </w:p>
              </w:tc>
              <w:tc>
                <w:tcPr/>
                <w:p>
                  <w:pPr>
                    <w:pStyle w:val="Compact"/>
                    <w:jc w:val="center"/>
                  </w:pPr>
                  <w:r>
                    <w:t xml:space="preserve">1833552.41</w:t>
                  </w:r>
                </w:p>
              </w:tc>
              <w:tc>
                <w:tcPr/>
                <w:p>
                  <w:pPr>
                    <w:pStyle w:val="Compact"/>
                    <w:jc w:val="center"/>
                  </w:pPr>
                  <w:r>
                    <w:t xml:space="preserve">1008145.53</w:t>
                  </w:r>
                </w:p>
              </w:tc>
              <w:tc>
                <w:tcPr/>
                <w:p>
                  <w:pPr>
                    <w:pStyle w:val="Compact"/>
                    <w:jc w:val="center"/>
                  </w:pPr>
                  <w:r>
                    <w:t xml:space="preserve">2486562.32</w:t>
                  </w:r>
                </w:p>
              </w:tc>
              <w:tc>
                <w:tcPr/>
                <w:p>
                  <w:pPr>
                    <w:pStyle w:val="Compact"/>
                    <w:jc w:val="center"/>
                  </w:pPr>
                  <w:r>
                    <w:t xml:space="preserve">4524877.44</w:t>
                  </w:r>
                </w:p>
              </w:tc>
              <w:tc>
                <w:tcPr/>
                <w:p>
                  <w:pPr>
                    <w:pStyle w:val="Compact"/>
                    <w:jc w:val="center"/>
                  </w:pPr>
                  <w:r>
                    <w:t xml:space="preserve">2831383.00</w:t>
                  </w:r>
                </w:p>
              </w:tc>
              <w:tc>
                <w:tcPr/>
                <w:p>
                  <w:pPr>
                    <w:pStyle w:val="Compact"/>
                    <w:jc w:val="center"/>
                  </w:pPr>
                  <w:r>
                    <w:t xml:space="preserve">4212931.08</w:t>
                  </w:r>
                </w:p>
              </w:tc>
            </w:tr>
            <w:tr>
              <w:tc>
                <w:tcPr>
                  <w:gridSpan w:val="7"/>
                </w:tcPr>
                <w:p>
                  <w:pPr>
                    <w:pStyle w:val="Compact"/>
                    <w:jc w:val="center"/>
                  </w:pPr>
                  <w:r>
                    <w:t xml:space="preserve">sumber: penulis</w:t>
                  </w:r>
                </w:p>
              </w:tc>
            </w:tr>
          </w:tbl>
          <w:bookmarkEnd w:id="31"/>
          <w:p/>
        </w:tc>
      </w:tr>
    </w:tbl>
    <w:p>
      <w:pPr>
        <w:pStyle w:val="BodyText"/>
      </w:pPr>
      <w:r>
        <w:drawing>
          <wp:inline>
            <wp:extent cx="4620126" cy="3696101"/>
            <wp:effectExtent b="0" l="0" r="0" t="0"/>
            <wp:docPr descr="" title="" id="33" name="Picture"/>
            <a:graphic>
              <a:graphicData uri="http://schemas.openxmlformats.org/drawingml/2006/picture">
                <pic:pic>
                  <pic:nvPicPr>
                    <pic:cNvPr descr="index_files/figure-docx/unnamed-chunk-3-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36" name="Picture"/>
            <a:graphic>
              <a:graphicData uri="http://schemas.openxmlformats.org/drawingml/2006/picture">
                <pic:pic>
                  <pic:nvPicPr>
                    <pic:cNvPr descr="index_files/figure-docx/unnamed-chunk-4-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hyperlink w:anchor="tbl-1">
        <w:r>
          <w:rPr>
            <w:rStyle w:val="Hyperlink"/>
          </w:rPr>
          <w:t xml:space="preserve">Tabel 1</w:t>
        </w:r>
      </w:hyperlink>
      <w:r>
        <w:t xml:space="preserve"> </w:t>
      </w:r>
      <w:r>
        <w:t xml:space="preserve">menunjukkan data dari observasi yang dikumpulkan dari tahun 2015 sampai 2024. Kami membagi dua deskriptif statistiknya antara penerima HGBT (</w:t>
      </w:r>
      <m:oMath>
        <m:r>
          <m:t>H</m:t>
        </m:r>
        <m:r>
          <m:rPr>
            <m:sty m:val="p"/>
          </m:rPr>
          <m:t>=</m:t>
        </m:r>
        <m:r>
          <m:t>1</m:t>
        </m:r>
      </m:oMath>
      <w:r>
        <w:t xml:space="preserve">) dan non-penerima HGBT (</w:t>
      </w:r>
      <m:oMath>
        <m:r>
          <m:t>H</m:t>
        </m:r>
        <m:r>
          <m:rPr>
            <m:sty m:val="p"/>
          </m:rPr>
          <m:t>=</m:t>
        </m:r>
        <m:r>
          <m:t>0</m:t>
        </m:r>
      </m:oMath>
      <w:r>
        <w:t xml:space="preserve">). Dapat dilihat bahwa rata-rata penjualan dan nilai tambah dari penerima HGBT lebih besar daripada non-penerima HGBT.</w:t>
      </w:r>
    </w:p>
    <w:p>
      <w:pPr>
        <w:pStyle w:val="BodyText"/>
      </w:pPr>
      <w:r>
        <w:t xml:space="preserve">Perlu diingat bahwa mungkin saja sebuah perusahaan adalah non-penerima dan berubah menjadi penerima di waktu salah satu peraturan baru di atas. Di samping itu, tidak ada jaminan tidak adanya bias seleksi. Kita tidak dapat menyimpulkan bahwa penerima HGBT menjadi lebih produktif ketika belum menerima HGBT. Bisa saja relasinya sebaliknya: perusahaan yang lebih besar memiliki lebih banyak sumber daya untuk melobi pemerintah menjadi penerima HGBT.</w:t>
      </w:r>
    </w:p>
    <w:bookmarkEnd w:id="38"/>
    <w:bookmarkEnd w:id="39"/>
    <w:bookmarkStart w:id="42" w:name="hasil-analisis"/>
    <w:p>
      <w:pPr>
        <w:pStyle w:val="Heading2"/>
      </w:pPr>
      <w:r>
        <w:t xml:space="preserve">4 Hasil analisis</w:t>
      </w:r>
    </w:p>
    <w:p>
      <w:pPr>
        <w:pStyle w:val="FirstParagraph"/>
      </w:pPr>
      <w:r>
        <w:t xml:space="preserve">Dengan data yang telah ditunjukkan di subbab sebelumnya, analisis regresi sudah dapat dilakukan. Seperti dibahas di bab sebelumnya, regresi dilakukan tiga kali. Regresi pertama adalah regresi multivariat sederhana, kedua diperkenalkan fixed effect dan yang ketiga dilakukan fixed dan time effect (two-way fixed effect, TWFE).</w:t>
      </w:r>
    </w:p>
    <w:tbl>
      <w:tblPr>
        <w:tblStyle w:val="Table"/>
        <w:tblW w:type="pct" w:w="5000"/>
        <w:tblLayout w:type="fixed"/>
        <w:tblLook w:firstRow="0" w:lastRow="0" w:firstColumn="0" w:lastColumn="0" w:noHBand="0" w:noVBand="0" w:val="0000"/>
      </w:tblPr>
      <w:tblGrid>
        <w:gridCol w:w="7920"/>
      </w:tblGrid>
      <w:tr>
        <w:tc>
          <w:tcPr/>
          <w:bookmarkStart w:id="40" w:name="tbl-2"/>
          <w:p>
            <w:pPr>
              <w:jc w:val="center"/>
            </w:pPr>
            <w:pPr>
              <w:jc w:val="left"/>
              <w:spacing w:before="200"/>
              <w:pStyle w:val="ImageCaption"/>
            </w:pPr>
            <w:r>
              <w:t xml:space="preserve">Tabel 2: Hasil regresi nilai tambah</w:t>
            </w:r>
          </w:p>
          <w:tbl>
            <w:tblPr>
              <w:tblStyle w:val="Table"/>
              <w:tblW w:type="pct" w:w="3472"/>
              <w:tblLayout w:type="fixed"/>
              <w:tblLook w:firstRow="1" w:lastRow="1" w:firstColumn="0" w:lastColumn="0" w:noHBand="0" w:noVBand="0" w:val="0020"/>
            </w:tblPr>
            <w:tblGrid>
              <w:gridCol w:w="1870"/>
              <w:gridCol w:w="1210"/>
              <w:gridCol w:w="1210"/>
              <w:gridCol w:w="1210"/>
            </w:tblGrid>
            <w:tr>
              <w:trPr>
                <w:tblHeader w:val="on"/>
              </w:trPr>
              <w:tc>
                <w:tcPr/>
                <w:p>
                  <w:pPr>
                    <w:pStyle w:val="Compact"/>
                  </w:pPr>
                </w:p>
              </w:tc>
              <w:tc>
                <w:tcPr/>
                <w:p>
                  <w:pPr>
                    <w:pStyle w:val="Compact"/>
                    <w:jc w:val="center"/>
                  </w:pPr>
                  <w:r>
                    <w:t xml:space="preserve">OLS</w:t>
                  </w:r>
                </w:p>
              </w:tc>
              <w:tc>
                <w:tcPr/>
                <w:p>
                  <w:pPr>
                    <w:pStyle w:val="Compact"/>
                    <w:jc w:val="center"/>
                  </w:pPr>
                  <w:r>
                    <w:t xml:space="preserve">FE</w:t>
                  </w:r>
                </w:p>
              </w:tc>
              <w:tc>
                <w:tcPr/>
                <w:p>
                  <w:pPr>
                    <w:pStyle w:val="Compact"/>
                    <w:jc w:val="center"/>
                  </w:pPr>
                  <w:r>
                    <w:t xml:space="preserve">TWFE</w:t>
                  </w:r>
                </w:p>
              </w:tc>
            </w:tr>
            <w:tr>
              <w:tc>
                <w:tcPr/>
                <w:p>
                  <w:pPr>
                    <w:pStyle w:val="Compact"/>
                    <w:jc w:val="center"/>
                  </w:pPr>
                  <w:r>
                    <w:t xml:space="preserve">(Intercept)</w:t>
                  </w:r>
                </w:p>
              </w:tc>
              <w:tc>
                <w:tcPr/>
                <w:p>
                  <w:pPr>
                    <w:pStyle w:val="Compact"/>
                    <w:jc w:val="center"/>
                  </w:pPr>
                  <w:r>
                    <w:t xml:space="preserve">1.314***</w:t>
                  </w:r>
                </w:p>
              </w:tc>
              <w:tc>
                <w:tcPr/>
                <w:p>
                  <w:pPr>
                    <w:pStyle w:val="Compact"/>
                  </w:pPr>
                </w:p>
              </w:tc>
              <w:tc>
                <w:tcPr/>
                <w:p>
                  <w:pPr>
                    <w:pStyle w:val="Compact"/>
                  </w:pPr>
                </w:p>
              </w:tc>
            </w:tr>
            <w:tr>
              <w:tc>
                <w:tcPr/>
                <w:p>
                  <w:pPr>
                    <w:pStyle w:val="Compact"/>
                  </w:pPr>
                </w:p>
              </w:tc>
              <w:tc>
                <w:tcPr/>
                <w:p>
                  <w:pPr>
                    <w:pStyle w:val="Compact"/>
                    <w:jc w:val="center"/>
                  </w:pPr>
                  <w:r>
                    <w:t xml:space="preserve">(0.286)</w:t>
                  </w:r>
                </w:p>
              </w:tc>
              <w:tc>
                <w:tcPr/>
                <w:p>
                  <w:pPr>
                    <w:pStyle w:val="Compact"/>
                  </w:pPr>
                </w:p>
              </w:tc>
              <w:tc>
                <w:tcPr/>
                <w:p>
                  <w:pPr>
                    <w:pStyle w:val="Compact"/>
                  </w:pPr>
                </w:p>
              </w:tc>
            </w:tr>
            <w:tr>
              <w:tc>
                <w:tcPr/>
                <w:p>
                  <w:pPr>
                    <w:pStyle w:val="Compact"/>
                    <w:jc w:val="center"/>
                  </w:pPr>
                  <w:r>
                    <w:t xml:space="preserve">lK</w:t>
                  </w:r>
                </w:p>
              </w:tc>
              <w:tc>
                <w:tcPr/>
                <w:p>
                  <w:pPr>
                    <w:pStyle w:val="Compact"/>
                    <w:jc w:val="center"/>
                  </w:pPr>
                  <w:r>
                    <w:t xml:space="preserve">0.642***</w:t>
                  </w:r>
                </w:p>
              </w:tc>
              <w:tc>
                <w:tcPr/>
                <w:p>
                  <w:pPr>
                    <w:pStyle w:val="Compact"/>
                    <w:jc w:val="center"/>
                  </w:pPr>
                  <w:r>
                    <w:t xml:space="preserve">0.459***</w:t>
                  </w:r>
                </w:p>
              </w:tc>
              <w:tc>
                <w:tcPr/>
                <w:p>
                  <w:pPr>
                    <w:pStyle w:val="Compact"/>
                    <w:jc w:val="center"/>
                  </w:pPr>
                  <w:r>
                    <w:t xml:space="preserve">0.381***</w:t>
                  </w:r>
                </w:p>
              </w:tc>
            </w:tr>
            <w:tr>
              <w:tc>
                <w:tcPr/>
                <w:p>
                  <w:pPr>
                    <w:pStyle w:val="Compact"/>
                  </w:pPr>
                </w:p>
              </w:tc>
              <w:tc>
                <w:tcPr/>
                <w:p>
                  <w:pPr>
                    <w:pStyle w:val="Compact"/>
                    <w:jc w:val="center"/>
                  </w:pPr>
                  <w:r>
                    <w:t xml:space="preserve">(0.034)</w:t>
                  </w:r>
                </w:p>
              </w:tc>
              <w:tc>
                <w:tcPr/>
                <w:p>
                  <w:pPr>
                    <w:pStyle w:val="Compact"/>
                    <w:jc w:val="center"/>
                  </w:pPr>
                  <w:r>
                    <w:t xml:space="preserve">(0.081)</w:t>
                  </w:r>
                </w:p>
              </w:tc>
              <w:tc>
                <w:tcPr/>
                <w:p>
                  <w:pPr>
                    <w:pStyle w:val="Compact"/>
                    <w:jc w:val="center"/>
                  </w:pPr>
                  <w:r>
                    <w:t xml:space="preserve">(0.084)</w:t>
                  </w:r>
                </w:p>
              </w:tc>
            </w:tr>
            <w:tr>
              <w:tc>
                <w:tcPr/>
                <w:p>
                  <w:pPr>
                    <w:pStyle w:val="Compact"/>
                    <w:jc w:val="center"/>
                  </w:pPr>
                  <w:r>
                    <w:t xml:space="preserve">lL</w:t>
                  </w:r>
                </w:p>
              </w:tc>
              <w:tc>
                <w:tcPr/>
                <w:p>
                  <w:pPr>
                    <w:pStyle w:val="Compact"/>
                    <w:jc w:val="center"/>
                  </w:pPr>
                  <w:r>
                    <w:t xml:space="preserve">0.365***</w:t>
                  </w:r>
                </w:p>
              </w:tc>
              <w:tc>
                <w:tcPr/>
                <w:p>
                  <w:pPr>
                    <w:pStyle w:val="Compact"/>
                    <w:jc w:val="center"/>
                  </w:pPr>
                  <w:r>
                    <w:t xml:space="preserve">0.347***</w:t>
                  </w:r>
                </w:p>
              </w:tc>
              <w:tc>
                <w:tcPr/>
                <w:p>
                  <w:pPr>
                    <w:pStyle w:val="Compact"/>
                    <w:jc w:val="center"/>
                  </w:pPr>
                  <w:r>
                    <w:t xml:space="preserve">0.341***</w:t>
                  </w:r>
                </w:p>
              </w:tc>
            </w:tr>
            <w:tr>
              <w:tc>
                <w:tcPr/>
                <w:p>
                  <w:pPr>
                    <w:pStyle w:val="Compact"/>
                  </w:pPr>
                </w:p>
              </w:tc>
              <w:tc>
                <w:tcPr/>
                <w:p>
                  <w:pPr>
                    <w:pStyle w:val="Compact"/>
                    <w:jc w:val="center"/>
                  </w:pPr>
                  <w:r>
                    <w:t xml:space="preserve">(0.030)</w:t>
                  </w:r>
                </w:p>
              </w:tc>
              <w:tc>
                <w:tcPr/>
                <w:p>
                  <w:pPr>
                    <w:pStyle w:val="Compact"/>
                    <w:jc w:val="center"/>
                  </w:pPr>
                  <w:r>
                    <w:t xml:space="preserve">(0.074)</w:t>
                  </w:r>
                </w:p>
              </w:tc>
              <w:tc>
                <w:tcPr/>
                <w:p>
                  <w:pPr>
                    <w:pStyle w:val="Compact"/>
                    <w:jc w:val="center"/>
                  </w:pPr>
                  <w:r>
                    <w:t xml:space="preserve">(0.074)</w:t>
                  </w:r>
                </w:p>
              </w:tc>
            </w:tr>
            <w:tr>
              <w:tc>
                <w:tcPr/>
                <w:p>
                  <w:pPr>
                    <w:pStyle w:val="Compact"/>
                    <w:jc w:val="center"/>
                  </w:pPr>
                  <w:r>
                    <w:t xml:space="preserve">HGBT</w:t>
                  </w:r>
                </w:p>
              </w:tc>
              <w:tc>
                <w:tcPr/>
                <w:p>
                  <w:pPr>
                    <w:pStyle w:val="Compact"/>
                    <w:jc w:val="center"/>
                  </w:pPr>
                  <w:r>
                    <w:t xml:space="preserve">0.152*</w:t>
                  </w:r>
                </w:p>
              </w:tc>
              <w:tc>
                <w:tcPr/>
                <w:p>
                  <w:pPr>
                    <w:pStyle w:val="Compact"/>
                    <w:jc w:val="center"/>
                  </w:pPr>
                  <w:r>
                    <w:t xml:space="preserve">0.046</w:t>
                  </w:r>
                </w:p>
              </w:tc>
              <w:tc>
                <w:tcPr/>
                <w:p>
                  <w:pPr>
                    <w:pStyle w:val="Compact"/>
                    <w:jc w:val="center"/>
                  </w:pPr>
                  <w:r>
                    <w:t xml:space="preserve">-0.080</w:t>
                  </w:r>
                </w:p>
              </w:tc>
            </w:tr>
            <w:tr>
              <w:tc>
                <w:tcPr/>
                <w:p>
                  <w:pPr>
                    <w:pStyle w:val="Compact"/>
                  </w:pPr>
                </w:p>
              </w:tc>
              <w:tc>
                <w:tcPr/>
                <w:p>
                  <w:pPr>
                    <w:pStyle w:val="Compact"/>
                    <w:jc w:val="center"/>
                  </w:pPr>
                  <w:r>
                    <w:t xml:space="preserve">(0.065)</w:t>
                  </w:r>
                </w:p>
              </w:tc>
              <w:tc>
                <w:tcPr/>
                <w:p>
                  <w:pPr>
                    <w:pStyle w:val="Compact"/>
                    <w:jc w:val="center"/>
                  </w:pPr>
                  <w:r>
                    <w:t xml:space="preserve">(0.048)</w:t>
                  </w:r>
                </w:p>
              </w:tc>
              <w:tc>
                <w:tcPr/>
                <w:p>
                  <w:pPr>
                    <w:pStyle w:val="Compact"/>
                    <w:jc w:val="center"/>
                  </w:pPr>
                  <w:r>
                    <w:t xml:space="preserve">(0.085)</w:t>
                  </w:r>
                </w:p>
              </w:tc>
            </w:tr>
            <w:tr>
              <w:tc>
                <w:tcPr/>
                <w:p>
                  <w:pPr>
                    <w:pStyle w:val="Compact"/>
                    <w:jc w:val="center"/>
                  </w:pPr>
                  <w:r>
                    <w:t xml:space="preserve">Num.Obs.</w:t>
                  </w:r>
                </w:p>
              </w:tc>
              <w:tc>
                <w:tcPr/>
                <w:p>
                  <w:pPr>
                    <w:pStyle w:val="Compact"/>
                    <w:jc w:val="center"/>
                  </w:pPr>
                  <w:r>
                    <w:t xml:space="preserve">269</w:t>
                  </w:r>
                </w:p>
              </w:tc>
              <w:tc>
                <w:tcPr/>
                <w:p>
                  <w:pPr>
                    <w:pStyle w:val="Compact"/>
                    <w:jc w:val="center"/>
                  </w:pPr>
                  <w:r>
                    <w:t xml:space="preserve">269</w:t>
                  </w:r>
                </w:p>
              </w:tc>
              <w:tc>
                <w:tcPr/>
                <w:p>
                  <w:pPr>
                    <w:pStyle w:val="Compact"/>
                    <w:jc w:val="center"/>
                  </w:pPr>
                  <w:r>
                    <w:t xml:space="preserve">269</w:t>
                  </w:r>
                </w:p>
              </w:tc>
            </w:tr>
            <w:tr>
              <w:tc>
                <w:tcPr/>
                <w:p>
                  <w:pPr>
                    <w:pStyle w:val="Compact"/>
                    <w:jc w:val="center"/>
                  </w:pPr>
                  <w:r>
                    <w:t xml:space="preserve">R2</w:t>
                  </w:r>
                </w:p>
              </w:tc>
              <w:tc>
                <w:tcPr/>
                <w:p>
                  <w:pPr>
                    <w:pStyle w:val="Compact"/>
                    <w:jc w:val="center"/>
                  </w:pPr>
                  <w:r>
                    <w:t xml:space="preserve">0.900</w:t>
                  </w:r>
                </w:p>
              </w:tc>
              <w:tc>
                <w:tcPr/>
                <w:p>
                  <w:pPr>
                    <w:pStyle w:val="Compact"/>
                    <w:jc w:val="center"/>
                  </w:pPr>
                  <w:r>
                    <w:t xml:space="preserve">0.966</w:t>
                  </w:r>
                </w:p>
              </w:tc>
              <w:tc>
                <w:tcPr/>
                <w:p>
                  <w:pPr>
                    <w:pStyle w:val="Compact"/>
                    <w:jc w:val="center"/>
                  </w:pPr>
                  <w:r>
                    <w:t xml:space="preserve">0.969</w:t>
                  </w:r>
                </w:p>
              </w:tc>
            </w:tr>
            <w:tr>
              <w:tc>
                <w:tcPr/>
                <w:p>
                  <w:pPr>
                    <w:pStyle w:val="Compact"/>
                    <w:jc w:val="center"/>
                  </w:pPr>
                  <w:r>
                    <w:t xml:space="preserve">R2 Adj.</w:t>
                  </w:r>
                </w:p>
              </w:tc>
              <w:tc>
                <w:tcPr/>
                <w:p>
                  <w:pPr>
                    <w:pStyle w:val="Compact"/>
                    <w:jc w:val="center"/>
                  </w:pPr>
                  <w:r>
                    <w:t xml:space="preserve">0.898</w:t>
                  </w:r>
                </w:p>
              </w:tc>
              <w:tc>
                <w:tcPr/>
                <w:p>
                  <w:pPr>
                    <w:pStyle w:val="Compact"/>
                    <w:jc w:val="center"/>
                  </w:pPr>
                  <w:r>
                    <w:t xml:space="preserve">0.961</w:t>
                  </w:r>
                </w:p>
              </w:tc>
              <w:tc>
                <w:tcPr/>
                <w:p>
                  <w:pPr>
                    <w:pStyle w:val="Compact"/>
                    <w:jc w:val="center"/>
                  </w:pPr>
                  <w:r>
                    <w:t xml:space="preserve">0.963</w:t>
                  </w:r>
                </w:p>
              </w:tc>
            </w:tr>
            <w:tr>
              <w:tc>
                <w:tcPr/>
                <w:p>
                  <w:pPr>
                    <w:pStyle w:val="Compact"/>
                    <w:jc w:val="center"/>
                  </w:pPr>
                  <w:r>
                    <w:t xml:space="preserve">R2 Within</w:t>
                  </w:r>
                </w:p>
              </w:tc>
              <w:tc>
                <w:tcPr/>
                <w:p>
                  <w:pPr>
                    <w:pStyle w:val="Compact"/>
                  </w:pPr>
                </w:p>
              </w:tc>
              <w:tc>
                <w:tcPr/>
                <w:p>
                  <w:pPr>
                    <w:pStyle w:val="Compact"/>
                    <w:jc w:val="center"/>
                  </w:pPr>
                  <w:r>
                    <w:t xml:space="preserve">0.359</w:t>
                  </w:r>
                </w:p>
              </w:tc>
              <w:tc>
                <w:tcPr/>
                <w:p>
                  <w:pPr>
                    <w:pStyle w:val="Compact"/>
                    <w:jc w:val="center"/>
                  </w:pPr>
                  <w:r>
                    <w:t xml:space="preserve">0.265</w:t>
                  </w:r>
                </w:p>
              </w:tc>
            </w:tr>
            <w:tr>
              <w:tc>
                <w:tcPr/>
                <w:p>
                  <w:pPr>
                    <w:pStyle w:val="Compact"/>
                    <w:jc w:val="center"/>
                  </w:pPr>
                  <w:r>
                    <w:t xml:space="preserve">R2 Within Adj.</w:t>
                  </w:r>
                </w:p>
              </w:tc>
              <w:tc>
                <w:tcPr/>
                <w:p>
                  <w:pPr>
                    <w:pStyle w:val="Compact"/>
                  </w:pPr>
                </w:p>
              </w:tc>
              <w:tc>
                <w:tcPr/>
                <w:p>
                  <w:pPr>
                    <w:pStyle w:val="Compact"/>
                    <w:jc w:val="center"/>
                  </w:pPr>
                  <w:r>
                    <w:t xml:space="preserve">0.351</w:t>
                  </w:r>
                </w:p>
              </w:tc>
              <w:tc>
                <w:tcPr/>
                <w:p>
                  <w:pPr>
                    <w:pStyle w:val="Compact"/>
                    <w:jc w:val="center"/>
                  </w:pPr>
                  <w:r>
                    <w:t xml:space="preserve">0.255</w:t>
                  </w:r>
                </w:p>
              </w:tc>
            </w:tr>
            <w:tr>
              <w:tc>
                <w:tcPr/>
                <w:p>
                  <w:pPr>
                    <w:pStyle w:val="Compact"/>
                    <w:jc w:val="center"/>
                  </w:pPr>
                  <w:r>
                    <w:t xml:space="preserve">AIC</w:t>
                  </w:r>
                </w:p>
              </w:tc>
              <w:tc>
                <w:tcPr/>
                <w:p>
                  <w:pPr>
                    <w:pStyle w:val="Compact"/>
                    <w:jc w:val="center"/>
                  </w:pPr>
                  <w:r>
                    <w:t xml:space="preserve">308.2</w:t>
                  </w:r>
                </w:p>
              </w:tc>
              <w:tc>
                <w:tcPr/>
                <w:p>
                  <w:pPr>
                    <w:pStyle w:val="Compact"/>
                    <w:jc w:val="center"/>
                  </w:pPr>
                  <w:r>
                    <w:t xml:space="preserve">75.5</w:t>
                  </w:r>
                </w:p>
              </w:tc>
              <w:tc>
                <w:tcPr/>
                <w:p>
                  <w:pPr>
                    <w:pStyle w:val="Compact"/>
                    <w:jc w:val="center"/>
                  </w:pPr>
                  <w:r>
                    <w:t xml:space="preserve">73.2</w:t>
                  </w:r>
                </w:p>
              </w:tc>
            </w:tr>
            <w:tr>
              <w:tc>
                <w:tcPr/>
                <w:p>
                  <w:pPr>
                    <w:pStyle w:val="Compact"/>
                    <w:jc w:val="center"/>
                  </w:pPr>
                  <w:r>
                    <w:t xml:space="preserve">BIC</w:t>
                  </w:r>
                </w:p>
              </w:tc>
              <w:tc>
                <w:tcPr/>
                <w:p>
                  <w:pPr>
                    <w:pStyle w:val="Compact"/>
                    <w:jc w:val="center"/>
                  </w:pPr>
                  <w:r>
                    <w:t xml:space="preserve">322.6</w:t>
                  </w:r>
                </w:p>
              </w:tc>
              <w:tc>
                <w:tcPr/>
                <w:p>
                  <w:pPr>
                    <w:pStyle w:val="Compact"/>
                    <w:jc w:val="center"/>
                  </w:pPr>
                  <w:r>
                    <w:t xml:space="preserve">197.7</w:t>
                  </w:r>
                </w:p>
              </w:tc>
              <w:tc>
                <w:tcPr/>
                <w:p>
                  <w:pPr>
                    <w:pStyle w:val="Compact"/>
                    <w:jc w:val="center"/>
                  </w:pPr>
                  <w:r>
                    <w:t xml:space="preserve">227.8</w:t>
                  </w:r>
                </w:p>
              </w:tc>
            </w:tr>
            <w:tr>
              <w:tc>
                <w:tcPr/>
                <w:p>
                  <w:pPr>
                    <w:pStyle w:val="Compact"/>
                    <w:jc w:val="center"/>
                  </w:pPr>
                  <w:r>
                    <w:t xml:space="preserve">RMSE</w:t>
                  </w:r>
                </w:p>
              </w:tc>
              <w:tc>
                <w:tcPr/>
                <w:p>
                  <w:pPr>
                    <w:pStyle w:val="Compact"/>
                    <w:jc w:val="center"/>
                  </w:pPr>
                  <w:r>
                    <w:t xml:space="preserve">0.42</w:t>
                  </w:r>
                </w:p>
              </w:tc>
              <w:tc>
                <w:tcPr/>
                <w:p>
                  <w:pPr>
                    <w:pStyle w:val="Compact"/>
                    <w:jc w:val="center"/>
                  </w:pPr>
                  <w:r>
                    <w:t xml:space="preserve">0.25</w:t>
                  </w:r>
                </w:p>
              </w:tc>
              <w:tc>
                <w:tcPr/>
                <w:p>
                  <w:pPr>
                    <w:pStyle w:val="Compact"/>
                    <w:jc w:val="center"/>
                  </w:pPr>
                  <w:r>
                    <w:t xml:space="preserve">0.24</w:t>
                  </w:r>
                </w:p>
              </w:tc>
            </w:tr>
            <w:tr>
              <w:tc>
                <w:tcPr/>
                <w:p>
                  <w:pPr>
                    <w:pStyle w:val="Compact"/>
                    <w:jc w:val="center"/>
                  </w:pPr>
                  <w:r>
                    <w:t xml:space="preserve">Std.Errors</w:t>
                  </w:r>
                </w:p>
              </w:tc>
              <w:tc>
                <w:tcPr/>
                <w:p>
                  <w:pPr>
                    <w:pStyle w:val="Compact"/>
                    <w:jc w:val="center"/>
                  </w:pPr>
                  <w:r>
                    <w:t xml:space="preserve">IID</w:t>
                  </w:r>
                </w:p>
              </w:tc>
              <w:tc>
                <w:tcPr/>
                <w:p>
                  <w:pPr>
                    <w:pStyle w:val="Compact"/>
                    <w:jc w:val="center"/>
                  </w:pPr>
                  <w:r>
                    <w:t xml:space="preserve">IID</w:t>
                  </w:r>
                </w:p>
              </w:tc>
              <w:tc>
                <w:tcPr/>
                <w:p>
                  <w:pPr>
                    <w:pStyle w:val="Compact"/>
                    <w:jc w:val="center"/>
                  </w:pPr>
                  <w:r>
                    <w:t xml:space="preserve">IID</w:t>
                  </w:r>
                </w:p>
              </w:tc>
            </w:tr>
            <w:tr>
              <w:tc>
                <w:tcPr/>
                <w:p>
                  <w:pPr>
                    <w:pStyle w:val="Compact"/>
                    <w:jc w:val="center"/>
                  </w:pPr>
                  <w:r>
                    <w:t xml:space="preserve">FE: Perusahaan</w:t>
                  </w:r>
                </w:p>
              </w:tc>
              <w:tc>
                <w:tcPr/>
                <w:p>
                  <w:pPr>
                    <w:pStyle w:val="Compact"/>
                  </w:pP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FE: Tahun</w:t>
                  </w:r>
                </w:p>
              </w:tc>
              <w:tc>
                <w:tcPr/>
                <w:p>
                  <w:pPr>
                    <w:pStyle w:val="Compact"/>
                  </w:pPr>
                </w:p>
              </w:tc>
              <w:tc>
                <w:tcPr/>
                <w:p>
                  <w:pPr>
                    <w:pStyle w:val="Compact"/>
                  </w:pPr>
                </w:p>
              </w:tc>
              <w:tc>
                <w:tcPr/>
                <w:p>
                  <w:pPr>
                    <w:pStyle w:val="Compact"/>
                    <w:jc w:val="center"/>
                  </w:pPr>
                  <w:r>
                    <w:t xml:space="preserve">X</w:t>
                  </w:r>
                </w:p>
              </w:tc>
            </w:tr>
            <w:tr>
              <w:tc>
                <w:tcPr>
                  <w:gridSpan w:val="4"/>
                </w:tcPr>
                <w:p>
                  <w:pPr>
                    <w:pStyle w:val="Compact"/>
                    <w:numPr>
                      <w:ilvl w:val="0"/>
                      <w:numId w:val="1001"/>
                    </w:numPr>
                    <w:jc w:val="center"/>
                  </w:pPr>
                  <w:r>
                    <w:t xml:space="preserve">p &lt; 0.1, * p &lt; 0.05, ** p &lt; 0.01, *** p &lt;</w:t>
                  </w:r>
                  <w:r>
                    <w:t xml:space="preserve"> </w:t>
                  </w:r>
                  <w:r>
                    <w:t xml:space="preserve">0.001</w:t>
                  </w:r>
                </w:p>
              </w:tc>
            </w:tr>
            <w:tr>
              <w:tc>
                <w:tcPr>
                  <w:gridSpan w:val="4"/>
                </w:tcPr>
                <w:p>
                  <w:pPr>
                    <w:pStyle w:val="Compact"/>
                    <w:jc w:val="center"/>
                  </w:pPr>
                  <w:r>
                    <w:t xml:space="preserve">sumber: olahan penulis</w:t>
                  </w:r>
                </w:p>
              </w:tc>
            </w:tr>
          </w:tbl>
          <w:bookmarkEnd w:id="40"/>
          <w:p/>
        </w:tc>
      </w:tr>
    </w:tbl>
    <w:p>
      <w:pPr>
        <w:pStyle w:val="BodyText"/>
      </w:pPr>
      <w:hyperlink w:anchor="tbl-2">
        <w:r>
          <w:rPr>
            <w:rStyle w:val="Hyperlink"/>
          </w:rPr>
          <w:t xml:space="preserve">Tabel 2</w:t>
        </w:r>
      </w:hyperlink>
      <w:r>
        <w:t xml:space="preserve"> </w:t>
      </w:r>
      <w:r>
        <w:t xml:space="preserve">menunjukkan hasil regresi. Kolom pertama menunjukkan hasil regresi OLS, kolom ke-2 menunjukkan hasil regresi fixed effect (FE) sementara kolom ke-3 menunjukkan hasil regressi two-way fixed effect (TWFE).</w:t>
      </w:r>
    </w:p>
    <w:tbl>
      <w:tblPr>
        <w:tblStyle w:val="Table"/>
        <w:tblW w:type="pct" w:w="5000"/>
        <w:tblLayout w:type="fixed"/>
        <w:tblLook w:firstRow="0" w:lastRow="0" w:firstColumn="0" w:lastColumn="0" w:noHBand="0" w:noVBand="0" w:val="0000"/>
      </w:tblPr>
      <w:tblGrid>
        <w:gridCol w:w="7920"/>
      </w:tblGrid>
      <w:tr>
        <w:tc>
          <w:tcPr/>
          <w:bookmarkStart w:id="41" w:name="tbl-3"/>
          <w:p>
            <w:pPr>
              <w:jc w:val="center"/>
            </w:pPr>
            <w:pPr>
              <w:jc w:val="left"/>
              <w:spacing w:before="200"/>
              <w:pStyle w:val="ImageCaption"/>
            </w:pPr>
            <w:r>
              <w:t xml:space="preserve">Tabel 3: Hasil regresi nilai tambah dengan deflator</w:t>
            </w:r>
          </w:p>
          <w:tbl>
            <w:tblPr>
              <w:tblStyle w:val="Table"/>
              <w:tblW w:type="pct" w:w="3472"/>
              <w:tblLayout w:type="fixed"/>
              <w:tblLook w:firstRow="1" w:lastRow="1" w:firstColumn="0" w:lastColumn="0" w:noHBand="0" w:noVBand="0" w:val="0020"/>
            </w:tblPr>
            <w:tblGrid>
              <w:gridCol w:w="1870"/>
              <w:gridCol w:w="1210"/>
              <w:gridCol w:w="1210"/>
              <w:gridCol w:w="1210"/>
            </w:tblGrid>
            <w:tr>
              <w:trPr>
                <w:tblHeader w:val="on"/>
              </w:trPr>
              <w:tc>
                <w:tcPr/>
                <w:p>
                  <w:pPr>
                    <w:pStyle w:val="Compact"/>
                  </w:pPr>
                </w:p>
              </w:tc>
              <w:tc>
                <w:tcPr/>
                <w:p>
                  <w:pPr>
                    <w:pStyle w:val="Compact"/>
                    <w:jc w:val="center"/>
                  </w:pPr>
                  <w:r>
                    <w:t xml:space="preserve">OLS</w:t>
                  </w:r>
                </w:p>
              </w:tc>
              <w:tc>
                <w:tcPr/>
                <w:p>
                  <w:pPr>
                    <w:pStyle w:val="Compact"/>
                    <w:jc w:val="center"/>
                  </w:pPr>
                  <w:r>
                    <w:t xml:space="preserve">FE</w:t>
                  </w:r>
                </w:p>
              </w:tc>
              <w:tc>
                <w:tcPr/>
                <w:p>
                  <w:pPr>
                    <w:pStyle w:val="Compact"/>
                    <w:jc w:val="center"/>
                  </w:pPr>
                  <w:r>
                    <w:t xml:space="preserve">TWFE</w:t>
                  </w:r>
                </w:p>
              </w:tc>
            </w:tr>
            <w:tr>
              <w:tc>
                <w:tcPr/>
                <w:p>
                  <w:pPr>
                    <w:pStyle w:val="Compact"/>
                    <w:jc w:val="center"/>
                  </w:pPr>
                  <w:r>
                    <w:t xml:space="preserve">(Intercept)</w:t>
                  </w:r>
                </w:p>
              </w:tc>
              <w:tc>
                <w:tcPr/>
                <w:p>
                  <w:pPr>
                    <w:pStyle w:val="Compact"/>
                    <w:jc w:val="center"/>
                  </w:pPr>
                  <w:r>
                    <w:t xml:space="preserve">1.298***</w:t>
                  </w:r>
                </w:p>
              </w:tc>
              <w:tc>
                <w:tcPr/>
                <w:p>
                  <w:pPr>
                    <w:pStyle w:val="Compact"/>
                  </w:pPr>
                </w:p>
              </w:tc>
              <w:tc>
                <w:tcPr/>
                <w:p>
                  <w:pPr>
                    <w:pStyle w:val="Compact"/>
                  </w:pPr>
                </w:p>
              </w:tc>
            </w:tr>
            <w:tr>
              <w:tc>
                <w:tcPr/>
                <w:p>
                  <w:pPr>
                    <w:pStyle w:val="Compact"/>
                  </w:pPr>
                </w:p>
              </w:tc>
              <w:tc>
                <w:tcPr/>
                <w:p>
                  <w:pPr>
                    <w:pStyle w:val="Compact"/>
                    <w:jc w:val="center"/>
                  </w:pPr>
                  <w:r>
                    <w:t xml:space="preserve">(0.276)</w:t>
                  </w:r>
                </w:p>
              </w:tc>
              <w:tc>
                <w:tcPr/>
                <w:p>
                  <w:pPr>
                    <w:pStyle w:val="Compact"/>
                  </w:pPr>
                </w:p>
              </w:tc>
              <w:tc>
                <w:tcPr/>
                <w:p>
                  <w:pPr>
                    <w:pStyle w:val="Compact"/>
                  </w:pPr>
                </w:p>
              </w:tc>
            </w:tr>
            <w:tr>
              <w:tc>
                <w:tcPr/>
                <w:p>
                  <w:pPr>
                    <w:pStyle w:val="Compact"/>
                    <w:jc w:val="center"/>
                  </w:pPr>
                  <w:r>
                    <w:t xml:space="preserve">lK1</w:t>
                  </w:r>
                </w:p>
              </w:tc>
              <w:tc>
                <w:tcPr/>
                <w:p>
                  <w:pPr>
                    <w:pStyle w:val="Compact"/>
                    <w:jc w:val="center"/>
                  </w:pPr>
                  <w:r>
                    <w:t xml:space="preserve">0.644***</w:t>
                  </w:r>
                </w:p>
              </w:tc>
              <w:tc>
                <w:tcPr/>
                <w:p>
                  <w:pPr>
                    <w:pStyle w:val="Compact"/>
                    <w:jc w:val="center"/>
                  </w:pPr>
                  <w:r>
                    <w:t xml:space="preserve">0.424***</w:t>
                  </w:r>
                </w:p>
              </w:tc>
              <w:tc>
                <w:tcPr/>
                <w:p>
                  <w:pPr>
                    <w:pStyle w:val="Compact"/>
                    <w:jc w:val="center"/>
                  </w:pPr>
                  <w:r>
                    <w:t xml:space="preserve">0.381***</w:t>
                  </w:r>
                </w:p>
              </w:tc>
            </w:tr>
            <w:tr>
              <w:tc>
                <w:tcPr/>
                <w:p>
                  <w:pPr>
                    <w:pStyle w:val="Compact"/>
                  </w:pPr>
                </w:p>
              </w:tc>
              <w:tc>
                <w:tcPr/>
                <w:p>
                  <w:pPr>
                    <w:pStyle w:val="Compact"/>
                    <w:jc w:val="center"/>
                  </w:pPr>
                  <w:r>
                    <w:t xml:space="preserve">(0.034)</w:t>
                  </w:r>
                </w:p>
              </w:tc>
              <w:tc>
                <w:tcPr/>
                <w:p>
                  <w:pPr>
                    <w:pStyle w:val="Compact"/>
                    <w:jc w:val="center"/>
                  </w:pPr>
                  <w:r>
                    <w:t xml:space="preserve">(0.083)</w:t>
                  </w:r>
                </w:p>
              </w:tc>
              <w:tc>
                <w:tcPr/>
                <w:p>
                  <w:pPr>
                    <w:pStyle w:val="Compact"/>
                    <w:jc w:val="center"/>
                  </w:pPr>
                  <w:r>
                    <w:t xml:space="preserve">(0.084)</w:t>
                  </w:r>
                </w:p>
              </w:tc>
            </w:tr>
            <w:tr>
              <w:tc>
                <w:tcPr/>
                <w:p>
                  <w:pPr>
                    <w:pStyle w:val="Compact"/>
                    <w:jc w:val="center"/>
                  </w:pPr>
                  <w:r>
                    <w:t xml:space="preserve">lL1</w:t>
                  </w:r>
                </w:p>
              </w:tc>
              <w:tc>
                <w:tcPr/>
                <w:p>
                  <w:pPr>
                    <w:pStyle w:val="Compact"/>
                    <w:jc w:val="center"/>
                  </w:pPr>
                  <w:r>
                    <w:t xml:space="preserve">0.365***</w:t>
                  </w:r>
                </w:p>
              </w:tc>
              <w:tc>
                <w:tcPr/>
                <w:p>
                  <w:pPr>
                    <w:pStyle w:val="Compact"/>
                    <w:jc w:val="center"/>
                  </w:pPr>
                  <w:r>
                    <w:t xml:space="preserve">0.328***</w:t>
                  </w:r>
                </w:p>
              </w:tc>
              <w:tc>
                <w:tcPr/>
                <w:p>
                  <w:pPr>
                    <w:pStyle w:val="Compact"/>
                    <w:jc w:val="center"/>
                  </w:pPr>
                  <w:r>
                    <w:t xml:space="preserve">0.341***</w:t>
                  </w:r>
                </w:p>
              </w:tc>
            </w:tr>
            <w:tr>
              <w:tc>
                <w:tcPr/>
                <w:p>
                  <w:pPr>
                    <w:pStyle w:val="Compact"/>
                  </w:pPr>
                </w:p>
              </w:tc>
              <w:tc>
                <w:tcPr/>
                <w:p>
                  <w:pPr>
                    <w:pStyle w:val="Compact"/>
                    <w:jc w:val="center"/>
                  </w:pPr>
                  <w:r>
                    <w:t xml:space="preserve">(0.030)</w:t>
                  </w:r>
                </w:p>
              </w:tc>
              <w:tc>
                <w:tcPr/>
                <w:p>
                  <w:pPr>
                    <w:pStyle w:val="Compact"/>
                    <w:jc w:val="center"/>
                  </w:pPr>
                  <w:r>
                    <w:t xml:space="preserve">(0.074)</w:t>
                  </w:r>
                </w:p>
              </w:tc>
              <w:tc>
                <w:tcPr/>
                <w:p>
                  <w:pPr>
                    <w:pStyle w:val="Compact"/>
                    <w:jc w:val="center"/>
                  </w:pPr>
                  <w:r>
                    <w:t xml:space="preserve">(0.074)</w:t>
                  </w:r>
                </w:p>
              </w:tc>
            </w:tr>
            <w:tr>
              <w:tc>
                <w:tcPr/>
                <w:p>
                  <w:pPr>
                    <w:pStyle w:val="Compact"/>
                    <w:jc w:val="center"/>
                  </w:pPr>
                  <w:r>
                    <w:t xml:space="preserve">HGBT</w:t>
                  </w:r>
                </w:p>
              </w:tc>
              <w:tc>
                <w:tcPr/>
                <w:p>
                  <w:pPr>
                    <w:pStyle w:val="Compact"/>
                    <w:jc w:val="center"/>
                  </w:pPr>
                  <w:r>
                    <w:t xml:space="preserve">0.151*</w:t>
                  </w:r>
                </w:p>
              </w:tc>
              <w:tc>
                <w:tcPr/>
                <w:p>
                  <w:pPr>
                    <w:pStyle w:val="Compact"/>
                    <w:jc w:val="center"/>
                  </w:pPr>
                  <w:r>
                    <w:t xml:space="preserve">0.022</w:t>
                  </w:r>
                </w:p>
              </w:tc>
              <w:tc>
                <w:tcPr/>
                <w:p>
                  <w:pPr>
                    <w:pStyle w:val="Compact"/>
                    <w:jc w:val="center"/>
                  </w:pPr>
                  <w:r>
                    <w:t xml:space="preserve">-0.080</w:t>
                  </w:r>
                </w:p>
              </w:tc>
            </w:tr>
            <w:tr>
              <w:tc>
                <w:tcPr/>
                <w:p>
                  <w:pPr>
                    <w:pStyle w:val="Compact"/>
                  </w:pPr>
                </w:p>
              </w:tc>
              <w:tc>
                <w:tcPr/>
                <w:p>
                  <w:pPr>
                    <w:pStyle w:val="Compact"/>
                    <w:jc w:val="center"/>
                  </w:pPr>
                  <w:r>
                    <w:t xml:space="preserve">(0.065)</w:t>
                  </w:r>
                </w:p>
              </w:tc>
              <w:tc>
                <w:tcPr/>
                <w:p>
                  <w:pPr>
                    <w:pStyle w:val="Compact"/>
                    <w:jc w:val="center"/>
                  </w:pPr>
                  <w:r>
                    <w:t xml:space="preserve">(0.047)</w:t>
                  </w:r>
                </w:p>
              </w:tc>
              <w:tc>
                <w:tcPr/>
                <w:p>
                  <w:pPr>
                    <w:pStyle w:val="Compact"/>
                    <w:jc w:val="center"/>
                  </w:pPr>
                  <w:r>
                    <w:t xml:space="preserve">(0.085)</w:t>
                  </w:r>
                </w:p>
              </w:tc>
            </w:tr>
            <w:tr>
              <w:tc>
                <w:tcPr/>
                <w:p>
                  <w:pPr>
                    <w:pStyle w:val="Compact"/>
                    <w:jc w:val="center"/>
                  </w:pPr>
                  <w:r>
                    <w:t xml:space="preserve">Num.Obs.</w:t>
                  </w:r>
                </w:p>
              </w:tc>
              <w:tc>
                <w:tcPr/>
                <w:p>
                  <w:pPr>
                    <w:pStyle w:val="Compact"/>
                    <w:jc w:val="center"/>
                  </w:pPr>
                  <w:r>
                    <w:t xml:space="preserve">269</w:t>
                  </w:r>
                </w:p>
              </w:tc>
              <w:tc>
                <w:tcPr/>
                <w:p>
                  <w:pPr>
                    <w:pStyle w:val="Compact"/>
                    <w:jc w:val="center"/>
                  </w:pPr>
                  <w:r>
                    <w:t xml:space="preserve">269</w:t>
                  </w:r>
                </w:p>
              </w:tc>
              <w:tc>
                <w:tcPr/>
                <w:p>
                  <w:pPr>
                    <w:pStyle w:val="Compact"/>
                    <w:jc w:val="center"/>
                  </w:pPr>
                  <w:r>
                    <w:t xml:space="preserve">269</w:t>
                  </w:r>
                </w:p>
              </w:tc>
            </w:tr>
            <w:tr>
              <w:tc>
                <w:tcPr/>
                <w:p>
                  <w:pPr>
                    <w:pStyle w:val="Compact"/>
                    <w:jc w:val="center"/>
                  </w:pPr>
                  <w:r>
                    <w:t xml:space="preserve">R2</w:t>
                  </w:r>
                </w:p>
              </w:tc>
              <w:tc>
                <w:tcPr/>
                <w:p>
                  <w:pPr>
                    <w:pStyle w:val="Compact"/>
                    <w:jc w:val="center"/>
                  </w:pPr>
                  <w:r>
                    <w:t xml:space="preserve">0.899</w:t>
                  </w:r>
                </w:p>
              </w:tc>
              <w:tc>
                <w:tcPr/>
                <w:p>
                  <w:pPr>
                    <w:pStyle w:val="Compact"/>
                    <w:jc w:val="center"/>
                  </w:pPr>
                  <w:r>
                    <w:t xml:space="preserve">0.967</w:t>
                  </w:r>
                </w:p>
              </w:tc>
              <w:tc>
                <w:tcPr/>
                <w:p>
                  <w:pPr>
                    <w:pStyle w:val="Compact"/>
                    <w:jc w:val="center"/>
                  </w:pPr>
                  <w:r>
                    <w:t xml:space="preserve">0.969</w:t>
                  </w:r>
                </w:p>
              </w:tc>
            </w:tr>
            <w:tr>
              <w:tc>
                <w:tcPr/>
                <w:p>
                  <w:pPr>
                    <w:pStyle w:val="Compact"/>
                    <w:jc w:val="center"/>
                  </w:pPr>
                  <w:r>
                    <w:t xml:space="preserve">R2 Adj.</w:t>
                  </w:r>
                </w:p>
              </w:tc>
              <w:tc>
                <w:tcPr/>
                <w:p>
                  <w:pPr>
                    <w:pStyle w:val="Compact"/>
                    <w:jc w:val="center"/>
                  </w:pPr>
                  <w:r>
                    <w:t xml:space="preserve">0.898</w:t>
                  </w:r>
                </w:p>
              </w:tc>
              <w:tc>
                <w:tcPr/>
                <w:p>
                  <w:pPr>
                    <w:pStyle w:val="Compact"/>
                    <w:jc w:val="center"/>
                  </w:pPr>
                  <w:r>
                    <w:t xml:space="preserve">0.962</w:t>
                  </w:r>
                </w:p>
              </w:tc>
              <w:tc>
                <w:tcPr/>
                <w:p>
                  <w:pPr>
                    <w:pStyle w:val="Compact"/>
                    <w:jc w:val="center"/>
                  </w:pPr>
                  <w:r>
                    <w:t xml:space="preserve">0.963</w:t>
                  </w:r>
                </w:p>
              </w:tc>
            </w:tr>
            <w:tr>
              <w:tc>
                <w:tcPr/>
                <w:p>
                  <w:pPr>
                    <w:pStyle w:val="Compact"/>
                    <w:jc w:val="center"/>
                  </w:pPr>
                  <w:r>
                    <w:t xml:space="preserve">R2 Within</w:t>
                  </w:r>
                </w:p>
              </w:tc>
              <w:tc>
                <w:tcPr/>
                <w:p>
                  <w:pPr>
                    <w:pStyle w:val="Compact"/>
                  </w:pPr>
                </w:p>
              </w:tc>
              <w:tc>
                <w:tcPr/>
                <w:p>
                  <w:pPr>
                    <w:pStyle w:val="Compact"/>
                    <w:jc w:val="center"/>
                  </w:pPr>
                  <w:r>
                    <w:t xml:space="preserve">0.288</w:t>
                  </w:r>
                </w:p>
              </w:tc>
              <w:tc>
                <w:tcPr/>
                <w:p>
                  <w:pPr>
                    <w:pStyle w:val="Compact"/>
                    <w:jc w:val="center"/>
                  </w:pPr>
                  <w:r>
                    <w:t xml:space="preserve">0.265</w:t>
                  </w:r>
                </w:p>
              </w:tc>
            </w:tr>
            <w:tr>
              <w:tc>
                <w:tcPr/>
                <w:p>
                  <w:pPr>
                    <w:pStyle w:val="Compact"/>
                    <w:jc w:val="center"/>
                  </w:pPr>
                  <w:r>
                    <w:t xml:space="preserve">R2 Within Adj.</w:t>
                  </w:r>
                </w:p>
              </w:tc>
              <w:tc>
                <w:tcPr/>
                <w:p>
                  <w:pPr>
                    <w:pStyle w:val="Compact"/>
                  </w:pPr>
                </w:p>
              </w:tc>
              <w:tc>
                <w:tcPr/>
                <w:p>
                  <w:pPr>
                    <w:pStyle w:val="Compact"/>
                    <w:jc w:val="center"/>
                  </w:pPr>
                  <w:r>
                    <w:t xml:space="preserve">0.279</w:t>
                  </w:r>
                </w:p>
              </w:tc>
              <w:tc>
                <w:tcPr/>
                <w:p>
                  <w:pPr>
                    <w:pStyle w:val="Compact"/>
                    <w:jc w:val="center"/>
                  </w:pPr>
                  <w:r>
                    <w:t xml:space="preserve">0.255</w:t>
                  </w:r>
                </w:p>
              </w:tc>
            </w:tr>
            <w:tr>
              <w:tc>
                <w:tcPr/>
                <w:p>
                  <w:pPr>
                    <w:pStyle w:val="Compact"/>
                    <w:jc w:val="center"/>
                  </w:pPr>
                  <w:r>
                    <w:t xml:space="preserve">AIC</w:t>
                  </w:r>
                </w:p>
              </w:tc>
              <w:tc>
                <w:tcPr/>
                <w:p>
                  <w:pPr>
                    <w:pStyle w:val="Compact"/>
                    <w:jc w:val="center"/>
                  </w:pPr>
                  <w:r>
                    <w:t xml:space="preserve">308.1</w:t>
                  </w:r>
                </w:p>
              </w:tc>
              <w:tc>
                <w:tcPr/>
                <w:p>
                  <w:pPr>
                    <w:pStyle w:val="Compact"/>
                    <w:jc w:val="center"/>
                  </w:pPr>
                  <w:r>
                    <w:t xml:space="preserve">71.9</w:t>
                  </w:r>
                </w:p>
              </w:tc>
              <w:tc>
                <w:tcPr/>
                <w:p>
                  <w:pPr>
                    <w:pStyle w:val="Compact"/>
                    <w:jc w:val="center"/>
                  </w:pPr>
                  <w:r>
                    <w:t xml:space="preserve">73.2</w:t>
                  </w:r>
                </w:p>
              </w:tc>
            </w:tr>
            <w:tr>
              <w:tc>
                <w:tcPr/>
                <w:p>
                  <w:pPr>
                    <w:pStyle w:val="Compact"/>
                    <w:jc w:val="center"/>
                  </w:pPr>
                  <w:r>
                    <w:t xml:space="preserve">BIC</w:t>
                  </w:r>
                </w:p>
              </w:tc>
              <w:tc>
                <w:tcPr/>
                <w:p>
                  <w:pPr>
                    <w:pStyle w:val="Compact"/>
                    <w:jc w:val="center"/>
                  </w:pPr>
                  <w:r>
                    <w:t xml:space="preserve">322.5</w:t>
                  </w:r>
                </w:p>
              </w:tc>
              <w:tc>
                <w:tcPr/>
                <w:p>
                  <w:pPr>
                    <w:pStyle w:val="Compact"/>
                    <w:jc w:val="center"/>
                  </w:pPr>
                  <w:r>
                    <w:t xml:space="preserve">194.1</w:t>
                  </w:r>
                </w:p>
              </w:tc>
              <w:tc>
                <w:tcPr/>
                <w:p>
                  <w:pPr>
                    <w:pStyle w:val="Compact"/>
                    <w:jc w:val="center"/>
                  </w:pPr>
                  <w:r>
                    <w:t xml:space="preserve">227.8</w:t>
                  </w:r>
                </w:p>
              </w:tc>
            </w:tr>
            <w:tr>
              <w:tc>
                <w:tcPr/>
                <w:p>
                  <w:pPr>
                    <w:pStyle w:val="Compact"/>
                    <w:jc w:val="center"/>
                  </w:pPr>
                  <w:r>
                    <w:t xml:space="preserve">RMSE</w:t>
                  </w:r>
                </w:p>
              </w:tc>
              <w:tc>
                <w:tcPr/>
                <w:p>
                  <w:pPr>
                    <w:pStyle w:val="Compact"/>
                    <w:jc w:val="center"/>
                  </w:pPr>
                  <w:r>
                    <w:t xml:space="preserve">0.42</w:t>
                  </w:r>
                </w:p>
              </w:tc>
              <w:tc>
                <w:tcPr/>
                <w:p>
                  <w:pPr>
                    <w:pStyle w:val="Compact"/>
                    <w:jc w:val="center"/>
                  </w:pPr>
                  <w:r>
                    <w:t xml:space="preserve">0.24</w:t>
                  </w:r>
                </w:p>
              </w:tc>
              <w:tc>
                <w:tcPr/>
                <w:p>
                  <w:pPr>
                    <w:pStyle w:val="Compact"/>
                    <w:jc w:val="center"/>
                  </w:pPr>
                  <w:r>
                    <w:t xml:space="preserve">0.24</w:t>
                  </w:r>
                </w:p>
              </w:tc>
            </w:tr>
            <w:tr>
              <w:tc>
                <w:tcPr/>
                <w:p>
                  <w:pPr>
                    <w:pStyle w:val="Compact"/>
                    <w:jc w:val="center"/>
                  </w:pPr>
                  <w:r>
                    <w:t xml:space="preserve">Std.Errors</w:t>
                  </w:r>
                </w:p>
              </w:tc>
              <w:tc>
                <w:tcPr/>
                <w:p>
                  <w:pPr>
                    <w:pStyle w:val="Compact"/>
                    <w:jc w:val="center"/>
                  </w:pPr>
                  <w:r>
                    <w:t xml:space="preserve">IID</w:t>
                  </w:r>
                </w:p>
              </w:tc>
              <w:tc>
                <w:tcPr/>
                <w:p>
                  <w:pPr>
                    <w:pStyle w:val="Compact"/>
                    <w:jc w:val="center"/>
                  </w:pPr>
                  <w:r>
                    <w:t xml:space="preserve">IID</w:t>
                  </w:r>
                </w:p>
              </w:tc>
              <w:tc>
                <w:tcPr/>
                <w:p>
                  <w:pPr>
                    <w:pStyle w:val="Compact"/>
                    <w:jc w:val="center"/>
                  </w:pPr>
                  <w:r>
                    <w:t xml:space="preserve">IID</w:t>
                  </w:r>
                </w:p>
              </w:tc>
            </w:tr>
            <w:tr>
              <w:tc>
                <w:tcPr/>
                <w:p>
                  <w:pPr>
                    <w:pStyle w:val="Compact"/>
                    <w:jc w:val="center"/>
                  </w:pPr>
                  <w:r>
                    <w:t xml:space="preserve">FE: Perusahaan</w:t>
                  </w:r>
                </w:p>
              </w:tc>
              <w:tc>
                <w:tcPr/>
                <w:p>
                  <w:pPr>
                    <w:pStyle w:val="Compact"/>
                  </w:pP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FE: Tahun</w:t>
                  </w:r>
                </w:p>
              </w:tc>
              <w:tc>
                <w:tcPr/>
                <w:p>
                  <w:pPr>
                    <w:pStyle w:val="Compact"/>
                  </w:pPr>
                </w:p>
              </w:tc>
              <w:tc>
                <w:tcPr/>
                <w:p>
                  <w:pPr>
                    <w:pStyle w:val="Compact"/>
                  </w:pPr>
                </w:p>
              </w:tc>
              <w:tc>
                <w:tcPr/>
                <w:p>
                  <w:pPr>
                    <w:pStyle w:val="Compact"/>
                    <w:jc w:val="center"/>
                  </w:pPr>
                  <w:r>
                    <w:t xml:space="preserve">X</w:t>
                  </w:r>
                </w:p>
              </w:tc>
            </w:tr>
            <w:tr>
              <w:tc>
                <w:tcPr>
                  <w:gridSpan w:val="4"/>
                </w:tcPr>
                <w:p>
                  <w:pPr>
                    <w:pStyle w:val="Compact"/>
                    <w:numPr>
                      <w:ilvl w:val="0"/>
                      <w:numId w:val="1002"/>
                    </w:numPr>
                    <w:jc w:val="center"/>
                  </w:pPr>
                  <w:r>
                    <w:t xml:space="preserve">p &lt; 0.1, * p &lt; 0.05, ** p &lt; 0.01, *** p &lt;</w:t>
                  </w:r>
                  <w:r>
                    <w:t xml:space="preserve"> </w:t>
                  </w:r>
                  <w:r>
                    <w:t xml:space="preserve">0.001</w:t>
                  </w:r>
                </w:p>
              </w:tc>
            </w:tr>
            <w:tr>
              <w:tc>
                <w:tcPr>
                  <w:gridSpan w:val="4"/>
                </w:tcPr>
                <w:p>
                  <w:pPr>
                    <w:pStyle w:val="Compact"/>
                    <w:jc w:val="center"/>
                  </w:pPr>
                  <w:r>
                    <w:t xml:space="preserve">sumber: olahan penulis</w:t>
                  </w:r>
                </w:p>
              </w:tc>
            </w:tr>
          </w:tbl>
          <w:bookmarkEnd w:id="41"/>
          <w:p/>
        </w:tc>
      </w:tr>
    </w:tbl>
    <w:bookmarkEnd w:id="42"/>
    <w:bookmarkStart w:id="49" w:name="references"/>
    <w:p>
      <w:pPr>
        <w:pStyle w:val="Heading2"/>
      </w:pPr>
      <w:r>
        <w:t xml:space="preserve">References</w:t>
      </w:r>
    </w:p>
    <w:bookmarkStart w:id="48" w:name="refs"/>
    <w:bookmarkStart w:id="44" w:name="ref-corong"/>
    <w:p>
      <w:pPr>
        <w:pStyle w:val="Bibliography"/>
      </w:pPr>
      <w:r>
        <w:t xml:space="preserve">Corong, E. L., Hertel, T. W., McDougall, R., Tsigas, M. E., &amp; Mensbrugghe, D. van der. (2017). The Standard GTAP Model, Version 7.</w:t>
      </w:r>
      <w:r>
        <w:t xml:space="preserve"> </w:t>
      </w:r>
      <w:r>
        <w:rPr>
          <w:i/>
          <w:iCs/>
        </w:rPr>
        <w:t xml:space="preserve">Journal of Global Economic Analysis</w:t>
      </w:r>
      <w:r>
        <w:t xml:space="preserve">,</w:t>
      </w:r>
      <w:r>
        <w:t xml:space="preserve"> </w:t>
      </w:r>
      <w:r>
        <w:rPr>
          <w:i/>
          <w:iCs/>
        </w:rPr>
        <w:t xml:space="preserve">2</w:t>
      </w:r>
      <w:r>
        <w:t xml:space="preserve">(1), 1–119.</w:t>
      </w:r>
      <w:r>
        <w:t xml:space="preserve"> </w:t>
      </w:r>
      <w:hyperlink r:id="rId43">
        <w:r>
          <w:rPr>
            <w:rStyle w:val="Hyperlink"/>
          </w:rPr>
          <w:t xml:space="preserve">https://doi.org/10.21642/JGEA.020101AF</w:t>
        </w:r>
      </w:hyperlink>
    </w:p>
    <w:bookmarkEnd w:id="44"/>
    <w:bookmarkStart w:id="46" w:name="ref-nick"/>
    <w:p>
      <w:pPr>
        <w:pStyle w:val="Bibliography"/>
      </w:pPr>
      <w:r>
        <w:t xml:space="preserve">Huntington-Klein, N. (t.t.).</w:t>
      </w:r>
      <w:r>
        <w:t xml:space="preserve"> </w:t>
      </w:r>
      <w:r>
        <w:rPr>
          <w:i/>
          <w:iCs/>
        </w:rPr>
        <w:t xml:space="preserve">The Effect: An Introduction to Research Design and Causality</w:t>
      </w:r>
      <w:r>
        <w:t xml:space="preserve">. Chapman &amp; Hall.</w:t>
      </w:r>
      <w:r>
        <w:t xml:space="preserve"> </w:t>
      </w:r>
      <w:hyperlink r:id="rId45">
        <w:r>
          <w:rPr>
            <w:rStyle w:val="Hyperlink"/>
          </w:rPr>
          <w:t xml:space="preserve">https://theeffectbook.net/</w:t>
        </w:r>
      </w:hyperlink>
    </w:p>
    <w:bookmarkEnd w:id="46"/>
    <w:bookmarkStart w:id="47" w:name="ref-wool"/>
    <w:p>
      <w:pPr>
        <w:pStyle w:val="Bibliography"/>
      </w:pPr>
      <w:r>
        <w:t xml:space="preserve">Wooldridge, J. M. (2008).</w:t>
      </w:r>
      <w:r>
        <w:t xml:space="preserve"> </w:t>
      </w:r>
      <w:r>
        <w:rPr>
          <w:i/>
          <w:iCs/>
        </w:rPr>
        <w:t xml:space="preserve">Introductory Econometrics: A Modern Approach</w:t>
      </w:r>
      <w:r>
        <w:t xml:space="preserve">. Cengage Learning.</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id"/>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2" Target="media/rId22.png" /><Relationship Type="http://schemas.openxmlformats.org/officeDocument/2006/relationships/hyperlink" Id="rId43" Target="https://doi.org/10.21642/JGEA.020101AF" TargetMode="External" /><Relationship Type="http://schemas.openxmlformats.org/officeDocument/2006/relationships/hyperlink" Id="rId45" Target="https://theeffectbook.net/"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21642/JGEA.020101AF" TargetMode="External" /><Relationship Type="http://schemas.openxmlformats.org/officeDocument/2006/relationships/hyperlink" Id="rId45" Target="https://theeffectboo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Dampak HGBT</dc:title>
  <dc:creator>Krisna Gupta</dc:creator>
  <dc:language>id</dc:language>
  <cp:keywords/>
  <dcterms:created xsi:type="dcterms:W3CDTF">2025-11-17T13:51:36Z</dcterms:created>
  <dcterms:modified xsi:type="dcterms:W3CDTF">2025-11-17T13:51:36Z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 sini saya membahas soal isu-isu kontemporer dalam perdagangan internasional</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sl">
    <vt:lpwstr>apa.csl</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Daftar Isi</vt:lpwstr>
  </property>
</Properties>
</file>