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Dampak HGBT</w:t>
      </w:r>
    </w:p>
    <w:p>
      <w:pPr>
        <w:pStyle w:val="Author"/>
      </w:pPr>
      <w:r>
        <w:t xml:space="preserve">Krisna Gupta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Di sini saya membahas soal isu-isu kontemporer dalam perdagangan internasional</w:t>
      </w:r>
    </w:p>
    <w:bookmarkStart w:id="20" w:name="data"/>
    <w:p>
      <w:pPr>
        <w:pStyle w:val="Heading2"/>
      </w:pPr>
      <w:r>
        <w:t xml:space="preserve">1 Data</w:t>
      </w:r>
    </w:p>
    <w:p>
      <w:pPr>
        <w:pStyle w:val="FirstParagraph"/>
      </w:pPr>
      <w:r>
        <w:t xml:space="preserve">Data dikumpulkan berdasarkan laporan tahunan.</w:t>
      </w:r>
    </w:p>
    <w:bookmarkEnd w:id="20"/>
    <w:bookmarkStart w:id="21" w:name="hasil"/>
    <w:p>
      <w:pPr>
        <w:pStyle w:val="Heading2"/>
      </w:pPr>
      <w:r>
        <w:t xml:space="preserve">2 Hasil</w:t>
      </w:r>
    </w:p>
    <w:p>
      <w:pPr>
        <w:pStyle w:val="SourceCode"/>
      </w:pPr>
      <w:r>
        <w:rPr>
          <w:rStyle w:val="VerbatimChar"/>
        </w:rPr>
        <w:t xml:space="preserve">Joining with `by = join_by(Tahun)`</w:t>
      </w:r>
    </w:p>
    <w:tbl>
      <w:tblPr>
        <w:tblStyle w:val="Table"/>
        <w:tblW w:type="pct" w:w="4306"/>
        <w:tblLayout w:type="fixed"/>
        <w:tblLook w:firstRow="1" w:lastRow="0" w:firstColumn="0" w:lastColumn="0" w:noHBand="0" w:noVBand="0" w:val="0020"/>
      </w:tblPr>
      <w:tblGrid>
        <w:gridCol w:w="880"/>
        <w:gridCol w:w="1430"/>
        <w:gridCol w:w="1430"/>
        <w:gridCol w:w="1540"/>
        <w:gridCol w:w="15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1</w:t>
            </w:r>
          </w:p>
        </w:tc>
      </w:tr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Tahun</w:t>
            </w:r>
          </w:p>
        </w:tc>
        <w:tc>
          <w:tcPr/>
          <w:p>
            <w:pPr>
              <w:pStyle w:val="Compact"/>
            </w:pPr>
            <w:r>
              <w:t xml:space="preserve">2019.29</w:t>
            </w:r>
          </w:p>
        </w:tc>
        <w:tc>
          <w:tcPr/>
          <w:p>
            <w:pPr>
              <w:pStyle w:val="Compact"/>
            </w:pPr>
            <w:r>
              <w:t xml:space="preserve">2.59</w:t>
            </w:r>
          </w:p>
        </w:tc>
        <w:tc>
          <w:tcPr/>
          <w:p>
            <w:pPr>
              <w:pStyle w:val="Compact"/>
            </w:pPr>
            <w:r>
              <w:t xml:space="preserve">2021.70</w:t>
            </w:r>
          </w:p>
        </w:tc>
        <w:tc>
          <w:tcPr/>
          <w:p>
            <w:pPr>
              <w:pStyle w:val="Compact"/>
            </w:pPr>
            <w:r>
              <w:t xml:space="preserve">2.51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167346.04</w:t>
            </w:r>
          </w:p>
        </w:tc>
        <w:tc>
          <w:tcPr/>
          <w:p>
            <w:pPr>
              <w:pStyle w:val="Compact"/>
            </w:pPr>
            <w:r>
              <w:t xml:space="preserve">225323.95</w:t>
            </w:r>
          </w:p>
        </w:tc>
        <w:tc>
          <w:tcPr/>
          <w:p>
            <w:pPr>
              <w:pStyle w:val="Compact"/>
            </w:pPr>
            <w:r>
              <w:t xml:space="preserve">593742.05</w:t>
            </w:r>
          </w:p>
        </w:tc>
        <w:tc>
          <w:tcPr/>
          <w:p>
            <w:pPr>
              <w:pStyle w:val="Compact"/>
            </w:pPr>
            <w:r>
              <w:t xml:space="preserve">602025.91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3144005.22</w:t>
            </w:r>
          </w:p>
        </w:tc>
        <w:tc>
          <w:tcPr/>
          <w:p>
            <w:pPr>
              <w:pStyle w:val="Compact"/>
            </w:pPr>
            <w:r>
              <w:t xml:space="preserve">4894040.05</w:t>
            </w:r>
          </w:p>
        </w:tc>
        <w:tc>
          <w:tcPr/>
          <w:p>
            <w:pPr>
              <w:pStyle w:val="Compact"/>
            </w:pPr>
            <w:r>
              <w:t xml:space="preserve">7628974.06</w:t>
            </w:r>
          </w:p>
        </w:tc>
        <w:tc>
          <w:tcPr/>
          <w:p>
            <w:pPr>
              <w:pStyle w:val="Compact"/>
            </w:pPr>
            <w:r>
              <w:t xml:space="preserve">7201229.63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747066.38</w:t>
            </w:r>
          </w:p>
        </w:tc>
        <w:tc>
          <w:tcPr/>
          <w:p>
            <w:pPr>
              <w:pStyle w:val="Compact"/>
            </w:pPr>
            <w:r>
              <w:t xml:space="preserve">882774.51</w:t>
            </w:r>
          </w:p>
        </w:tc>
        <w:tc>
          <w:tcPr/>
          <w:p>
            <w:pPr>
              <w:pStyle w:val="Compact"/>
            </w:pPr>
            <w:r>
              <w:t xml:space="preserve">1039017.94</w:t>
            </w:r>
          </w:p>
        </w:tc>
        <w:tc>
          <w:tcPr/>
          <w:p>
            <w:pPr>
              <w:pStyle w:val="Compact"/>
            </w:pPr>
            <w:r>
              <w:t xml:space="preserve">700201.01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4977557.64</w:t>
            </w:r>
          </w:p>
        </w:tc>
        <w:tc>
          <w:tcPr/>
          <w:p>
            <w:pPr>
              <w:pStyle w:val="Compact"/>
            </w:pPr>
            <w:r>
              <w:t xml:space="preserve">7070953.75</w:t>
            </w:r>
          </w:p>
        </w:tc>
        <w:tc>
          <w:tcPr/>
          <w:p>
            <w:pPr>
              <w:pStyle w:val="Compact"/>
            </w:pPr>
            <w:r>
              <w:t xml:space="preserve">12153851.49</w:t>
            </w:r>
          </w:p>
        </w:tc>
        <w:tc>
          <w:tcPr/>
          <w:p>
            <w:pPr>
              <w:pStyle w:val="Compact"/>
            </w:pPr>
            <w:r>
              <w:t xml:space="preserve">10684765.58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HGBT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1833552.41</w:t>
            </w:r>
          </w:p>
        </w:tc>
        <w:tc>
          <w:tcPr/>
          <w:p>
            <w:pPr>
              <w:pStyle w:val="Compact"/>
            </w:pPr>
            <w:r>
              <w:t xml:space="preserve">2486562.32</w:t>
            </w:r>
          </w:p>
        </w:tc>
        <w:tc>
          <w:tcPr/>
          <w:p>
            <w:pPr>
              <w:pStyle w:val="Compact"/>
            </w:pPr>
            <w:r>
              <w:t xml:space="preserve">4524877.44</w:t>
            </w:r>
          </w:p>
        </w:tc>
        <w:tc>
          <w:tcPr/>
          <w:p>
            <w:pPr>
              <w:pStyle w:val="Compact"/>
            </w:pPr>
            <w:r>
              <w:t xml:space="preserve">4212931.08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WPI</w:t>
            </w:r>
          </w:p>
        </w:tc>
        <w:tc>
          <w:tcPr/>
          <w:p>
            <w:pPr>
              <w:pStyle w:val="Compact"/>
            </w:pPr>
            <w:r>
              <w:t xml:space="preserve">149.62</w:t>
            </w:r>
          </w:p>
        </w:tc>
        <w:tc>
          <w:tcPr/>
          <w:p>
            <w:pPr>
              <w:pStyle w:val="Compact"/>
            </w:pPr>
            <w:r>
              <w:t xml:space="preserve">10.18</w:t>
            </w:r>
          </w:p>
        </w:tc>
        <w:tc>
          <w:tcPr/>
          <w:p>
            <w:pPr>
              <w:pStyle w:val="Compact"/>
            </w:pPr>
            <w:r>
              <w:t xml:space="preserve">160.33</w:t>
            </w:r>
          </w:p>
        </w:tc>
        <w:tc>
          <w:tcPr/>
          <w:p>
            <w:pPr>
              <w:pStyle w:val="Compact"/>
            </w:pPr>
            <w:r>
              <w:t xml:space="preserve">11.62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</w:t>
            </w:r>
          </w:p>
        </w:tc>
        <w:tc>
          <w:tcPr/>
          <w:p>
            <w:pPr>
              <w:pStyle w:val="Compact"/>
            </w:pPr>
            <w:r>
              <w:t xml:space="preserve">113355.49</w:t>
            </w:r>
          </w:p>
        </w:tc>
        <w:tc>
          <w:tcPr/>
          <w:p>
            <w:pPr>
              <w:pStyle w:val="Compact"/>
            </w:pPr>
            <w:r>
              <w:t xml:space="preserve">156030.43</w:t>
            </w:r>
          </w:p>
        </w:tc>
        <w:tc>
          <w:tcPr/>
          <w:p>
            <w:pPr>
              <w:pStyle w:val="Compact"/>
            </w:pPr>
            <w:r>
              <w:t xml:space="preserve">380045.53</w:t>
            </w:r>
          </w:p>
        </w:tc>
        <w:tc>
          <w:tcPr/>
          <w:p>
            <w:pPr>
              <w:pStyle w:val="Compact"/>
            </w:pPr>
            <w:r>
              <w:t xml:space="preserve">384899.69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K1</w:t>
            </w:r>
          </w:p>
        </w:tc>
        <w:tc>
          <w:tcPr/>
          <w:p>
            <w:pPr>
              <w:pStyle w:val="Compact"/>
            </w:pPr>
            <w:r>
              <w:t xml:space="preserve">502084.39</w:t>
            </w:r>
          </w:p>
        </w:tc>
        <w:tc>
          <w:tcPr/>
          <w:p>
            <w:pPr>
              <w:pStyle w:val="Compact"/>
            </w:pPr>
            <w:r>
              <w:t xml:space="preserve">595595.54</w:t>
            </w:r>
          </w:p>
        </w:tc>
        <w:tc>
          <w:tcPr/>
          <w:p>
            <w:pPr>
              <w:pStyle w:val="Compact"/>
            </w:pPr>
            <w:r>
              <w:t xml:space="preserve">655381.74</w:t>
            </w:r>
          </w:p>
        </w:tc>
        <w:tc>
          <w:tcPr/>
          <w:p>
            <w:pPr>
              <w:pStyle w:val="Compact"/>
            </w:pPr>
            <w:r>
              <w:t xml:space="preserve">436931.95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1242705.30</w:t>
            </w:r>
          </w:p>
        </w:tc>
        <w:tc>
          <w:tcPr/>
          <w:p>
            <w:pPr>
              <w:pStyle w:val="Compact"/>
            </w:pPr>
            <w:r>
              <w:t xml:space="preserve">1728137.89</w:t>
            </w:r>
          </w:p>
        </w:tc>
        <w:tc>
          <w:tcPr/>
          <w:p>
            <w:pPr>
              <w:pStyle w:val="Compact"/>
            </w:pPr>
            <w:r>
              <w:t xml:space="preserve">2880679.73</w:t>
            </w:r>
          </w:p>
        </w:tc>
        <w:tc>
          <w:tcPr/>
          <w:p>
            <w:pPr>
              <w:pStyle w:val="Compact"/>
            </w:pPr>
            <w:r>
              <w:t xml:space="preserve">2674300.53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lL1</w:t>
            </w:r>
          </w:p>
        </w:tc>
        <w:tc>
          <w:tcPr/>
          <w:p>
            <w:pPr>
              <w:pStyle w:val="Compact"/>
            </w:pPr>
            <w:r>
              <w:t xml:space="preserve">10.85</w:t>
            </w:r>
          </w:p>
        </w:tc>
        <w:tc>
          <w:tcPr/>
          <w:p>
            <w:pPr>
              <w:pStyle w:val="Compact"/>
            </w:pPr>
            <w:r>
              <w:t xml:space="preserve">1.33</w:t>
            </w:r>
          </w:p>
        </w:tc>
        <w:tc>
          <w:tcPr/>
          <w:p>
            <w:pPr>
              <w:pStyle w:val="Compact"/>
            </w:pPr>
            <w:r>
              <w:t xml:space="preserve">12.19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lK1</w:t>
            </w:r>
          </w:p>
        </w:tc>
        <w:tc>
          <w:tcPr/>
          <w:p>
            <w:pPr>
              <w:pStyle w:val="Compact"/>
            </w:pPr>
            <w:r>
              <w:t xml:space="preserve">12.49</w:t>
            </w:r>
          </w:p>
        </w:tc>
        <w:tc>
          <w:tcPr/>
          <w:p>
            <w:pPr>
              <w:pStyle w:val="Compact"/>
            </w:pPr>
            <w:r>
              <w:t xml:space="preserve">1.26</w:t>
            </w:r>
          </w:p>
        </w:tc>
        <w:tc>
          <w:tcPr/>
          <w:p>
            <w:pPr>
              <w:pStyle w:val="Compact"/>
            </w:pPr>
            <w:r>
              <w:t xml:space="preserve">13.07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lV1</w:t>
            </w:r>
          </w:p>
        </w:tc>
        <w:tc>
          <w:tcPr/>
          <w:p>
            <w:pPr>
              <w:pStyle w:val="Compact"/>
            </w:pPr>
            <w:r>
              <w:t xml:space="preserve">13.30</w:t>
            </w:r>
          </w:p>
        </w:tc>
        <w:tc>
          <w:tcPr/>
          <w:p>
            <w:pPr>
              <w:pStyle w:val="Compact"/>
            </w:pPr>
            <w:r>
              <w:t xml:space="preserve">1.27</w:t>
            </w:r>
          </w:p>
        </w:tc>
        <w:tc>
          <w:tcPr/>
          <w:p>
            <w:pPr>
              <w:pStyle w:val="Compact"/>
            </w:pPr>
            <w:r>
              <w:t xml:space="preserve">14.32</w:t>
            </w:r>
          </w:p>
        </w:tc>
        <w:tc>
          <w:tcPr/>
          <w:p>
            <w:pPr>
              <w:pStyle w:val="Compact"/>
            </w:pPr>
            <w:r>
              <w:t xml:space="preserve">1.23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</w:t>
            </w:r>
          </w:p>
        </w:tc>
        <w:tc>
          <w:tcPr/>
          <w:p>
            <w:pPr>
              <w:pStyle w:val="Compact"/>
            </w:pPr>
            <w:r>
              <w:t xml:space="preserve">11.25</w:t>
            </w:r>
          </w:p>
        </w:tc>
        <w:tc>
          <w:tcPr/>
          <w:p>
            <w:pPr>
              <w:pStyle w:val="Compact"/>
            </w:pPr>
            <w:r>
              <w:t xml:space="preserve">1.32</w:t>
            </w:r>
          </w:p>
        </w:tc>
        <w:tc>
          <w:tcPr/>
          <w:p>
            <w:pPr>
              <w:pStyle w:val="Compact"/>
            </w:pPr>
            <w:r>
              <w:t xml:space="preserve">12.66</w:t>
            </w:r>
          </w:p>
        </w:tc>
        <w:tc>
          <w:tcPr/>
          <w:p>
            <w:pPr>
              <w:pStyle w:val="Compact"/>
            </w:pPr>
            <w:r>
              <w:t xml:space="preserve">1.35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lK</w:t>
            </w:r>
          </w:p>
        </w:tc>
        <w:tc>
          <w:tcPr/>
          <w:p>
            <w:pPr>
              <w:pStyle w:val="Compact"/>
            </w:pPr>
            <w:r>
              <w:t xml:space="preserve">12.89</w:t>
            </w:r>
          </w:p>
        </w:tc>
        <w:tc>
          <w:tcPr/>
          <w:p>
            <w:pPr>
              <w:pStyle w:val="Compact"/>
            </w:pPr>
            <w:r>
              <w:t xml:space="preserve">1.26</w:t>
            </w:r>
          </w:p>
        </w:tc>
        <w:tc>
          <w:tcPr/>
          <w:p>
            <w:pPr>
              <w:pStyle w:val="Compact"/>
            </w:pPr>
            <w:r>
              <w:t xml:space="preserve">13.54</w:t>
            </w:r>
          </w:p>
        </w:tc>
        <w:tc>
          <w:tcPr/>
          <w:p>
            <w:pPr>
              <w:pStyle w:val="Compact"/>
            </w:pPr>
            <w:r>
              <w:t xml:space="preserve">0.93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</w:t>
            </w:r>
          </w:p>
        </w:tc>
        <w:tc>
          <w:tcPr/>
          <w:p>
            <w:pPr>
              <w:pStyle w:val="Compact"/>
            </w:pPr>
            <w:r>
              <w:t xml:space="preserve">13.70</w:t>
            </w:r>
          </w:p>
        </w:tc>
        <w:tc>
          <w:tcPr/>
          <w:p>
            <w:pPr>
              <w:pStyle w:val="Compact"/>
            </w:pPr>
            <w:r>
              <w:t xml:space="preserve">1.26</w:t>
            </w:r>
          </w:p>
        </w:tc>
        <w:tc>
          <w:tcPr/>
          <w:p>
            <w:pPr>
              <w:pStyle w:val="Compact"/>
            </w:pPr>
            <w:r>
              <w:t xml:space="preserve">14.79</w:t>
            </w:r>
          </w:p>
        </w:tc>
        <w:tc>
          <w:tcPr/>
          <w:p>
            <w:pPr>
              <w:pStyle w:val="Compact"/>
            </w:pPr>
            <w:r>
              <w:t xml:space="preserve">1.20</w:t>
            </w:r>
          </w:p>
        </w:tc>
      </w:tr>
    </w:tbl>
    <w:tbl>
      <w:tblPr>
        <w:tblStyle w:val="Table"/>
        <w:tblW w:type="pct" w:w="3472"/>
        <w:tblLayout w:type="fixed"/>
        <w:tblLook w:firstRow="1" w:lastRow="1" w:firstColumn="0" w:lastColumn="0" w:noHBand="0" w:noVBand="0" w:val="0020"/>
      </w:tblPr>
      <w:tblGrid>
        <w:gridCol w:w="1870"/>
        <w:gridCol w:w="1210"/>
        <w:gridCol w:w="1210"/>
        <w:gridCol w:w="121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OLS</w:t>
            </w:r>
          </w:p>
        </w:tc>
        <w:tc>
          <w:tcPr/>
          <w:p>
            <w:pPr>
              <w:pStyle w:val="Compact"/>
            </w:pPr>
            <w:r>
              <w:t xml:space="preserve">FE</w:t>
            </w:r>
          </w:p>
        </w:tc>
        <w:tc>
          <w:tcPr/>
          <w:p>
            <w:pPr>
              <w:pStyle w:val="Compact"/>
            </w:pPr>
            <w:r>
              <w:t xml:space="preserve">TWFE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1.314***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(0.286)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lK</w:t>
            </w:r>
          </w:p>
        </w:tc>
        <w:tc>
          <w:tcPr/>
          <w:p>
            <w:pPr>
              <w:pStyle w:val="Compact"/>
            </w:pPr>
            <w:r>
              <w:t xml:space="preserve">0.642***</w:t>
            </w:r>
          </w:p>
        </w:tc>
        <w:tc>
          <w:tcPr/>
          <w:p>
            <w:pPr>
              <w:pStyle w:val="Compact"/>
            </w:pPr>
            <w:r>
              <w:t xml:space="preserve">0.459***</w:t>
            </w:r>
          </w:p>
        </w:tc>
        <w:tc>
          <w:tcPr/>
          <w:p>
            <w:pPr>
              <w:pStyle w:val="Compact"/>
            </w:pPr>
            <w:r>
              <w:t xml:space="preserve">0.381***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(0.034)</w:t>
            </w:r>
          </w:p>
        </w:tc>
        <w:tc>
          <w:tcPr/>
          <w:p>
            <w:pPr>
              <w:pStyle w:val="Compact"/>
            </w:pPr>
            <w:r>
              <w:t xml:space="preserve">(0.081)</w:t>
            </w:r>
          </w:p>
        </w:tc>
        <w:tc>
          <w:tcPr/>
          <w:p>
            <w:pPr>
              <w:pStyle w:val="Compact"/>
            </w:pPr>
            <w:r>
              <w:t xml:space="preserve">(0.084)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</w:t>
            </w:r>
          </w:p>
        </w:tc>
        <w:tc>
          <w:tcPr/>
          <w:p>
            <w:pPr>
              <w:pStyle w:val="Compact"/>
            </w:pPr>
            <w:r>
              <w:t xml:space="preserve">0.365***</w:t>
            </w:r>
          </w:p>
        </w:tc>
        <w:tc>
          <w:tcPr/>
          <w:p>
            <w:pPr>
              <w:pStyle w:val="Compact"/>
            </w:pPr>
            <w:r>
              <w:t xml:space="preserve">0.347***</w:t>
            </w:r>
          </w:p>
        </w:tc>
        <w:tc>
          <w:tcPr/>
          <w:p>
            <w:pPr>
              <w:pStyle w:val="Compact"/>
            </w:pPr>
            <w:r>
              <w:t xml:space="preserve">0.341***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(0.030)</w:t>
            </w:r>
          </w:p>
        </w:tc>
        <w:tc>
          <w:tcPr/>
          <w:p>
            <w:pPr>
              <w:pStyle w:val="Compact"/>
            </w:pPr>
            <w:r>
              <w:t xml:space="preserve">(0.074)</w:t>
            </w:r>
          </w:p>
        </w:tc>
        <w:tc>
          <w:tcPr/>
          <w:p>
            <w:pPr>
              <w:pStyle w:val="Compact"/>
            </w:pPr>
            <w:r>
              <w:t xml:space="preserve">(0.074)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HGBT</w:t>
            </w:r>
          </w:p>
        </w:tc>
        <w:tc>
          <w:tcPr/>
          <w:p>
            <w:pPr>
              <w:pStyle w:val="Compact"/>
            </w:pPr>
            <w:r>
              <w:t xml:space="preserve">0.152*</w:t>
            </w:r>
          </w:p>
        </w:tc>
        <w:tc>
          <w:tcPr/>
          <w:p>
            <w:pPr>
              <w:pStyle w:val="Compact"/>
            </w:pPr>
            <w:r>
              <w:t xml:space="preserve">0.046</w:t>
            </w:r>
          </w:p>
        </w:tc>
        <w:tc>
          <w:tcPr/>
          <w:p>
            <w:pPr>
              <w:pStyle w:val="Compact"/>
            </w:pPr>
            <w:r>
              <w:t xml:space="preserve">-0.080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(0.065)</w:t>
            </w:r>
          </w:p>
        </w:tc>
        <w:tc>
          <w:tcPr/>
          <w:p>
            <w:pPr>
              <w:pStyle w:val="Compact"/>
            </w:pPr>
            <w:r>
              <w:t xml:space="preserve">(0.048)</w:t>
            </w:r>
          </w:p>
        </w:tc>
        <w:tc>
          <w:tcPr/>
          <w:p>
            <w:pPr>
              <w:pStyle w:val="Compact"/>
            </w:pPr>
            <w:r>
              <w:t xml:space="preserve">(0.085)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269</w:t>
            </w:r>
          </w:p>
        </w:tc>
        <w:tc>
          <w:tcPr/>
          <w:p>
            <w:pPr>
              <w:pStyle w:val="Compact"/>
            </w:pPr>
            <w:r>
              <w:t xml:space="preserve">269</w:t>
            </w:r>
          </w:p>
        </w:tc>
        <w:tc>
          <w:tcPr/>
          <w:p>
            <w:pPr>
              <w:pStyle w:val="Compact"/>
            </w:pPr>
            <w:r>
              <w:t xml:space="preserve">269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0.900</w:t>
            </w:r>
          </w:p>
        </w:tc>
        <w:tc>
          <w:tcPr/>
          <w:p>
            <w:pPr>
              <w:pStyle w:val="Compact"/>
            </w:pPr>
            <w:r>
              <w:t xml:space="preserve">0.966</w:t>
            </w:r>
          </w:p>
        </w:tc>
        <w:tc>
          <w:tcPr/>
          <w:p>
            <w:pPr>
              <w:pStyle w:val="Compact"/>
            </w:pPr>
            <w:r>
              <w:t xml:space="preserve">0.969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Adj.</w:t>
            </w:r>
          </w:p>
        </w:tc>
        <w:tc>
          <w:tcPr/>
          <w:p>
            <w:pPr>
              <w:pStyle w:val="Compact"/>
            </w:pPr>
            <w:r>
              <w:t xml:space="preserve">0.898</w:t>
            </w:r>
          </w:p>
        </w:tc>
        <w:tc>
          <w:tcPr/>
          <w:p>
            <w:pPr>
              <w:pStyle w:val="Compact"/>
            </w:pPr>
            <w:r>
              <w:t xml:space="preserve">0.961</w:t>
            </w:r>
          </w:p>
        </w:tc>
        <w:tc>
          <w:tcPr/>
          <w:p>
            <w:pPr>
              <w:pStyle w:val="Compact"/>
            </w:pPr>
            <w:r>
              <w:t xml:space="preserve">0.963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Within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0.359</w:t>
            </w:r>
          </w:p>
        </w:tc>
        <w:tc>
          <w:tcPr/>
          <w:p>
            <w:pPr>
              <w:pStyle w:val="Compact"/>
            </w:pPr>
            <w:r>
              <w:t xml:space="preserve">0.265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Within Adj.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0.351</w:t>
            </w:r>
          </w:p>
        </w:tc>
        <w:tc>
          <w:tcPr/>
          <w:p>
            <w:pPr>
              <w:pStyle w:val="Compact"/>
            </w:pPr>
            <w:r>
              <w:t xml:space="preserve">0.255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w:r>
              <w:t xml:space="preserve">308.2</w:t>
            </w:r>
          </w:p>
        </w:tc>
        <w:tc>
          <w:tcPr/>
          <w:p>
            <w:pPr>
              <w:pStyle w:val="Compact"/>
            </w:pPr>
            <w:r>
              <w:t xml:space="preserve">75.5</w:t>
            </w:r>
          </w:p>
        </w:tc>
        <w:tc>
          <w:tcPr/>
          <w:p>
            <w:pPr>
              <w:pStyle w:val="Compact"/>
            </w:pPr>
            <w:r>
              <w:t xml:space="preserve">73.2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w:r>
              <w:t xml:space="preserve">322.6</w:t>
            </w:r>
          </w:p>
        </w:tc>
        <w:tc>
          <w:tcPr/>
          <w:p>
            <w:pPr>
              <w:pStyle w:val="Compact"/>
            </w:pPr>
            <w:r>
              <w:t xml:space="preserve">197.7</w:t>
            </w:r>
          </w:p>
        </w:tc>
        <w:tc>
          <w:tcPr/>
          <w:p>
            <w:pPr>
              <w:pStyle w:val="Compact"/>
            </w:pPr>
            <w:r>
              <w:t xml:space="preserve">227.8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0.42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0.24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Std.Errors</w:t>
            </w:r>
          </w:p>
        </w:tc>
        <w:tc>
          <w:tcPr/>
          <w:p>
            <w:pPr>
              <w:pStyle w:val="Compact"/>
            </w:pPr>
            <w:r>
              <w:t xml:space="preserve">IID</w:t>
            </w:r>
          </w:p>
        </w:tc>
        <w:tc>
          <w:tcPr/>
          <w:p>
            <w:pPr>
              <w:pStyle w:val="Compact"/>
            </w:pPr>
            <w:r>
              <w:t xml:space="preserve">IID</w:t>
            </w:r>
          </w:p>
        </w:tc>
        <w:tc>
          <w:tcPr/>
          <w:p>
            <w:pPr>
              <w:pStyle w:val="Compact"/>
            </w:pPr>
            <w:r>
              <w:t xml:space="preserve">IID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FE: Perusahaan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FE: Tahun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</w:tr>
      <w:tr>
        <w:tc>
          <w:tcPr>
            <w:gridSpan w:val="4"/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 &lt; 0.1, * p &lt; 0.05, ** p &lt; 0.01, *** p &lt;</w:t>
            </w:r>
            <w:r>
              <w:t xml:space="preserve"> </w:t>
            </w:r>
            <w:r>
              <w:t xml:space="preserve">0.001</w:t>
            </w:r>
          </w:p>
        </w:tc>
      </w:tr>
    </w:tbl>
    <w:tbl>
      <w:tblPr>
        <w:tblStyle w:val="Table"/>
        <w:tblW w:type="pct" w:w="3472"/>
        <w:tblLayout w:type="fixed"/>
        <w:tblLook w:firstRow="1" w:lastRow="1" w:firstColumn="0" w:lastColumn="0" w:noHBand="0" w:noVBand="0" w:val="0020"/>
      </w:tblPr>
      <w:tblGrid>
        <w:gridCol w:w="1870"/>
        <w:gridCol w:w="1210"/>
        <w:gridCol w:w="1210"/>
        <w:gridCol w:w="121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OLS</w:t>
            </w:r>
          </w:p>
        </w:tc>
        <w:tc>
          <w:tcPr/>
          <w:p>
            <w:pPr>
              <w:pStyle w:val="Compact"/>
            </w:pPr>
            <w:r>
              <w:t xml:space="preserve">FE</w:t>
            </w:r>
          </w:p>
        </w:tc>
        <w:tc>
          <w:tcPr/>
          <w:p>
            <w:pPr>
              <w:pStyle w:val="Compact"/>
            </w:pPr>
            <w:r>
              <w:t xml:space="preserve">TWFE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1.298***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(0.276)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lK1</w:t>
            </w:r>
          </w:p>
        </w:tc>
        <w:tc>
          <w:tcPr/>
          <w:p>
            <w:pPr>
              <w:pStyle w:val="Compact"/>
            </w:pPr>
            <w:r>
              <w:t xml:space="preserve">0.644***</w:t>
            </w:r>
          </w:p>
        </w:tc>
        <w:tc>
          <w:tcPr/>
          <w:p>
            <w:pPr>
              <w:pStyle w:val="Compact"/>
            </w:pPr>
            <w:r>
              <w:t xml:space="preserve">0.424***</w:t>
            </w:r>
          </w:p>
        </w:tc>
        <w:tc>
          <w:tcPr/>
          <w:p>
            <w:pPr>
              <w:pStyle w:val="Compact"/>
            </w:pPr>
            <w:r>
              <w:t xml:space="preserve">0.381***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(0.034)</w:t>
            </w:r>
          </w:p>
        </w:tc>
        <w:tc>
          <w:tcPr/>
          <w:p>
            <w:pPr>
              <w:pStyle w:val="Compact"/>
            </w:pPr>
            <w:r>
              <w:t xml:space="preserve">(0.083)</w:t>
            </w:r>
          </w:p>
        </w:tc>
        <w:tc>
          <w:tcPr/>
          <w:p>
            <w:pPr>
              <w:pStyle w:val="Compact"/>
            </w:pPr>
            <w:r>
              <w:t xml:space="preserve">(0.084)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lL1</w:t>
            </w:r>
          </w:p>
        </w:tc>
        <w:tc>
          <w:tcPr/>
          <w:p>
            <w:pPr>
              <w:pStyle w:val="Compact"/>
            </w:pPr>
            <w:r>
              <w:t xml:space="preserve">0.365***</w:t>
            </w:r>
          </w:p>
        </w:tc>
        <w:tc>
          <w:tcPr/>
          <w:p>
            <w:pPr>
              <w:pStyle w:val="Compact"/>
            </w:pPr>
            <w:r>
              <w:t xml:space="preserve">0.328***</w:t>
            </w:r>
          </w:p>
        </w:tc>
        <w:tc>
          <w:tcPr/>
          <w:p>
            <w:pPr>
              <w:pStyle w:val="Compact"/>
            </w:pPr>
            <w:r>
              <w:t xml:space="preserve">0.341***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(0.030)</w:t>
            </w:r>
          </w:p>
        </w:tc>
        <w:tc>
          <w:tcPr/>
          <w:p>
            <w:pPr>
              <w:pStyle w:val="Compact"/>
            </w:pPr>
            <w:r>
              <w:t xml:space="preserve">(0.074)</w:t>
            </w:r>
          </w:p>
        </w:tc>
        <w:tc>
          <w:tcPr/>
          <w:p>
            <w:pPr>
              <w:pStyle w:val="Compact"/>
            </w:pPr>
            <w:r>
              <w:t xml:space="preserve">(0.074)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HGBT</w:t>
            </w:r>
          </w:p>
        </w:tc>
        <w:tc>
          <w:tcPr/>
          <w:p>
            <w:pPr>
              <w:pStyle w:val="Compact"/>
            </w:pPr>
            <w:r>
              <w:t xml:space="preserve">0.151*</w:t>
            </w:r>
          </w:p>
        </w:tc>
        <w:tc>
          <w:tcPr/>
          <w:p>
            <w:pPr>
              <w:pStyle w:val="Compact"/>
            </w:pPr>
            <w:r>
              <w:t xml:space="preserve">0.022</w:t>
            </w:r>
          </w:p>
        </w:tc>
        <w:tc>
          <w:tcPr/>
          <w:p>
            <w:pPr>
              <w:pStyle w:val="Compact"/>
            </w:pPr>
            <w:r>
              <w:t xml:space="preserve">-0.080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(0.065)</w:t>
            </w:r>
          </w:p>
        </w:tc>
        <w:tc>
          <w:tcPr/>
          <w:p>
            <w:pPr>
              <w:pStyle w:val="Compact"/>
            </w:pPr>
            <w:r>
              <w:t xml:space="preserve">(0.047)</w:t>
            </w:r>
          </w:p>
        </w:tc>
        <w:tc>
          <w:tcPr/>
          <w:p>
            <w:pPr>
              <w:pStyle w:val="Compact"/>
            </w:pPr>
            <w:r>
              <w:t xml:space="preserve">(0.085)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269</w:t>
            </w:r>
          </w:p>
        </w:tc>
        <w:tc>
          <w:tcPr/>
          <w:p>
            <w:pPr>
              <w:pStyle w:val="Compact"/>
            </w:pPr>
            <w:r>
              <w:t xml:space="preserve">269</w:t>
            </w:r>
          </w:p>
        </w:tc>
        <w:tc>
          <w:tcPr/>
          <w:p>
            <w:pPr>
              <w:pStyle w:val="Compact"/>
            </w:pPr>
            <w:r>
              <w:t xml:space="preserve">269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0.899</w:t>
            </w:r>
          </w:p>
        </w:tc>
        <w:tc>
          <w:tcPr/>
          <w:p>
            <w:pPr>
              <w:pStyle w:val="Compact"/>
            </w:pPr>
            <w:r>
              <w:t xml:space="preserve">0.967</w:t>
            </w:r>
          </w:p>
        </w:tc>
        <w:tc>
          <w:tcPr/>
          <w:p>
            <w:pPr>
              <w:pStyle w:val="Compact"/>
            </w:pPr>
            <w:r>
              <w:t xml:space="preserve">0.969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Adj.</w:t>
            </w:r>
          </w:p>
        </w:tc>
        <w:tc>
          <w:tcPr/>
          <w:p>
            <w:pPr>
              <w:pStyle w:val="Compact"/>
            </w:pPr>
            <w:r>
              <w:t xml:space="preserve">0.898</w:t>
            </w:r>
          </w:p>
        </w:tc>
        <w:tc>
          <w:tcPr/>
          <w:p>
            <w:pPr>
              <w:pStyle w:val="Compact"/>
            </w:pPr>
            <w:r>
              <w:t xml:space="preserve">0.962</w:t>
            </w:r>
          </w:p>
        </w:tc>
        <w:tc>
          <w:tcPr/>
          <w:p>
            <w:pPr>
              <w:pStyle w:val="Compact"/>
            </w:pPr>
            <w:r>
              <w:t xml:space="preserve">0.963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Within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0.288</w:t>
            </w:r>
          </w:p>
        </w:tc>
        <w:tc>
          <w:tcPr/>
          <w:p>
            <w:pPr>
              <w:pStyle w:val="Compact"/>
            </w:pPr>
            <w:r>
              <w:t xml:space="preserve">0.265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Within Adj.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0.279</w:t>
            </w:r>
          </w:p>
        </w:tc>
        <w:tc>
          <w:tcPr/>
          <w:p>
            <w:pPr>
              <w:pStyle w:val="Compact"/>
            </w:pPr>
            <w:r>
              <w:t xml:space="preserve">0.255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w:r>
              <w:t xml:space="preserve">308.1</w:t>
            </w:r>
          </w:p>
        </w:tc>
        <w:tc>
          <w:tcPr/>
          <w:p>
            <w:pPr>
              <w:pStyle w:val="Compact"/>
            </w:pPr>
            <w:r>
              <w:t xml:space="preserve">71.9</w:t>
            </w:r>
          </w:p>
        </w:tc>
        <w:tc>
          <w:tcPr/>
          <w:p>
            <w:pPr>
              <w:pStyle w:val="Compact"/>
            </w:pPr>
            <w:r>
              <w:t xml:space="preserve">73.2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w:r>
              <w:t xml:space="preserve">322.5</w:t>
            </w:r>
          </w:p>
        </w:tc>
        <w:tc>
          <w:tcPr/>
          <w:p>
            <w:pPr>
              <w:pStyle w:val="Compact"/>
            </w:pPr>
            <w:r>
              <w:t xml:space="preserve">194.1</w:t>
            </w:r>
          </w:p>
        </w:tc>
        <w:tc>
          <w:tcPr/>
          <w:p>
            <w:pPr>
              <w:pStyle w:val="Compact"/>
            </w:pPr>
            <w:r>
              <w:t xml:space="preserve">227.8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0.42</w:t>
            </w:r>
          </w:p>
        </w:tc>
        <w:tc>
          <w:tcPr/>
          <w:p>
            <w:pPr>
              <w:pStyle w:val="Compact"/>
            </w:pPr>
            <w:r>
              <w:t xml:space="preserve">0.24</w:t>
            </w:r>
          </w:p>
        </w:tc>
        <w:tc>
          <w:tcPr/>
          <w:p>
            <w:pPr>
              <w:pStyle w:val="Compact"/>
            </w:pPr>
            <w:r>
              <w:t xml:space="preserve">0.24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Std.Errors</w:t>
            </w:r>
          </w:p>
        </w:tc>
        <w:tc>
          <w:tcPr/>
          <w:p>
            <w:pPr>
              <w:pStyle w:val="Compact"/>
            </w:pPr>
            <w:r>
              <w:t xml:space="preserve">IID</w:t>
            </w:r>
          </w:p>
        </w:tc>
        <w:tc>
          <w:tcPr/>
          <w:p>
            <w:pPr>
              <w:pStyle w:val="Compact"/>
            </w:pPr>
            <w:r>
              <w:t xml:space="preserve">IID</w:t>
            </w:r>
          </w:p>
        </w:tc>
        <w:tc>
          <w:tcPr/>
          <w:p>
            <w:pPr>
              <w:pStyle w:val="Compact"/>
            </w:pPr>
            <w:r>
              <w:t xml:space="preserve">IID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FE: Perusahaan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FE: Tahun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</w:tr>
      <w:tr>
        <w:tc>
          <w:tcPr>
            <w:gridSpan w:val="4"/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p &lt; 0.1, * p &lt; 0.05, ** p &lt; 0.01, *** p &lt;</w:t>
            </w:r>
            <w:r>
              <w:t xml:space="preserve"> </w:t>
            </w:r>
            <w:r>
              <w:t xml:space="preserve">0.001</w:t>
            </w:r>
          </w:p>
        </w:tc>
      </w:tr>
    </w:tbl>
    <w:bookmarkEnd w:id="21"/>
    <w:bookmarkStart w:id="22" w:name="references"/>
    <w:p>
      <w:pPr>
        <w:pStyle w:val="Heading2"/>
      </w:pPr>
      <w:r>
        <w:t xml:space="preserve">References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Dampak HGBT</dc:title>
  <dc:creator>Krisna Gupta</dc:creator>
  <cp:keywords/>
  <dcterms:created xsi:type="dcterms:W3CDTF">2025-11-17T06:45:07Z</dcterms:created>
  <dcterms:modified xsi:type="dcterms:W3CDTF">2025-11-17T06:45:07Z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Di sini saya membahas soal isu-isu kontemporer dalam perdagangan internasional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sl">
    <vt:lpwstr>apa.csl</vt:lpwstr>
  </property>
  <property fmtid="{D5CDD505-2E9C-101B-9397-08002B2CF9AE}" pid="11" name="execute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toc-title">
    <vt:lpwstr>Table of contents</vt:lpwstr>
  </property>
</Properties>
</file>