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oil-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crude oil OPEC (M/bbl/d)</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oil-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minyak WTI (USD/bbl)</w:t>
                        </w:r>
                      </w:p>
                      <w:bookmarkEnd w:id="29"/>
                    </w:tc>
                  </w:tr>
                </w:tbl>
                <w:p/>
              </w:tc>
            </w:tr>
          </w:tbl>
          <w:p>
            <w:pPr>
              <w:jc w:val="center"/>
            </w:pPr>
            <w:pPr>
              <w:jc w:val="start"/>
              <w:spacing w:before="200"/>
              <w:pStyle w:val="ImageCaption"/>
            </w:pPr>
            <w:pPr>
              <w:spacing w:before="200"/>
              <w:pStyle w:val="ImageCaption"/>
            </w:pPr>
            <w:r>
              <w:t xml:space="preserve">Figure 1: Kondisi minyak bumi di pasar global</w:t>
            </w:r>
          </w:p>
          <w:bookmarkEnd w:id="30"/>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40"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rate-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Tingkat suku bunga beberapa negara (%)</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rate-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Nilai tukar rupiah terhadap US$ (Rp/US$)</w:t>
                        </w:r>
                      </w:p>
                      <w:bookmarkEnd w:id="39"/>
                    </w:tc>
                  </w:tr>
                </w:tbl>
                <w:p/>
              </w:tc>
            </w:tr>
          </w:tbl>
          <w:p>
            <w:pPr>
              <w:jc w:val="center"/>
            </w:pPr>
            <w:pPr>
              <w:jc w:val="start"/>
              <w:spacing w:before="200"/>
              <w:pStyle w:val="ImageCaption"/>
            </w:pPr>
            <w:pPr>
              <w:spacing w:before="200"/>
              <w:pStyle w:val="ImageCaption"/>
            </w:pPr>
            <w:r>
              <w:t xml:space="preserve">Figure 2: Tingkat suku bunga dan mata uang rupiah</w:t>
            </w:r>
          </w:p>
          <w:bookmarkEnd w:id="40"/>
        </w:tc>
      </w:tr>
    </w:tbl>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50"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bbm-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BBM premium</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bbm-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BBM premium (Rp/liter)</w:t>
                        </w:r>
                      </w:p>
                      <w:bookmarkEnd w:id="49"/>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50"/>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5" w:name="fig-var"/>
          <w:p>
            <w:pPr>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1"/>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tbl>
      <w:tblPr>
        <w:tblStyle w:val="Table"/>
        <w:tblW w:type="pct" w:w="5000"/>
        <w:tblLook w:firstRow="0" w:lastRow="0" w:firstColumn="0" w:lastColumn="0" w:noHBand="0" w:noVBand="0" w:val="0000"/>
        <w:jc w:val="start"/>
      </w:tblPr>
      <w:tblGrid>
        <w:gridCol w:w="7920"/>
      </w:tblGrid>
      <w:tr>
        <w:tc>
          <w:tcPr/>
          <w:bookmarkStart w:id="65" w:name="fig-irf"/>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60" w:name="fig-irf-1"/>
                      <w:p>
                        <w:pPr>
                          <w:jc w:val="center"/>
                          <w:jc w:val="center"/>
                          <w:jc w:val="center"/>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IRF dari harga WTI</w:t>
                        </w:r>
                      </w:p>
                      <w:bookmarkEnd w:id="60"/>
                    </w:tc>
                  </w:tr>
                </w:tbl>
                <w:p/>
              </w:tc>
              <w:tc>
                <w:tcPr/>
                <w:tbl>
                  <w:tblPr>
                    <w:tblStyle w:val="Table"/>
                    <w:tblW w:type="pct" w:w="5000"/>
                    <w:tblLook w:firstRow="0" w:lastRow="0" w:firstColumn="0" w:lastColumn="0" w:noHBand="0" w:noVBand="0" w:val="0000"/>
                    <w:jc w:val="start"/>
                  </w:tblPr>
                  <w:tblGrid>
                    <w:gridCol w:w="7920"/>
                  </w:tblGrid>
                  <w:tr>
                    <w:tc>
                      <w:tcPr/>
                      <w:bookmarkStart w:id="64" w:name="fig-irf-2"/>
                      <w:p>
                        <w:pPr>
                          <w:jc w:val="center"/>
                          <w:jc w:val="center"/>
                          <w:jc w:val="center"/>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IRF dari nilai tukar rupiah terhadap dolar AS</w:t>
                        </w:r>
                      </w:p>
                      <w:bookmarkEnd w:id="64"/>
                    </w:tc>
                  </w:tr>
                </w:tbl>
                <w:p/>
              </w:tc>
            </w:tr>
          </w:tbl>
          <w:p>
            <w:pPr>
              <w:jc w:val="center"/>
            </w:pPr>
            <w:pPr>
              <w:jc w:val="start"/>
              <w:spacing w:before="200"/>
              <w:pStyle w:val="ImageCaption"/>
            </w:pPr>
            <w:pPr>
              <w:spacing w:before="200"/>
              <w:pStyle w:val="ImageCaption"/>
            </w:pPr>
            <w:r>
              <w:t xml:space="preserve">Figure 5: impulse response function dari VAR(1)</w:t>
            </w:r>
          </w:p>
          <w:bookmarkEnd w:id="65"/>
        </w:tc>
      </w:tr>
    </w:tbl>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2023-11-26T13:36:34Z</dcterms:created>
  <dcterms:modified xsi:type="dcterms:W3CDTF">2023-11-26T13:36:34Z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