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bookmarkStart w:id="20" w:name="tbl-1"/>
    <w:p>
      <w:pPr>
        <w:pStyle w:val="TableCaption"/>
      </w:pPr>
      <w:r>
        <w:t xml:space="preserve">Table 1: Asumsi makroekonomi APBN 2024</w:t>
      </w:r>
    </w:p>
    <w:tbl>
      <w:tblPr>
        <w:tblStyle w:val="Table"/>
        <w:tblW w:type="auto" w:w="0"/>
        <w:tblLook w:firstRow="1" w:lastRow="0" w:firstColumn="0" w:lastColumn="0" w:noHBand="0" w:noVBand="0" w:val="0020"/>
        <w:jc w:val="start"/>
        <w:tblCaption w:val="Table 1: Asumsi makroekonomi APBN 2024"/>
      </w:tblPr>
      <w:tblGrid>
        <w:gridCol w:w="2640"/>
        <w:gridCol w:w="2640"/>
        <w:gridCol w:w="2640"/>
      </w:tblGrid>
      <w:tr>
        <w:trPr>
          <w:tblHeader w:val="true"/>
        </w:trPr>
        <w:tc>
          <w:tcPr/>
          <w:p>
            <w:pPr>
              <w:pStyle w:val="Compact"/>
              <w:jc w:val="left"/>
            </w:pPr>
            <w:r>
              <w:t xml:space="preserve">Indikator</w:t>
            </w:r>
          </w:p>
        </w:tc>
        <w:tc>
          <w:tcPr/>
          <w:p>
            <w:pPr>
              <w:pStyle w:val="Compact"/>
              <w:jc w:val="left"/>
            </w:pPr>
            <w:r>
              <w:t xml:space="preserve">Nilai</w:t>
            </w:r>
          </w:p>
        </w:tc>
        <w:tc>
          <w:tcPr/>
          <w:p>
            <w:pPr>
              <w:pStyle w:val="Compact"/>
              <w:jc w:val="left"/>
            </w:pPr>
            <w:r>
              <w:t xml:space="preserve">Satuan</w:t>
            </w:r>
          </w:p>
        </w:tc>
      </w:tr>
      <w:tr>
        <w:tc>
          <w:tcPr/>
          <w:p>
            <w:pPr>
              <w:pStyle w:val="Compact"/>
              <w:jc w:val="left"/>
            </w:pPr>
            <w:r>
              <w:t xml:space="preserve">Pertumbuhan ekonomi</w:t>
            </w:r>
          </w:p>
        </w:tc>
        <w:tc>
          <w:tcPr/>
          <w:p>
            <w:pPr>
              <w:pStyle w:val="Compact"/>
              <w:jc w:val="left"/>
            </w:pPr>
            <w:r>
              <w:t xml:space="preserve">5,2</w:t>
            </w:r>
          </w:p>
        </w:tc>
        <w:tc>
          <w:tcPr/>
          <w:p>
            <w:pPr>
              <w:pStyle w:val="Compact"/>
              <w:jc w:val="left"/>
            </w:pPr>
            <w:r>
              <w:t xml:space="preserve">%</w:t>
            </w:r>
          </w:p>
        </w:tc>
      </w:tr>
      <w:tr>
        <w:tc>
          <w:tcPr/>
          <w:p>
            <w:pPr>
              <w:pStyle w:val="Compact"/>
              <w:jc w:val="left"/>
            </w:pPr>
            <w:r>
              <w:t xml:space="preserve">Inflasi</w:t>
            </w:r>
          </w:p>
        </w:tc>
        <w:tc>
          <w:tcPr/>
          <w:p>
            <w:pPr>
              <w:pStyle w:val="Compact"/>
              <w:jc w:val="left"/>
            </w:pPr>
            <w:r>
              <w:t xml:space="preserve">2,8</w:t>
            </w:r>
          </w:p>
        </w:tc>
        <w:tc>
          <w:tcPr/>
          <w:p>
            <w:pPr>
              <w:pStyle w:val="Compact"/>
              <w:jc w:val="left"/>
            </w:pPr>
            <w:r>
              <w:t xml:space="preserve">%</w:t>
            </w:r>
          </w:p>
        </w:tc>
      </w:tr>
      <w:tr>
        <w:tc>
          <w:tcPr/>
          <w:p>
            <w:pPr>
              <w:pStyle w:val="Compact"/>
              <w:jc w:val="left"/>
            </w:pPr>
            <w:r>
              <w:t xml:space="preserve">Nilai tukar rupiah</w:t>
            </w:r>
          </w:p>
        </w:tc>
        <w:tc>
          <w:tcPr/>
          <w:p>
            <w:pPr>
              <w:pStyle w:val="Compact"/>
              <w:jc w:val="left"/>
            </w:pPr>
            <w:r>
              <w:t xml:space="preserve">15.000</w:t>
            </w:r>
          </w:p>
        </w:tc>
        <w:tc>
          <w:tcPr/>
          <w:p>
            <w:pPr>
              <w:pStyle w:val="Compact"/>
              <w:jc w:val="left"/>
            </w:pPr>
            <w:r>
              <w:t xml:space="preserve">US$</w:t>
            </w:r>
          </w:p>
        </w:tc>
      </w:tr>
      <w:tr>
        <w:tc>
          <w:tcPr/>
          <w:p>
            <w:pPr>
              <w:pStyle w:val="Compact"/>
              <w:jc w:val="left"/>
            </w:pPr>
            <w:r>
              <w:t xml:space="preserve">Suku bunga SBN 10 tahun</w:t>
            </w:r>
          </w:p>
        </w:tc>
        <w:tc>
          <w:tcPr/>
          <w:p>
            <w:pPr>
              <w:pStyle w:val="Compact"/>
              <w:jc w:val="left"/>
            </w:pPr>
            <w:r>
              <w:t xml:space="preserve">6,7</w:t>
            </w:r>
          </w:p>
        </w:tc>
        <w:tc>
          <w:tcPr/>
          <w:p>
            <w:pPr>
              <w:pStyle w:val="Compact"/>
              <w:jc w:val="left"/>
            </w:pPr>
            <w:r>
              <w:t xml:space="preserve">%</w:t>
            </w:r>
          </w:p>
        </w:tc>
      </w:tr>
      <w:tr>
        <w:tc>
          <w:tcPr/>
          <w:p>
            <w:pPr>
              <w:pStyle w:val="Compact"/>
              <w:jc w:val="left"/>
            </w:pPr>
            <w:r>
              <w:t xml:space="preserve">ICP</w:t>
            </w:r>
          </w:p>
        </w:tc>
        <w:tc>
          <w:tcPr/>
          <w:p>
            <w:pPr>
              <w:pStyle w:val="Compact"/>
              <w:jc w:val="left"/>
            </w:pPr>
            <w:r>
              <w:t xml:space="preserve">82</w:t>
            </w:r>
          </w:p>
        </w:tc>
        <w:tc>
          <w:tcPr/>
          <w:p>
            <w:pPr>
              <w:pStyle w:val="Compact"/>
              <w:jc w:val="left"/>
            </w:pPr>
            <w:r>
              <w:t xml:space="preserve">US$/barel</w:t>
            </w:r>
          </w:p>
        </w:tc>
      </w:tr>
    </w:tbl>
    <w:bookmarkEnd w:id="20"/>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0" w:name="fig-oil"/>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5" w:name="fig-oil-1"/>
                      <w:p>
                        <w:pPr>
                          <w:jc w:val="center"/>
                          <w:jc w:val="center"/>
                          <w:jc w:val="center"/>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Produksi crude oil OPEC (M/bbl/d)</w:t>
                        </w:r>
                      </w:p>
                      <w:bookmarkEnd w:id="25"/>
                    </w:tc>
                  </w:tr>
                </w:tbl>
                <w:p/>
              </w:tc>
              <w:tc>
                <w:tcPr/>
                <w:tbl>
                  <w:tblPr>
                    <w:tblStyle w:val="Table"/>
                    <w:tblW w:type="pct" w:w="5000"/>
                    <w:tblLook w:firstRow="0" w:lastRow="0" w:firstColumn="0" w:lastColumn="0" w:noHBand="0" w:noVBand="0" w:val="0000"/>
                    <w:jc w:val="start"/>
                  </w:tblPr>
                  <w:tblGrid>
                    <w:gridCol w:w="7920"/>
                  </w:tblGrid>
                  <w:tr>
                    <w:tc>
                      <w:tcPr/>
                      <w:bookmarkStart w:id="29" w:name="fig-oil-2"/>
                      <w:p>
                        <w:pPr>
                          <w:jc w:val="center"/>
                          <w:jc w:val="center"/>
                          <w:jc w:val="center"/>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Harga minyak WTI (USD/bbl)</w:t>
                        </w:r>
                      </w:p>
                      <w:bookmarkEnd w:id="29"/>
                    </w:tc>
                  </w:tr>
                </w:tbl>
                <w:p/>
              </w:tc>
            </w:tr>
          </w:tbl>
          <w:p>
            <w:pPr>
              <w:jc w:val="center"/>
            </w:pPr>
            <w:pPr>
              <w:jc w:val="start"/>
              <w:spacing w:before="200"/>
              <w:pStyle w:val="ImageCaption"/>
            </w:pPr>
            <w:pPr>
              <w:spacing w:before="200"/>
              <w:pStyle w:val="ImageCaption"/>
            </w:pPr>
            <w:r>
              <w:t xml:space="preserve">Figure 1: Kondisi minyak bumi di pasar global</w:t>
            </w:r>
          </w:p>
          <w:bookmarkEnd w:id="30"/>
        </w:tc>
      </w:tr>
    </w:tbl>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tbl>
      <w:tblPr>
        <w:tblStyle w:val="Table"/>
        <w:tblW w:type="pct" w:w="5000"/>
        <w:tblLook w:firstRow="0" w:lastRow="0" w:firstColumn="0" w:lastColumn="0" w:noHBand="0" w:noVBand="0" w:val="0000"/>
        <w:jc w:val="start"/>
      </w:tblPr>
      <w:tblGrid>
        <w:gridCol w:w="7920"/>
      </w:tblGrid>
      <w:tr>
        <w:tc>
          <w:tcPr/>
          <w:bookmarkStart w:id="40" w:name="fig-rate"/>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5" w:name="fig-rate-1"/>
                      <w:p>
                        <w:pPr>
                          <w:jc w:val="center"/>
                          <w:jc w:val="center"/>
                          <w:jc w:val="center"/>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Tingkat suku bunga beberapa negara (%)</w:t>
                        </w:r>
                      </w:p>
                      <w:bookmarkEnd w:id="35"/>
                    </w:tc>
                  </w:tr>
                </w:tbl>
                <w:p/>
              </w:tc>
              <w:tc>
                <w:tcPr/>
                <w:tbl>
                  <w:tblPr>
                    <w:tblStyle w:val="Table"/>
                    <w:tblW w:type="pct" w:w="5000"/>
                    <w:tblLook w:firstRow="0" w:lastRow="0" w:firstColumn="0" w:lastColumn="0" w:noHBand="0" w:noVBand="0" w:val="0000"/>
                    <w:jc w:val="start"/>
                  </w:tblPr>
                  <w:tblGrid>
                    <w:gridCol w:w="7920"/>
                  </w:tblGrid>
                  <w:tr>
                    <w:tc>
                      <w:tcPr/>
                      <w:bookmarkStart w:id="39" w:name="fig-rate-2"/>
                      <w:p>
                        <w:pPr>
                          <w:jc w:val="center"/>
                          <w:jc w:val="center"/>
                          <w:jc w:val="center"/>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Nilai tukar rupiah terhadap US$ (Rp/US$)</w:t>
                        </w:r>
                      </w:p>
                      <w:bookmarkEnd w:id="39"/>
                    </w:tc>
                  </w:tr>
                </w:tbl>
                <w:p/>
              </w:tc>
            </w:tr>
          </w:tbl>
          <w:p>
            <w:pPr>
              <w:jc w:val="center"/>
            </w:pPr>
            <w:pPr>
              <w:jc w:val="start"/>
              <w:spacing w:before="200"/>
              <w:pStyle w:val="ImageCaption"/>
            </w:pPr>
            <w:pPr>
              <w:spacing w:before="200"/>
              <w:pStyle w:val="ImageCaption"/>
            </w:pPr>
            <w:r>
              <w:t xml:space="preserve">Figure 2: Tingkat suku bunga dan mata uang rupiah</w:t>
            </w:r>
          </w:p>
          <w:bookmarkEnd w:id="40"/>
        </w:tc>
      </w:tr>
    </w:tbl>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tbl>
      <w:tblPr>
        <w:tblStyle w:val="Table"/>
        <w:tblW w:type="pct" w:w="5000"/>
        <w:tblLook w:firstRow="0" w:lastRow="0" w:firstColumn="0" w:lastColumn="0" w:noHBand="0" w:noVBand="0" w:val="0000"/>
        <w:jc w:val="start"/>
      </w:tblPr>
      <w:tblGrid>
        <w:gridCol w:w="7920"/>
      </w:tblGrid>
      <w:tr>
        <w:tc>
          <w:tcPr/>
          <w:bookmarkStart w:id="50" w:name="fig-bbm"/>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5" w:name="fig-bbm-1"/>
                      <w:p>
                        <w:pPr>
                          <w:jc w:val="center"/>
                          <w:jc w:val="center"/>
                          <w:jc w:val="center"/>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Produksi BBM premium</w:t>
                        </w:r>
                      </w:p>
                      <w:bookmarkEnd w:id="45"/>
                    </w:tc>
                  </w:tr>
                </w:tbl>
                <w:p/>
              </w:tc>
              <w:tc>
                <w:tcPr/>
                <w:tbl>
                  <w:tblPr>
                    <w:tblStyle w:val="Table"/>
                    <w:tblW w:type="pct" w:w="5000"/>
                    <w:tblLook w:firstRow="0" w:lastRow="0" w:firstColumn="0" w:lastColumn="0" w:noHBand="0" w:noVBand="0" w:val="0000"/>
                    <w:jc w:val="start"/>
                  </w:tblPr>
                  <w:tblGrid>
                    <w:gridCol w:w="7920"/>
                  </w:tblGrid>
                  <w:tr>
                    <w:tc>
                      <w:tcPr/>
                      <w:bookmarkStart w:id="49" w:name="fig-bbm-2"/>
                      <w:p>
                        <w:pPr>
                          <w:jc w:val="center"/>
                          <w:jc w:val="center"/>
                          <w:jc w:val="center"/>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Harga BBM premium (Rp/liter)</w:t>
                        </w:r>
                      </w:p>
                      <w:bookmarkEnd w:id="49"/>
                    </w:tc>
                  </w:tr>
                </w:tbl>
                <w:p/>
              </w:tc>
            </w:tr>
          </w:tbl>
          <w:p>
            <w:pPr>
              <w:jc w:val="center"/>
            </w:pPr>
            <w:pPr>
              <w:jc w:val="start"/>
              <w:spacing w:before="200"/>
              <w:pStyle w:val="ImageCaption"/>
            </w:pPr>
            <w:pPr>
              <w:spacing w:before="200"/>
              <w:pStyle w:val="ImageCaption"/>
            </w:pPr>
            <w:r>
              <w:t xml:space="preserve">Figure 3: Kondisi harga dan konsumsi BBM di Indonesia</w:t>
            </w:r>
          </w:p>
          <w:bookmarkEnd w:id="50"/>
        </w:tc>
      </w:tr>
    </w:tbl>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55" w:name="fig-var"/>
          <w:p>
            <w:pPr>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1"/>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tbl>
      <w:tblPr>
        <w:tblStyle w:val="Table"/>
        <w:tblW w:type="pct" w:w="5000"/>
        <w:tblLook w:firstRow="0" w:lastRow="0" w:firstColumn="0" w:lastColumn="0" w:noHBand="0" w:noVBand="0" w:val="0000"/>
        <w:jc w:val="start"/>
      </w:tblPr>
      <w:tblGrid>
        <w:gridCol w:w="7920"/>
      </w:tblGrid>
      <w:tr>
        <w:tc>
          <w:tcPr/>
          <w:bookmarkStart w:id="65" w:name="fig-irf"/>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60" w:name="fig-irf-1"/>
                      <w:p>
                        <w:pPr>
                          <w:jc w:val="center"/>
                          <w:jc w:val="center"/>
                          <w:jc w:val="center"/>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IRF dari harga WTI</w:t>
                        </w:r>
                      </w:p>
                      <w:bookmarkEnd w:id="60"/>
                    </w:tc>
                  </w:tr>
                </w:tbl>
                <w:p/>
              </w:tc>
              <w:tc>
                <w:tcPr/>
                <w:tbl>
                  <w:tblPr>
                    <w:tblStyle w:val="Table"/>
                    <w:tblW w:type="pct" w:w="5000"/>
                    <w:tblLook w:firstRow="0" w:lastRow="0" w:firstColumn="0" w:lastColumn="0" w:noHBand="0" w:noVBand="0" w:val="0000"/>
                    <w:jc w:val="start"/>
                  </w:tblPr>
                  <w:tblGrid>
                    <w:gridCol w:w="7920"/>
                  </w:tblGrid>
                  <w:tr>
                    <w:tc>
                      <w:tcPr/>
                      <w:bookmarkStart w:id="64" w:name="fig-irf-2"/>
                      <w:p>
                        <w:pPr>
                          <w:jc w:val="center"/>
                          <w:jc w:val="center"/>
                          <w:jc w:val="center"/>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IRF dari nilai tukar rupiah terhadap dolar AS</w:t>
                        </w:r>
                      </w:p>
                      <w:bookmarkEnd w:id="64"/>
                    </w:tc>
                  </w:tr>
                </w:tbl>
                <w:p/>
              </w:tc>
            </w:tr>
          </w:tbl>
          <w:p>
            <w:pPr>
              <w:jc w:val="center"/>
            </w:pPr>
            <w:pPr>
              <w:jc w:val="start"/>
              <w:spacing w:before="200"/>
              <w:pStyle w:val="ImageCaption"/>
            </w:pPr>
            <w:pPr>
              <w:spacing w:before="200"/>
              <w:pStyle w:val="ImageCaption"/>
            </w:pPr>
            <w:r>
              <w:t xml:space="preserve">Figure 5: impulse response function dari VAR(1)</w:t>
            </w:r>
          </w:p>
          <w:bookmarkEnd w:id="65"/>
        </w:tc>
      </w:tr>
    </w:tbl>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2024-05-22T05:45:26Z</dcterms:created>
  <dcterms:modified xsi:type="dcterms:W3CDTF">2024-05-22T05:45:26Z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