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7.png" ContentType="image/png"/>
  <Override PartName="/word/media/rId61.png" ContentType="image/png"/>
  <Override PartName="/word/media/rId22.png" ContentType="image/png"/>
  <Override PartName="/word/media/rId26.png" ContentType="image/png"/>
  <Override PartName="/word/media/rId32.png" ContentType="image/png"/>
  <Override PartName="/word/media/rId36.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Macro</w:t>
      </w:r>
      <w:r>
        <w:t xml:space="preserve"> </w:t>
      </w:r>
      <w:r>
        <w:t xml:space="preserve">Policy</w:t>
      </w:r>
      <w:r>
        <w:t xml:space="preserve"> </w:t>
      </w:r>
      <w:r>
        <w:t xml:space="preserve">Brief:</w:t>
      </w:r>
      <w:r>
        <w:t xml:space="preserve"> </w:t>
      </w:r>
      <w:r>
        <w:t xml:space="preserve">Global</w:t>
      </w:r>
      <w:r>
        <w:t xml:space="preserve"> </w:t>
      </w:r>
      <w:r>
        <w:t xml:space="preserve">Inflation</w:t>
      </w:r>
      <w:r>
        <w:t xml:space="preserve"> </w:t>
      </w:r>
      <w:r>
        <w:t xml:space="preserve">and</w:t>
      </w:r>
      <w:r>
        <w:t xml:space="preserve"> </w:t>
      </w:r>
      <w:r>
        <w:t xml:space="preserve">the</w:t>
      </w:r>
      <w:r>
        <w:t xml:space="preserve"> </w:t>
      </w:r>
      <w:r>
        <w:t xml:space="preserve">Oil</w:t>
      </w:r>
      <w:r>
        <w:t xml:space="preserve"> </w:t>
      </w:r>
      <w:r>
        <w:t xml:space="preserve">Production</w:t>
      </w:r>
      <w:r>
        <w:t xml:space="preserve"> </w:t>
      </w:r>
      <w:r>
        <w:t xml:space="preserve">Glut</w:t>
      </w:r>
    </w:p>
    <w:p>
      <w:pPr>
        <w:pStyle w:val="Author"/>
      </w:pPr>
      <w:r>
        <w:t xml:space="preserve">Krisna</w:t>
      </w:r>
      <w:r>
        <w:t xml:space="preserve"> </w:t>
      </w:r>
      <w:r>
        <w:t xml:space="preserve">Gupta</w:t>
      </w:r>
    </w:p>
    <w:p>
      <w:pPr>
        <w:pStyle w:val="Date"/>
      </w:pPr>
      <w:r>
        <w:t xml:space="preserve">November</w:t>
      </w:r>
      <w:r>
        <w:t xml:space="preserve"> </w:t>
      </w:r>
      <w:r>
        <w:t xml:space="preserve">26,</w:t>
      </w:r>
      <w:r>
        <w:t xml:space="preserve"> </w:t>
      </w:r>
      <w:r>
        <w:t xml:space="preserve">2023</w:t>
      </w:r>
    </w:p>
    <w:p>
      <w:pPr>
        <w:pStyle w:val="Abstract"/>
      </w:pPr>
      <w:r>
        <w:t xml:space="preserve">Asumsi</w:t>
      </w:r>
      <w:r>
        <w:t xml:space="preserve"> </w:t>
      </w:r>
      <w:r>
        <w:t xml:space="preserve">APBN</w:t>
      </w:r>
      <w:r>
        <w:t xml:space="preserve"> </w:t>
      </w:r>
      <w:r>
        <w:t xml:space="preserve">menunjukkan</w:t>
      </w:r>
      <w:r>
        <w:t xml:space="preserve"> </w:t>
      </w:r>
      <w:r>
        <w:t xml:space="preserve">optimisme</w:t>
      </w:r>
      <w:r>
        <w:t xml:space="preserve"> </w:t>
      </w:r>
      <w:r>
        <w:t xml:space="preserve">pemerintah</w:t>
      </w:r>
      <w:r>
        <w:t xml:space="preserve"> </w:t>
      </w:r>
      <w:r>
        <w:t xml:space="preserve">di</w:t>
      </w:r>
      <w:r>
        <w:t xml:space="preserve"> </w:t>
      </w:r>
      <w:r>
        <w:t xml:space="preserve">mana</w:t>
      </w:r>
      <w:r>
        <w:t xml:space="preserve"> </w:t>
      </w:r>
      <w:r>
        <w:t xml:space="preserve">dolar</w:t>
      </w:r>
      <w:r>
        <w:t xml:space="preserve"> </w:t>
      </w:r>
      <w:r>
        <w:t xml:space="preserve">akan</w:t>
      </w:r>
      <w:r>
        <w:t xml:space="preserve"> </w:t>
      </w:r>
      <w:r>
        <w:t xml:space="preserve">stabil</w:t>
      </w:r>
      <w:r>
        <w:t xml:space="preserve"> </w:t>
      </w:r>
      <w:r>
        <w:t xml:space="preserve">di</w:t>
      </w:r>
      <w:r>
        <w:t xml:space="preserve"> </w:t>
      </w:r>
      <w:r>
        <w:t xml:space="preserve">15000</w:t>
      </w:r>
      <w:r>
        <w:t xml:space="preserve"> </w:t>
      </w:r>
      <w:r>
        <w:t xml:space="preserve">Rp/US$,</w:t>
      </w:r>
      <w:r>
        <w:t xml:space="preserve"> </w:t>
      </w:r>
      <w:r>
        <w:t xml:space="preserve">inflasi</w:t>
      </w:r>
      <w:r>
        <w:t xml:space="preserve"> </w:t>
      </w:r>
      <w:r>
        <w:t xml:space="preserve">di</w:t>
      </w:r>
      <w:r>
        <w:t xml:space="preserve"> </w:t>
      </w:r>
      <w:r>
        <w:t xml:space="preserve">2,8%</w:t>
      </w:r>
      <w:r>
        <w:t xml:space="preserve"> </w:t>
      </w:r>
      <w:r>
        <w:t xml:space="preserve">dan</w:t>
      </w:r>
      <w:r>
        <w:t xml:space="preserve"> </w:t>
      </w:r>
      <w:r>
        <w:t xml:space="preserve">suku</w:t>
      </w:r>
      <w:r>
        <w:t xml:space="preserve"> </w:t>
      </w:r>
      <w:r>
        <w:t xml:space="preserve">bunga</w:t>
      </w:r>
      <w:r>
        <w:t xml:space="preserve"> </w:t>
      </w:r>
      <w:r>
        <w:t xml:space="preserve">di</w:t>
      </w:r>
      <w:r>
        <w:t xml:space="preserve"> </w:t>
      </w:r>
      <w:r>
        <w:t xml:space="preserve">kisaran</w:t>
      </w:r>
      <w:r>
        <w:t xml:space="preserve"> </w:t>
      </w:r>
      <w:r>
        <w:t xml:space="preserve">6,7%.</w:t>
      </w:r>
      <w:r>
        <w:t xml:space="preserve"> </w:t>
      </w:r>
      <w:r>
        <w:t xml:space="preserve">Akan</w:t>
      </w:r>
      <w:r>
        <w:t xml:space="preserve"> </w:t>
      </w:r>
      <w:r>
        <w:t xml:space="preserve">tetapi,</w:t>
      </w:r>
      <w:r>
        <w:t xml:space="preserve"> </w:t>
      </w:r>
      <w:r>
        <w:t xml:space="preserve">situasi</w:t>
      </w:r>
      <w:r>
        <w:t xml:space="preserve"> </w:t>
      </w:r>
      <w:r>
        <w:t xml:space="preserve">global</w:t>
      </w:r>
      <w:r>
        <w:t xml:space="preserve"> </w:t>
      </w:r>
      <w:r>
        <w:t xml:space="preserve">menunjukkan</w:t>
      </w:r>
      <w:r>
        <w:t xml:space="preserve"> </w:t>
      </w:r>
      <w:r>
        <w:t xml:space="preserve">adanya</w:t>
      </w:r>
      <w:r>
        <w:t xml:space="preserve"> </w:t>
      </w:r>
      <w:r>
        <w:t xml:space="preserve">kemungkinan</w:t>
      </w:r>
      <w:r>
        <w:t xml:space="preserve"> </w:t>
      </w:r>
      <w:r>
        <w:t xml:space="preserve">suku</w:t>
      </w:r>
      <w:r>
        <w:t xml:space="preserve"> </w:t>
      </w:r>
      <w:r>
        <w:t xml:space="preserve">bunga</w:t>
      </w:r>
      <w:r>
        <w:t xml:space="preserve"> </w:t>
      </w:r>
      <w:r>
        <w:t xml:space="preserve">internasional</w:t>
      </w:r>
      <w:r>
        <w:t xml:space="preserve"> </w:t>
      </w:r>
      <w:r>
        <w:t xml:space="preserve">yang</w:t>
      </w:r>
      <w:r>
        <w:t xml:space="preserve"> </w:t>
      </w:r>
      <w:r>
        <w:t xml:space="preserve">tetap</w:t>
      </w:r>
      <w:r>
        <w:t xml:space="preserve"> </w:t>
      </w:r>
      <w:r>
        <w:t xml:space="preserve">tinggi</w:t>
      </w:r>
      <w:r>
        <w:t xml:space="preserve"> </w:t>
      </w:r>
      <w:r>
        <w:t xml:space="preserve">untuk</w:t>
      </w:r>
      <w:r>
        <w:t xml:space="preserve"> </w:t>
      </w:r>
      <w:r>
        <w:t xml:space="preserve">waktu</w:t>
      </w:r>
      <w:r>
        <w:t xml:space="preserve"> </w:t>
      </w:r>
      <w:r>
        <w:t xml:space="preserve">yang</w:t>
      </w:r>
      <w:r>
        <w:t xml:space="preserve"> </w:t>
      </w:r>
      <w:r>
        <w:t xml:space="preserve">lama</w:t>
      </w:r>
      <w:r>
        <w:t xml:space="preserve"> </w:t>
      </w:r>
      <w:r>
        <w:t xml:space="preserve">(</w:t>
      </w:r>
      <w:r>
        <w:rPr>
          <w:iCs/>
          <w:i/>
        </w:rPr>
        <w:t xml:space="preserve">higher</w:t>
      </w:r>
      <w:r>
        <w:rPr>
          <w:iCs/>
          <w:i/>
        </w:rPr>
        <w:t xml:space="preserve"> </w:t>
      </w:r>
      <w:r>
        <w:rPr>
          <w:iCs/>
          <w:i/>
        </w:rPr>
        <w:t xml:space="preserve">for</w:t>
      </w:r>
      <w:r>
        <w:rPr>
          <w:iCs/>
          <w:i/>
        </w:rPr>
        <w:t xml:space="preserve"> </w:t>
      </w:r>
      <w:r>
        <w:rPr>
          <w:iCs/>
          <w:i/>
        </w:rPr>
        <w:t xml:space="preserve">longer</w:t>
      </w:r>
      <w:r>
        <w:t xml:space="preserve">).</w:t>
      </w:r>
      <w:r>
        <w:t xml:space="preserve"> </w:t>
      </w:r>
      <w:r>
        <w:t xml:space="preserve">Di</w:t>
      </w:r>
      <w:r>
        <w:t xml:space="preserve"> </w:t>
      </w:r>
      <w:r>
        <w:t xml:space="preserve">samping</w:t>
      </w:r>
      <w:r>
        <w:t xml:space="preserve"> </w:t>
      </w:r>
      <w:r>
        <w:t xml:space="preserve">itu,</w:t>
      </w:r>
      <w:r>
        <w:t xml:space="preserve"> </w:t>
      </w:r>
      <w:r>
        <w:t xml:space="preserve">kemungkinan</w:t>
      </w:r>
      <w:r>
        <w:t xml:space="preserve"> </w:t>
      </w:r>
      <w:r>
        <w:t xml:space="preserve">adanya</w:t>
      </w:r>
      <w:r>
        <w:t xml:space="preserve"> </w:t>
      </w:r>
      <w:r>
        <w:t xml:space="preserve">tekanan</w:t>
      </w:r>
      <w:r>
        <w:t xml:space="preserve"> </w:t>
      </w:r>
      <w:r>
        <w:t xml:space="preserve">harga</w:t>
      </w:r>
      <w:r>
        <w:t xml:space="preserve"> </w:t>
      </w:r>
      <w:r>
        <w:t xml:space="preserve">minyak</w:t>
      </w:r>
      <w:r>
        <w:t xml:space="preserve"> </w:t>
      </w:r>
      <w:r>
        <w:t xml:space="preserve">internasional</w:t>
      </w:r>
      <w:r>
        <w:t xml:space="preserve"> </w:t>
      </w:r>
      <w:r>
        <w:t xml:space="preserve">akibat</w:t>
      </w:r>
      <w:r>
        <w:t xml:space="preserve"> </w:t>
      </w:r>
      <w:r>
        <w:t xml:space="preserve">OPEC</w:t>
      </w:r>
      <w:r>
        <w:t xml:space="preserve"> </w:t>
      </w:r>
      <w:r>
        <w:t xml:space="preserve">yang</w:t>
      </w:r>
      <w:r>
        <w:t xml:space="preserve"> </w:t>
      </w:r>
      <w:r>
        <w:t xml:space="preserve">masih</w:t>
      </w:r>
      <w:r>
        <w:t xml:space="preserve"> </w:t>
      </w:r>
      <w:r>
        <w:t xml:space="preserve">menahan</w:t>
      </w:r>
      <w:r>
        <w:t xml:space="preserve"> </w:t>
      </w:r>
      <w:r>
        <w:t xml:space="preserve">produksi</w:t>
      </w:r>
      <w:r>
        <w:t xml:space="preserve"> </w:t>
      </w:r>
      <w:r>
        <w:t xml:space="preserve">juga</w:t>
      </w:r>
      <w:r>
        <w:t xml:space="preserve"> </w:t>
      </w:r>
      <w:r>
        <w:t xml:space="preserve">dapat</w:t>
      </w:r>
      <w:r>
        <w:t xml:space="preserve"> </w:t>
      </w:r>
      <w:r>
        <w:t xml:space="preserve">berdampak</w:t>
      </w:r>
      <w:r>
        <w:t xml:space="preserve"> </w:t>
      </w:r>
      <w:r>
        <w:t xml:space="preserve">pada</w:t>
      </w:r>
      <w:r>
        <w:t xml:space="preserve"> </w:t>
      </w:r>
      <w:r>
        <w:t xml:space="preserve">pasar</w:t>
      </w:r>
      <w:r>
        <w:t xml:space="preserve"> </w:t>
      </w:r>
      <w:r>
        <w:t xml:space="preserve">minyak</w:t>
      </w:r>
      <w:r>
        <w:t xml:space="preserve"> </w:t>
      </w:r>
      <w:r>
        <w:t xml:space="preserve">bumi</w:t>
      </w:r>
      <w:r>
        <w:t xml:space="preserve"> </w:t>
      </w:r>
      <w:r>
        <w:t xml:space="preserve">di</w:t>
      </w:r>
      <w:r>
        <w:t xml:space="preserve"> </w:t>
      </w:r>
      <w:r>
        <w:t xml:space="preserve">dalam</w:t>
      </w:r>
      <w:r>
        <w:t xml:space="preserve"> </w:t>
      </w:r>
      <w:r>
        <w:t xml:space="preserve">negeri.</w:t>
      </w:r>
      <w:r>
        <w:t xml:space="preserve"> </w:t>
      </w:r>
      <w:r>
        <w:t xml:space="preserve">Mengingat</w:t>
      </w:r>
      <w:r>
        <w:t xml:space="preserve"> </w:t>
      </w:r>
      <w:r>
        <w:t xml:space="preserve">Indonesia</w:t>
      </w:r>
      <w:r>
        <w:t xml:space="preserve"> </w:t>
      </w:r>
      <w:r>
        <w:t xml:space="preserve">saat</w:t>
      </w:r>
      <w:r>
        <w:t xml:space="preserve"> </w:t>
      </w:r>
      <w:r>
        <w:t xml:space="preserve">ini</w:t>
      </w:r>
      <w:r>
        <w:t xml:space="preserve"> </w:t>
      </w:r>
      <w:r>
        <w:rPr>
          <w:iCs/>
          <w:i/>
        </w:rPr>
        <w:t xml:space="preserve">net</w:t>
      </w:r>
      <w:r>
        <w:rPr>
          <w:iCs/>
          <w:i/>
        </w:rPr>
        <w:t xml:space="preserve"> </w:t>
      </w:r>
      <w:r>
        <w:rPr>
          <w:iCs/>
          <w:i/>
        </w:rPr>
        <w:t xml:space="preserve">importer</w:t>
      </w:r>
      <w:r>
        <w:t xml:space="preserve">,</w:t>
      </w:r>
      <w:r>
        <w:t xml:space="preserve"> </w:t>
      </w:r>
      <w:r>
        <w:t xml:space="preserve">maka</w:t>
      </w:r>
      <w:r>
        <w:t xml:space="preserve"> </w:t>
      </w:r>
      <w:r>
        <w:t xml:space="preserve">akan</w:t>
      </w:r>
      <w:r>
        <w:t xml:space="preserve"> </w:t>
      </w:r>
      <w:r>
        <w:t xml:space="preserve">sangat</w:t>
      </w:r>
      <w:r>
        <w:t xml:space="preserve"> </w:t>
      </w:r>
      <w:r>
        <w:t xml:space="preserve">penting</w:t>
      </w:r>
      <w:r>
        <w:t xml:space="preserve"> </w:t>
      </w:r>
      <w:r>
        <w:t xml:space="preserve">menjaga</w:t>
      </w:r>
      <w:r>
        <w:t xml:space="preserve"> </w:t>
      </w:r>
      <w:r>
        <w:t xml:space="preserve">nilai</w:t>
      </w:r>
      <w:r>
        <w:t xml:space="preserve"> </w:t>
      </w:r>
      <w:r>
        <w:t xml:space="preserve">tukar</w:t>
      </w:r>
      <w:r>
        <w:t xml:space="preserve"> </w:t>
      </w:r>
      <w:r>
        <w:t xml:space="preserve">dari</w:t>
      </w:r>
      <w:r>
        <w:t xml:space="preserve"> </w:t>
      </w:r>
      <w:r>
        <w:t xml:space="preserve">ketidakpastian</w:t>
      </w:r>
      <w:r>
        <w:t xml:space="preserve"> </w:t>
      </w:r>
      <w:r>
        <w:t xml:space="preserve">global.</w:t>
      </w:r>
    </w:p>
    <w:bookmarkStart w:id="21" w:name="asumsi-apbn-2024"/>
    <w:p>
      <w:pPr>
        <w:pStyle w:val="Heading2"/>
      </w:pPr>
      <w:r>
        <w:t xml:space="preserve">Asumsi APBN 2024</w:t>
      </w:r>
    </w:p>
    <w:p>
      <w:pPr>
        <w:pStyle w:val="FirstParagraph"/>
      </w:pPr>
      <w:r>
        <w:t xml:space="preserve">Indonesia telah menentukan asumsi dasar APBN 2024</w:t>
      </w:r>
      <w:r>
        <w:t xml:space="preserve"> </w:t>
      </w:r>
      <w:r>
        <w:t xml:space="preserve">(Kementerian Keuangan 2023)</w:t>
      </w:r>
      <w:r>
        <w:t xml:space="preserve"> </w:t>
      </w:r>
      <w:r>
        <w:t xml:space="preserve">seperti dapat dilihat pada</w:t>
      </w:r>
      <w:r>
        <w:t xml:space="preserve"> </w:t>
      </w:r>
      <w:hyperlink w:anchor="tbl-1">
        <w:r>
          <w:rPr>
            <w:rStyle w:val="Hyperlink"/>
          </w:rPr>
          <w:t xml:space="preserve">Table 1</w:t>
        </w:r>
      </w:hyperlink>
      <w:r>
        <w:t xml:space="preserve">. Beberapa nilai di asumsi ini nampak turun dibandingkan tahun sebelumnya di tahun 2023 dan 2022</w:t>
      </w:r>
      <w:r>
        <w:t xml:space="preserve"> </w:t>
      </w:r>
      <w:r>
        <w:t xml:space="preserve">(Santia 2022)</w:t>
      </w:r>
      <w:r>
        <w:t xml:space="preserve">. Pemerintah sepertinya mengasumsikan bahwa inflasi dan suku bunga tahun ini akan lebih rendah dibanding tahun-tahun sebelumnya, dengan harga minyak dunia yang juga turun. Apakah ini asumsi yang cukup tepat? Bagaimana implikasi dari deviasi asumsi-asumsi ini?</w:t>
      </w:r>
    </w:p>
    <w:bookmarkStart w:id="20" w:name="tbl-1"/>
    <w:p>
      <w:pPr>
        <w:pStyle w:val="TableCaption"/>
      </w:pPr>
      <w:r>
        <w:t xml:space="preserve">Table 1: Asumsi makroekonomi APBN 2024</w:t>
      </w:r>
    </w:p>
    <w:tbl>
      <w:tblPr>
        <w:tblStyle w:val="Table"/>
        <w:tblW w:type="auto" w:w="0"/>
        <w:tblLook w:firstRow="1" w:lastRow="0" w:firstColumn="0" w:lastColumn="0" w:noHBand="0" w:noVBand="0" w:val="0020"/>
        <w:jc w:val="start"/>
        <w:tblCaption w:val="Table 1: Asumsi makroekonomi APBN 2024"/>
      </w:tblPr>
      <w:tblGrid>
        <w:gridCol w:w="2640"/>
        <w:gridCol w:w="2640"/>
        <w:gridCol w:w="2640"/>
      </w:tblGrid>
      <w:tr>
        <w:trPr>
          <w:tblHeader w:val="true"/>
        </w:trPr>
        <w:tc>
          <w:tcPr/>
          <w:p>
            <w:pPr>
              <w:pStyle w:val="Compact"/>
              <w:jc w:val="left"/>
            </w:pPr>
            <w:r>
              <w:t xml:space="preserve">Indikator</w:t>
            </w:r>
          </w:p>
        </w:tc>
        <w:tc>
          <w:tcPr/>
          <w:p>
            <w:pPr>
              <w:pStyle w:val="Compact"/>
              <w:jc w:val="left"/>
            </w:pPr>
            <w:r>
              <w:t xml:space="preserve">Nilai</w:t>
            </w:r>
          </w:p>
        </w:tc>
        <w:tc>
          <w:tcPr/>
          <w:p>
            <w:pPr>
              <w:pStyle w:val="Compact"/>
              <w:jc w:val="left"/>
            </w:pPr>
            <w:r>
              <w:t xml:space="preserve">Satuan</w:t>
            </w:r>
          </w:p>
        </w:tc>
      </w:tr>
      <w:tr>
        <w:tc>
          <w:tcPr/>
          <w:p>
            <w:pPr>
              <w:pStyle w:val="Compact"/>
              <w:jc w:val="left"/>
            </w:pPr>
            <w:r>
              <w:t xml:space="preserve">Pertumbuhan ekonomi</w:t>
            </w:r>
          </w:p>
        </w:tc>
        <w:tc>
          <w:tcPr/>
          <w:p>
            <w:pPr>
              <w:pStyle w:val="Compact"/>
              <w:jc w:val="left"/>
            </w:pPr>
            <w:r>
              <w:t xml:space="preserve">5,2</w:t>
            </w:r>
          </w:p>
        </w:tc>
        <w:tc>
          <w:tcPr/>
          <w:p>
            <w:pPr>
              <w:pStyle w:val="Compact"/>
              <w:jc w:val="left"/>
            </w:pPr>
            <w:r>
              <w:t xml:space="preserve">%</w:t>
            </w:r>
          </w:p>
        </w:tc>
      </w:tr>
      <w:tr>
        <w:tc>
          <w:tcPr/>
          <w:p>
            <w:pPr>
              <w:pStyle w:val="Compact"/>
              <w:jc w:val="left"/>
            </w:pPr>
            <w:r>
              <w:t xml:space="preserve">Inflasi</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Nilai tukar rupiah</w:t>
            </w:r>
          </w:p>
        </w:tc>
        <w:tc>
          <w:tcPr/>
          <w:p>
            <w:pPr>
              <w:pStyle w:val="Compact"/>
              <w:jc w:val="left"/>
            </w:pPr>
            <w:r>
              <w:t xml:space="preserve">15.000</w:t>
            </w:r>
          </w:p>
        </w:tc>
        <w:tc>
          <w:tcPr/>
          <w:p>
            <w:pPr>
              <w:pStyle w:val="Compact"/>
              <w:jc w:val="left"/>
            </w:pPr>
            <w:r>
              <w:t xml:space="preserve">US$</w:t>
            </w:r>
          </w:p>
        </w:tc>
      </w:tr>
      <w:tr>
        <w:tc>
          <w:tcPr/>
          <w:p>
            <w:pPr>
              <w:pStyle w:val="Compact"/>
              <w:jc w:val="left"/>
            </w:pPr>
            <w:r>
              <w:t xml:space="preserve">Suku bunga SBN 10 tahun</w:t>
            </w:r>
          </w:p>
        </w:tc>
        <w:tc>
          <w:tcPr/>
          <w:p>
            <w:pPr>
              <w:pStyle w:val="Compact"/>
              <w:jc w:val="left"/>
            </w:pPr>
            <w:r>
              <w:t xml:space="preserve">6,7</w:t>
            </w:r>
          </w:p>
        </w:tc>
        <w:tc>
          <w:tcPr/>
          <w:p>
            <w:pPr>
              <w:pStyle w:val="Compact"/>
              <w:jc w:val="left"/>
            </w:pPr>
            <w:r>
              <w:t xml:space="preserve">%</w:t>
            </w:r>
          </w:p>
        </w:tc>
      </w:tr>
      <w:tr>
        <w:tc>
          <w:tcPr/>
          <w:p>
            <w:pPr>
              <w:pStyle w:val="Compact"/>
              <w:jc w:val="left"/>
            </w:pPr>
            <w:r>
              <w:t xml:space="preserve">ICP</w:t>
            </w:r>
          </w:p>
        </w:tc>
        <w:tc>
          <w:tcPr/>
          <w:p>
            <w:pPr>
              <w:pStyle w:val="Compact"/>
              <w:jc w:val="left"/>
            </w:pPr>
            <w:r>
              <w:t xml:space="preserve">82</w:t>
            </w:r>
          </w:p>
        </w:tc>
        <w:tc>
          <w:tcPr/>
          <w:p>
            <w:pPr>
              <w:pStyle w:val="Compact"/>
              <w:jc w:val="left"/>
            </w:pPr>
            <w:r>
              <w:t xml:space="preserve">US$/barel</w:t>
            </w:r>
          </w:p>
        </w:tc>
      </w:tr>
    </w:tbl>
    <w:bookmarkEnd w:id="20"/>
    <w:bookmarkEnd w:id="21"/>
    <w:bookmarkStart w:id="31" w:name="harga-minyak"/>
    <w:p>
      <w:pPr>
        <w:pStyle w:val="Heading2"/>
      </w:pPr>
      <w:r>
        <w:t xml:space="preserve">Harga minyak</w:t>
      </w:r>
    </w:p>
    <w:p>
      <w:pPr>
        <w:pStyle w:val="FirstParagraph"/>
      </w:pPr>
      <w:r>
        <w:t xml:space="preserve">Harga minyak merupakan indikator yang paling relevan bagi Direktorat Jenderal Minyak dan Gas (Ditjen Migas). Karena Indonesia merupakan net importir minyak bumi, harga internasional menjadi semakin relevan, tidak seperti batubara yang dapat direkayasa dengan kebijakan perdagangan seperti</w:t>
      </w:r>
      <w:r>
        <w:t xml:space="preserve"> </w:t>
      </w:r>
      <w:r>
        <w:rPr>
          <w:iCs/>
          <w:i/>
        </w:rPr>
        <w:t xml:space="preserve">Domestic Market Obligation</w:t>
      </w:r>
      <w:r>
        <w:t xml:space="preserve"> </w:t>
      </w:r>
      <w:r>
        <w:t xml:space="preserve">(DMO). Harga minyak dunia</w:t>
      </w:r>
      <w:r>
        <w:t xml:space="preserve"> </w:t>
      </w:r>
      <w:r>
        <w:t xml:space="preserve">(FRED 2023)</w:t>
      </w:r>
      <w:r>
        <w:t xml:space="preserve"> </w:t>
      </w:r>
      <w:r>
        <w:t xml:space="preserve">dan produksi OPEC</w:t>
      </w:r>
      <w:r>
        <w:t xml:space="preserve"> </w:t>
      </w:r>
      <w:r>
        <w:t xml:space="preserve">(ycharts.com 2023)</w:t>
      </w:r>
      <w:r>
        <w:t xml:space="preserve">, organisasi penghasil minyak terbesar, dapat dilihat di</w:t>
      </w:r>
      <w:r>
        <w:t xml:space="preserve"> </w:t>
      </w:r>
      <w:hyperlink w:anchor="fig-oil">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30" w:name="fig-oil"/>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5" w:name="fig-oil-1"/>
                      <w:p>
                        <w:pPr>
                          <w:jc w:val="center"/>
                          <w:jc w:val="center"/>
                          <w:jc w:val="center"/>
                        </w:pPr>
                        <w:r>
                          <w:drawing>
                            <wp:inline>
                              <wp:extent cx="2971800" cy="2377440"/>
                              <wp:effectExtent b="0" l="0" r="0" t="0"/>
                              <wp:docPr descr="" title="" id="23" name="Picture"/>
                              <a:graphic>
                                <a:graphicData uri="http://schemas.openxmlformats.org/drawingml/2006/picture">
                                  <pic:pic>
                                    <pic:nvPicPr>
                                      <pic:cNvPr descr="index_files/figure-docx/fig-oil-1.png" id="24" name="Picture"/>
                                      <pic:cNvPicPr>
                                        <a:picLocks noChangeArrowheads="1" noChangeAspect="1"/>
                                      </pic:cNvPicPr>
                                    </pic:nvPicPr>
                                    <pic:blipFill>
                                      <a:blip r:embed="rId2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crude oil OPEC (M/bbl/d)</w:t>
                        </w:r>
                      </w:p>
                      <w:bookmarkEnd w:id="25"/>
                    </w:tc>
                  </w:tr>
                </w:tbl>
                <w:p/>
              </w:tc>
              <w:tc>
                <w:tcPr/>
                <w:tbl>
                  <w:tblPr>
                    <w:tblStyle w:val="Table"/>
                    <w:tblW w:type="pct" w:w="5000"/>
                    <w:tblLook w:firstRow="0" w:lastRow="0" w:firstColumn="0" w:lastColumn="0" w:noHBand="0" w:noVBand="0" w:val="0000"/>
                    <w:jc w:val="start"/>
                  </w:tblPr>
                  <w:tblGrid>
                    <w:gridCol w:w="7920"/>
                  </w:tblGrid>
                  <w:tr>
                    <w:tc>
                      <w:tcPr/>
                      <w:bookmarkStart w:id="29" w:name="fig-oil-2"/>
                      <w:p>
                        <w:pPr>
                          <w:jc w:val="center"/>
                          <w:jc w:val="center"/>
                          <w:jc w:val="center"/>
                        </w:pPr>
                        <w:r>
                          <w:drawing>
                            <wp:inline>
                              <wp:extent cx="2971800" cy="2377440"/>
                              <wp:effectExtent b="0" l="0" r="0" t="0"/>
                              <wp:docPr descr="" title="" id="27" name="Picture"/>
                              <a:graphic>
                                <a:graphicData uri="http://schemas.openxmlformats.org/drawingml/2006/picture">
                                  <pic:pic>
                                    <pic:nvPicPr>
                                      <pic:cNvPr descr="index_files/figure-docx/fig-oil-2.png" id="28" name="Picture"/>
                                      <pic:cNvPicPr>
                                        <a:picLocks noChangeArrowheads="1" noChangeAspect="1"/>
                                      </pic:cNvPicPr>
                                    </pic:nvPicPr>
                                    <pic:blipFill>
                                      <a:blip r:embed="rId2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minyak WTI (USD/bbl)</w:t>
                        </w:r>
                      </w:p>
                      <w:bookmarkEnd w:id="29"/>
                    </w:tc>
                  </w:tr>
                </w:tbl>
                <w:p/>
              </w:tc>
            </w:tr>
          </w:tbl>
          <w:p>
            <w:pPr>
              <w:jc w:val="center"/>
            </w:pPr>
            <w:pPr>
              <w:jc w:val="start"/>
              <w:spacing w:before="200"/>
              <w:pStyle w:val="ImageCaption"/>
            </w:pPr>
            <w:pPr>
              <w:spacing w:before="200"/>
              <w:pStyle w:val="ImageCaption"/>
            </w:pPr>
            <w:r>
              <w:t xml:space="preserve">Figure 1: Kondisi minyak bumi di pasar global</w:t>
            </w:r>
          </w:p>
          <w:bookmarkEnd w:id="30"/>
        </w:tc>
      </w:tr>
    </w:tbl>
    <w:p>
      <w:pPr>
        <w:pStyle w:val="BodyText"/>
      </w:pPr>
      <w:hyperlink w:anchor="fig-oil-1">
        <w:r>
          <w:rPr>
            <w:rStyle w:val="Hyperlink"/>
          </w:rPr>
          <w:t xml:space="preserve">Figure 1 (a)</w:t>
        </w:r>
      </w:hyperlink>
      <w:r>
        <w:t xml:space="preserve"> </w:t>
      </w:r>
      <w:r>
        <w:t xml:space="preserve">menunjukkan adanya tren kenaikan produksi dari negara-negara OPEC. Tren produksi minyak OPEC berkurang ketika COVID-19 masih merajalela, kemungkinan akibat lemahnya permintaan akibat</w:t>
      </w:r>
      <w:r>
        <w:t xml:space="preserve"> </w:t>
      </w:r>
      <w:r>
        <w:rPr>
          <w:iCs/>
          <w:i/>
        </w:rPr>
        <w:t xml:space="preserve">lockdown</w:t>
      </w:r>
      <w:r>
        <w:t xml:space="preserve">. Peningkatan produksi perlahan terjadi dan menukik cukup tajam tidak lama setelah perang Rusia-Ukraina terjadi. Peningkatan produksi tersebut sudah mencapai tren 2019, namun tampak berhenti bahkan cenderung menurun di pertengahan 2023.</w:t>
      </w:r>
    </w:p>
    <w:p>
      <w:pPr>
        <w:pStyle w:val="BodyText"/>
      </w:pPr>
      <w:hyperlink w:anchor="fig-oil-2">
        <w:r>
          <w:rPr>
            <w:rStyle w:val="Hyperlink"/>
          </w:rPr>
          <w:t xml:space="preserve">Figure 1 (b)</w:t>
        </w:r>
      </w:hyperlink>
      <w:r>
        <w:t xml:space="preserve"> </w:t>
      </w:r>
      <w:r>
        <w:t xml:space="preserve">menunjukkan tren harga yang serupa. Akan tetapi, harga minyak WTI terus menanjak dan sudah tembus 110 USD/barrel pada bulan Mei 2022. Namun, tren ini kembali menurun dan stagnan tak lama kemudian. Akhir-akhir ini, harga minyak kembali naik ke level yang sesuai dengan asumsi APBN. Meski demikian, OPEC masih berenacan untuk menahan produksi untuk mengerek naik harga minyak</w:t>
      </w:r>
      <w:r>
        <w:t xml:space="preserve"> </w:t>
      </w:r>
      <w:r>
        <w:t xml:space="preserve">(Seba 2023)</w:t>
      </w:r>
      <w:r>
        <w:t xml:space="preserve">. Karena itu pemerintah harus waspada.</w:t>
      </w:r>
    </w:p>
    <w:bookmarkEnd w:id="31"/>
    <w:bookmarkStart w:id="41" w:name="inflasi-global"/>
    <w:p>
      <w:pPr>
        <w:pStyle w:val="Heading2"/>
      </w:pPr>
      <w:r>
        <w:t xml:space="preserve">Inflasi global</w:t>
      </w:r>
    </w:p>
    <w:p>
      <w:pPr>
        <w:pStyle w:val="FirstParagraph"/>
      </w:pPr>
      <w:r>
        <w:t xml:space="preserve">Inflasi global masih menjadi ancaman yang cukup pelik mengingat terjadinya krisis baru di Timur Tengah. Bank Sentral Amerika Serikat telah mengumumkan meski mereka mungkin akan menahan tingkat suku bunga di level tinggi seperti saat ini namun untuk waktu yang panjang</w:t>
      </w:r>
      <w:r>
        <w:t xml:space="preserve"> </w:t>
      </w:r>
      <w:r>
        <w:t xml:space="preserve">(Elena 2023)</w:t>
      </w:r>
      <w:r>
        <w:t xml:space="preserve">. Hal ini membuat Indonesia harus waspada, karena jika tingkat suku bunga masih akan tinggi, maka hal ini akan membuat Bank Indonesia (BI) harus memilih antara mempertahankan rupiah dengan cara melepas devisa atau dengan cara menaikkan suku bunga, atau bahkan membiarkan rupiah melemah.</w:t>
      </w:r>
    </w:p>
    <w:tbl>
      <w:tblPr>
        <w:tblStyle w:val="Table"/>
        <w:tblW w:type="pct" w:w="5000"/>
        <w:tblLook w:firstRow="0" w:lastRow="0" w:firstColumn="0" w:lastColumn="0" w:noHBand="0" w:noVBand="0" w:val="0000"/>
        <w:jc w:val="start"/>
      </w:tblPr>
      <w:tblGrid>
        <w:gridCol w:w="7920"/>
      </w:tblGrid>
      <w:tr>
        <w:tc>
          <w:tcPr/>
          <w:bookmarkStart w:id="40" w:name="fig-rate"/>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5" w:name="fig-rate-1"/>
                      <w:p>
                        <w:pPr>
                          <w:jc w:val="center"/>
                          <w:jc w:val="center"/>
                          <w:jc w:val="center"/>
                        </w:pPr>
                        <w:r>
                          <w:drawing>
                            <wp:inline>
                              <wp:extent cx="2971800" cy="2377440"/>
                              <wp:effectExtent b="0" l="0" r="0" t="0"/>
                              <wp:docPr descr="" title="" id="33" name="Picture"/>
                              <a:graphic>
                                <a:graphicData uri="http://schemas.openxmlformats.org/drawingml/2006/picture">
                                  <pic:pic>
                                    <pic:nvPicPr>
                                      <pic:cNvPr descr="index_files/figure-docx/fig-rate-1.png" id="34" name="Picture"/>
                                      <pic:cNvPicPr>
                                        <a:picLocks noChangeArrowheads="1" noChangeAspect="1"/>
                                      </pic:cNvPicPr>
                                    </pic:nvPicPr>
                                    <pic:blipFill>
                                      <a:blip r:embed="rId3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Tingkat suku bunga beberapa negara (%)</w:t>
                        </w:r>
                      </w:p>
                      <w:bookmarkEnd w:id="35"/>
                    </w:tc>
                  </w:tr>
                </w:tbl>
                <w:p/>
              </w:tc>
              <w:tc>
                <w:tcPr/>
                <w:tbl>
                  <w:tblPr>
                    <w:tblStyle w:val="Table"/>
                    <w:tblW w:type="pct" w:w="5000"/>
                    <w:tblLook w:firstRow="0" w:lastRow="0" w:firstColumn="0" w:lastColumn="0" w:noHBand="0" w:noVBand="0" w:val="0000"/>
                    <w:jc w:val="start"/>
                  </w:tblPr>
                  <w:tblGrid>
                    <w:gridCol w:w="7920"/>
                  </w:tblGrid>
                  <w:tr>
                    <w:tc>
                      <w:tcPr/>
                      <w:bookmarkStart w:id="39" w:name="fig-rate-2"/>
                      <w:p>
                        <w:pPr>
                          <w:jc w:val="center"/>
                          <w:jc w:val="center"/>
                          <w:jc w:val="center"/>
                        </w:pPr>
                        <w:r>
                          <w:drawing>
                            <wp:inline>
                              <wp:extent cx="2971800" cy="2377440"/>
                              <wp:effectExtent b="0" l="0" r="0" t="0"/>
                              <wp:docPr descr="" title="" id="37" name="Picture"/>
                              <a:graphic>
                                <a:graphicData uri="http://schemas.openxmlformats.org/drawingml/2006/picture">
                                  <pic:pic>
                                    <pic:nvPicPr>
                                      <pic:cNvPr descr="index_files/figure-docx/fig-rate-2.png" id="38" name="Picture"/>
                                      <pic:cNvPicPr>
                                        <a:picLocks noChangeArrowheads="1" noChangeAspect="1"/>
                                      </pic:cNvPicPr>
                                    </pic:nvPicPr>
                                    <pic:blipFill>
                                      <a:blip r:embed="rId3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Nilai tukar rupiah terhadap US$ (Rp/US$)</w:t>
                        </w:r>
                      </w:p>
                      <w:bookmarkEnd w:id="39"/>
                    </w:tc>
                  </w:tr>
                </w:tbl>
                <w:p/>
              </w:tc>
            </w:tr>
          </w:tbl>
          <w:p>
            <w:pPr>
              <w:jc w:val="center"/>
            </w:pPr>
            <w:pPr>
              <w:jc w:val="start"/>
              <w:spacing w:before="200"/>
              <w:pStyle w:val="ImageCaption"/>
            </w:pPr>
            <w:pPr>
              <w:spacing w:before="200"/>
              <w:pStyle w:val="ImageCaption"/>
            </w:pPr>
            <w:r>
              <w:t xml:space="preserve">Figure 2: Tingkat suku bunga dan mata uang rupiah</w:t>
            </w:r>
          </w:p>
          <w:bookmarkEnd w:id="40"/>
        </w:tc>
      </w:tr>
    </w:tbl>
    <w:p>
      <w:pPr>
        <w:pStyle w:val="BodyText"/>
      </w:pPr>
      <w:r>
        <w:t xml:space="preserve">Sumber data pada</w:t>
      </w:r>
      <w:r>
        <w:t xml:space="preserve"> </w:t>
      </w:r>
      <w:hyperlink w:anchor="fig-rate">
        <w:r>
          <w:rPr>
            <w:rStyle w:val="Hyperlink"/>
          </w:rPr>
          <w:t xml:space="preserve">Figure 2</w:t>
        </w:r>
      </w:hyperlink>
      <w:r>
        <w:t xml:space="preserve"> </w:t>
      </w:r>
      <w:r>
        <w:t xml:space="preserve">adalah dari</w:t>
      </w:r>
      <w:r>
        <w:t xml:space="preserve"> </w:t>
      </w:r>
      <w:r>
        <w:t xml:space="preserve">Bank Indonesia (2023)</w:t>
      </w:r>
      <w:r>
        <w:t xml:space="preserve">.</w:t>
      </w:r>
      <w:r>
        <w:t xml:space="preserve"> </w:t>
      </w:r>
      <w:hyperlink w:anchor="fig-rate-1">
        <w:r>
          <w:rPr>
            <w:rStyle w:val="Hyperlink"/>
          </w:rPr>
          <w:t xml:space="preserve">Figure 2 (a)</w:t>
        </w:r>
      </w:hyperlink>
      <w:r>
        <w:t xml:space="preserve"> </w:t>
      </w:r>
      <w:r>
        <w:t xml:space="preserve">menunjukkan tingginya</w:t>
      </w:r>
      <w:r>
        <w:t xml:space="preserve"> </w:t>
      </w:r>
      <w:r>
        <w:rPr>
          <w:iCs/>
          <w:i/>
        </w:rPr>
        <w:t xml:space="preserve">policy rate</w:t>
      </w:r>
      <w:r>
        <w:t xml:space="preserve"> </w:t>
      </w:r>
      <w:r>
        <w:t xml:space="preserve">dari negara-negara barat. Hal ini diakibatkan oleh tingginya inflasi di jangka waktu tersebut sehingga bank sentral di negara-negara tersebut harus menaikkan suku bunga. Bank Indonesia pun akhirnya harus mengikuti demi mencegah larinya pemegang aset Rupiah ke negara-negara tersebut, yang dapat mendorong pelemahan nilai tukar rupiah.</w:t>
      </w:r>
    </w:p>
    <w:p>
      <w:pPr>
        <w:pStyle w:val="BodyText"/>
      </w:pPr>
      <w:r>
        <w:t xml:space="preserve">Dapat dilihat pada</w:t>
      </w:r>
      <w:r>
        <w:t xml:space="preserve"> </w:t>
      </w:r>
      <w:hyperlink w:anchor="fig-rate-2">
        <w:r>
          <w:rPr>
            <w:rStyle w:val="Hyperlink"/>
          </w:rPr>
          <w:t xml:space="preserve">Figure 2 (b)</w:t>
        </w:r>
      </w:hyperlink>
      <w:r>
        <w:t xml:space="preserve"> </w:t>
      </w:r>
      <w:r>
        <w:t xml:space="preserve">bahwa nilai tukar rupiah cenderung melemah di sekitar jangka waktu yang sama seiring dengan peningkatan suku bunga dari bank sentral negara barat. Meskipun rupiah sempat kembali menguat di awal tahun 2023, namun berita</w:t>
      </w:r>
      <w:r>
        <w:t xml:space="preserve"> </w:t>
      </w:r>
      <w:r>
        <w:t xml:space="preserve">“</w:t>
      </w:r>
      <w:r>
        <w:t xml:space="preserve">higher for longer</w:t>
      </w:r>
      <w:r>
        <w:t xml:space="preserve">”</w:t>
      </w:r>
      <w:r>
        <w:t xml:space="preserve"> </w:t>
      </w:r>
      <w:r>
        <w:t xml:space="preserve">kembali membuat investor menahan aset dolar lebih lama. BI pun harus mengikuti kenaikan ini, seperti terlihat dari naiknya lagi suku bunga BI baru-baru ini.</w:t>
      </w:r>
    </w:p>
    <w:p>
      <w:pPr>
        <w:pStyle w:val="BodyText"/>
      </w:pPr>
      <w:r>
        <w:t xml:space="preserve">Di samping itu, ada potensi level rupiah akan</w:t>
      </w:r>
      <w:r>
        <w:t xml:space="preserve"> </w:t>
      </w:r>
      <w:r>
        <w:rPr>
          <w:iCs/>
          <w:i/>
        </w:rPr>
        <w:t xml:space="preserve">floating</w:t>
      </w:r>
      <w:r>
        <w:t xml:space="preserve"> </w:t>
      </w:r>
      <w:r>
        <w:t xml:space="preserve">di posisi yang lebih tinggi dibandingkan tren sebelumnya.</w:t>
      </w:r>
      <w:r>
        <w:t xml:space="preserve"> </w:t>
      </w:r>
      <w:hyperlink w:anchor="fig-rate-1">
        <w:r>
          <w:rPr>
            <w:rStyle w:val="Hyperlink"/>
          </w:rPr>
          <w:t xml:space="preserve">Figure 2 (a)</w:t>
        </w:r>
      </w:hyperlink>
      <w:r>
        <w:t xml:space="preserve"> </w:t>
      </w:r>
      <w:r>
        <w:t xml:space="preserve">menunjukkan bahwa naiknya BI rate tidak setinggi negara-negara barat, sehingga</w:t>
      </w:r>
      <w:r>
        <w:t xml:space="preserve"> </w:t>
      </w:r>
      <w:r>
        <w:rPr>
          <w:iCs/>
          <w:i/>
        </w:rPr>
        <w:t xml:space="preserve">interest rate gap</w:t>
      </w:r>
      <w:r>
        <w:t xml:space="preserve"> </w:t>
      </w:r>
      <w:r>
        <w:t xml:space="preserve">Indonesia dengan negara-negara tersebut mengecil. Jika BI tetap menjaga suku bunga di level ini, maka ada kemungkinan rupiah akan tetap</w:t>
      </w:r>
      <w:r>
        <w:t xml:space="preserve"> </w:t>
      </w:r>
      <w:r>
        <w:rPr>
          <w:iCs/>
          <w:i/>
        </w:rPr>
        <w:t xml:space="preserve">float</w:t>
      </w:r>
      <w:r>
        <w:t xml:space="preserve"> </w:t>
      </w:r>
      <w:r>
        <w:t xml:space="preserve">di posisi yang rendah dan membuat asumsi makro bergeser.</w:t>
      </w:r>
    </w:p>
    <w:bookmarkEnd w:id="41"/>
    <w:bookmarkStart w:id="51" w:name="implikasi-ke-depan"/>
    <w:p>
      <w:pPr>
        <w:pStyle w:val="Heading2"/>
      </w:pPr>
      <w:r>
        <w:t xml:space="preserve">Implikasi ke depan</w:t>
      </w:r>
    </w:p>
    <w:p>
      <w:pPr>
        <w:pStyle w:val="FirstParagraph"/>
      </w:pPr>
      <w:r>
        <w:t xml:space="preserve">Tren harga minyak dan inflasi global akan berpengaruh terhadap harga minyak di Indonesia. Asumsi makro APBN 2024 bisa meleset akibat OPEC yang berniat menjaga harga minyak agar tetap tinggi beserta dengan kemungkinan tekanan terhadap nilai tukar rupiah. Tentunya hal ini juga berpotensi menambah kenaikan biaya operasional Pertamina. Jika harga dibiarkan floating, maka naiknya harga produk migas seperti BBM harus diekspektasi. Tentunya hal ini tergantung apakah Bank Indonesia akan bereaksi terhadap hal ini. Yang jelas, harus ada yang dikorbankan antara tingkat suku bunga SBN dan nilai tukar rupiah jika tren ini terus berlanjut.</w:t>
      </w:r>
    </w:p>
    <w:tbl>
      <w:tblPr>
        <w:tblStyle w:val="Table"/>
        <w:tblW w:type="pct" w:w="5000"/>
        <w:tblLook w:firstRow="0" w:lastRow="0" w:firstColumn="0" w:lastColumn="0" w:noHBand="0" w:noVBand="0" w:val="0000"/>
        <w:jc w:val="start"/>
      </w:tblPr>
      <w:tblGrid>
        <w:gridCol w:w="7920"/>
      </w:tblGrid>
      <w:tr>
        <w:tc>
          <w:tcPr/>
          <w:bookmarkStart w:id="50" w:name="fig-bbm"/>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5" w:name="fig-bbm-1"/>
                      <w:p>
                        <w:pPr>
                          <w:jc w:val="center"/>
                          <w:jc w:val="center"/>
                          <w:jc w:val="center"/>
                        </w:pPr>
                        <w:r>
                          <w:drawing>
                            <wp:inline>
                              <wp:extent cx="2971800" cy="2377440"/>
                              <wp:effectExtent b="0" l="0" r="0" t="0"/>
                              <wp:docPr descr="" title="" id="43" name="Picture"/>
                              <a:graphic>
                                <a:graphicData uri="http://schemas.openxmlformats.org/drawingml/2006/picture">
                                  <pic:pic>
                                    <pic:nvPicPr>
                                      <pic:cNvPr descr="index_files/figure-docx/fig-bbm-1.png" id="44" name="Picture"/>
                                      <pic:cNvPicPr>
                                        <a:picLocks noChangeArrowheads="1" noChangeAspect="1"/>
                                      </pic:cNvPicPr>
                                    </pic:nvPicPr>
                                    <pic:blipFill>
                                      <a:blip r:embed="rId4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Produksi BBM premium</w:t>
                        </w:r>
                      </w:p>
                      <w:bookmarkEnd w:id="45"/>
                    </w:tc>
                  </w:tr>
                </w:tbl>
                <w:p/>
              </w:tc>
              <w:tc>
                <w:tcPr/>
                <w:tbl>
                  <w:tblPr>
                    <w:tblStyle w:val="Table"/>
                    <w:tblW w:type="pct" w:w="5000"/>
                    <w:tblLook w:firstRow="0" w:lastRow="0" w:firstColumn="0" w:lastColumn="0" w:noHBand="0" w:noVBand="0" w:val="0000"/>
                    <w:jc w:val="start"/>
                  </w:tblPr>
                  <w:tblGrid>
                    <w:gridCol w:w="7920"/>
                  </w:tblGrid>
                  <w:tr>
                    <w:tc>
                      <w:tcPr/>
                      <w:bookmarkStart w:id="49" w:name="fig-bbm-2"/>
                      <w:p>
                        <w:pPr>
                          <w:jc w:val="center"/>
                          <w:jc w:val="center"/>
                          <w:jc w:val="center"/>
                        </w:pPr>
                        <w:r>
                          <w:drawing>
                            <wp:inline>
                              <wp:extent cx="2971800" cy="2377440"/>
                              <wp:effectExtent b="0" l="0" r="0" t="0"/>
                              <wp:docPr descr="" title="" id="47" name="Picture"/>
                              <a:graphic>
                                <a:graphicData uri="http://schemas.openxmlformats.org/drawingml/2006/picture">
                                  <pic:pic>
                                    <pic:nvPicPr>
                                      <pic:cNvPr descr="index_files/figure-docx/fig-bbm-2.png" id="48" name="Picture"/>
                                      <pic:cNvPicPr>
                                        <a:picLocks noChangeArrowheads="1" noChangeAspect="1"/>
                                      </pic:cNvPicPr>
                                    </pic:nvPicPr>
                                    <pic:blipFill>
                                      <a:blip r:embed="rId46"/>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Harga BBM premium (Rp/liter)</w:t>
                        </w:r>
                      </w:p>
                      <w:bookmarkEnd w:id="49"/>
                    </w:tc>
                  </w:tr>
                </w:tbl>
                <w:p/>
              </w:tc>
            </w:tr>
          </w:tbl>
          <w:p>
            <w:pPr>
              <w:jc w:val="center"/>
            </w:pPr>
            <w:pPr>
              <w:jc w:val="start"/>
              <w:spacing w:before="200"/>
              <w:pStyle w:val="ImageCaption"/>
            </w:pPr>
            <w:pPr>
              <w:spacing w:before="200"/>
              <w:pStyle w:val="ImageCaption"/>
            </w:pPr>
            <w:r>
              <w:t xml:space="preserve">Figure 3: Kondisi harga dan konsumsi BBM di Indonesia</w:t>
            </w:r>
          </w:p>
          <w:bookmarkEnd w:id="50"/>
        </w:tc>
      </w:tr>
    </w:tbl>
    <w:p>
      <w:pPr>
        <w:pStyle w:val="BodyText"/>
      </w:pPr>
      <w:r>
        <w:t xml:space="preserve">Melihat dampaknya langsung ke BBM mungkin cukup sulit. Hal ini karena pasar BBM di Indonesia dikontrol dengan sangat ketat oleh pemerintah. Dapat dilihat pada</w:t>
      </w:r>
      <w:r>
        <w:t xml:space="preserve"> </w:t>
      </w:r>
      <w:hyperlink w:anchor="fig-bbm-1">
        <w:r>
          <w:rPr>
            <w:rStyle w:val="Hyperlink"/>
          </w:rPr>
          <w:t xml:space="preserve">Figure 3 (a)</w:t>
        </w:r>
      </w:hyperlink>
      <w:r>
        <w:t xml:space="preserve"> </w:t>
      </w:r>
      <w:r>
        <w:t xml:space="preserve">bahwa konsumsi RON88 terjun bebas karena produksi BBM jenis RON88 dihentikan. Sebelumnya, diperkenalkan RON90 yang produksinya terus meningkat sampai sekarang. Secara keseluruhan, produksi BBM masih tinggi.</w:t>
      </w:r>
    </w:p>
    <w:p>
      <w:pPr>
        <w:pStyle w:val="BodyText"/>
      </w:pPr>
      <w:r>
        <w:t xml:space="preserve">Namun di sisi harga, tampak terlihat adanya kenaikan harga terutama bensin RON tinggi yang naik lebih dulu seperti ditunjukkan oleh</w:t>
      </w:r>
      <w:r>
        <w:t xml:space="preserve"> </w:t>
      </w:r>
      <w:hyperlink w:anchor="fig-bbm-2">
        <w:r>
          <w:rPr>
            <w:rStyle w:val="Hyperlink"/>
          </w:rPr>
          <w:t xml:space="preserve">Figure 3 (b)</w:t>
        </w:r>
      </w:hyperlink>
      <w:r>
        <w:t xml:space="preserve">. Hal ini tentu imbas dari WTI juga naik di saat yang hampir sama. Jika asumsi makro APBN meleset, maka hal ini berpotensi menaikkan harga ke depannya.</w:t>
      </w:r>
    </w:p>
    <w:p>
      <w:pPr>
        <w:pStyle w:val="BodyText"/>
      </w:pPr>
      <w:r>
        <w:t xml:space="preserve">Salah satu hal yang juga penting untuk dipertimbangkan adalah Program Percepatan Kendaraan Bermotor Listrik Berbasis Baterai (KBLBB) telah diamanatkan dalam Perpres Nomor 55 Tahun 2019</w:t>
      </w:r>
      <w:r>
        <w:t xml:space="preserve"> </w:t>
      </w:r>
      <w:r>
        <w:t xml:space="preserve">(Kementerian ESDM 2023)</w:t>
      </w:r>
      <w:r>
        <w:t xml:space="preserve">. Jika program ini berhasil, maka permintaan BBM bisa ditekan. Pasar karbon juga bisa dimanfaatkan untuk menekan permintaan. Keseriusan pemerintah dalam mencapai net zero di 2050 adalah satu aspek yang juga perlu kita pertimbangkan</w:t>
      </w:r>
      <w:r>
        <w:t xml:space="preserve"> </w:t>
      </w:r>
      <w:r>
        <w:t xml:space="preserve">(Gupta 2023)</w:t>
      </w:r>
      <w:r>
        <w:t xml:space="preserve">.</w:t>
      </w:r>
    </w:p>
    <w:bookmarkEnd w:id="51"/>
    <w:bookmarkStart w:id="87" w:name="impulse-response-function"/>
    <w:p>
      <w:pPr>
        <w:pStyle w:val="Heading2"/>
      </w:pPr>
      <w:r>
        <w:t xml:space="preserve">Impulse Response function</w:t>
      </w:r>
    </w:p>
    <w:p>
      <w:pPr>
        <w:pStyle w:val="FirstParagraph"/>
      </w:pPr>
      <w:r>
        <w:t xml:space="preserve">Pada bagian ini dicoba ajukan sebuah usaha untuk mengestimasi dampak dari gejolak global terhadap harga BMM RON tinggi. Metode yang digunakan untuk studi awal ini adalah</w:t>
      </w:r>
      <w:r>
        <w:t xml:space="preserve"> </w:t>
      </w:r>
      <w:r>
        <w:rPr>
          <w:iCs/>
          <w:i/>
        </w:rPr>
        <w:t xml:space="preserve">Vector Auto Regression</w:t>
      </w:r>
      <w:r>
        <w:t xml:space="preserve"> </w:t>
      </w:r>
      <w:r>
        <w:t xml:space="preserve">(VAR) untuk melihat arah dari</w:t>
      </w:r>
      <w:r>
        <w:t xml:space="preserve"> </w:t>
      </w:r>
      <w:r>
        <w:rPr>
          <w:iCs/>
          <w:i/>
        </w:rPr>
        <w:t xml:space="preserve">impulse response function</w:t>
      </w:r>
      <w:r>
        <w:t xml:space="preserve"> </w:t>
      </w:r>
      <w:r>
        <w:t xml:space="preserve">(IRF) dari perubahan satu standar deviasi dari gejolak global</w:t>
      </w:r>
      <w:r>
        <w:t xml:space="preserve"> </w:t>
      </w:r>
      <w:r>
        <w:t xml:space="preserve">(Pfaff 2007)</w:t>
      </w:r>
      <w:r>
        <w:t xml:space="preserve">.</w:t>
      </w:r>
    </w:p>
    <w:p>
      <w:pPr>
        <w:pStyle w:val="BodyText"/>
      </w:pPr>
      <w:r>
        <w:t xml:space="preserve">Pada percobaan kali ini digunakan 3 variabel, yaitu harga RON95/98 (</w:t>
      </w:r>
      <m:oMath>
        <m:r>
          <m:t>p</m:t>
        </m:r>
        <m:r>
          <m:t>89</m:t>
        </m:r>
      </m:oMath>
      <w:r>
        <w:t xml:space="preserve">), harga WTI (</w:t>
      </w:r>
      <m:oMath>
        <m:r>
          <m:t>w</m:t>
        </m:r>
        <m:r>
          <m:t>t</m:t>
        </m:r>
        <m:r>
          <m:t>i</m:t>
        </m:r>
      </m:oMath>
      <w:r>
        <w:t xml:space="preserve">) dan nilai tukar rupiah terhadap dolar (</w:t>
      </w:r>
      <m:oMath>
        <m:r>
          <m:t>x</m:t>
        </m:r>
        <m:r>
          <m:t>r</m:t>
        </m:r>
      </m:oMath>
      <w:r>
        <w:t xml:space="preserve">). Semua variabel dalam bulanan. RON95/98 dipilih karena harga RON lain akan tergantung dari besarnya subsidi yang dialokasikan. Dianggap bahwa RON paling tinggi adalah yang paling sensitif perubahan harganya. WTI dan nilai tukar adalah proxy dari</w:t>
      </w:r>
      <w:r>
        <w:t xml:space="preserve"> </w:t>
      </w:r>
      <w:r>
        <w:rPr>
          <w:iCs/>
          <w:i/>
        </w:rPr>
        <w:t xml:space="preserve">global production glut</w:t>
      </w:r>
      <w:r>
        <w:t xml:space="preserve"> </w:t>
      </w:r>
      <w:r>
        <w:t xml:space="preserve">dan</w:t>
      </w:r>
      <w:r>
        <w:t xml:space="preserve"> </w:t>
      </w:r>
      <w:r>
        <w:rPr>
          <w:iCs/>
          <w:i/>
        </w:rPr>
        <w:t xml:space="preserve">global inflation</w:t>
      </w:r>
      <w:r>
        <w:t xml:space="preserve">. Series dapat dilihat di</w:t>
      </w:r>
      <w:r>
        <w:t xml:space="preserve"> </w:t>
      </w:r>
      <w:hyperlink w:anchor="fig-var">
        <w:r>
          <w:rPr>
            <w:rStyle w:val="Hyperlink"/>
          </w:rPr>
          <w:t xml:space="preserve">Figure 4</w:t>
        </w:r>
      </w:hyperlink>
      <w:r>
        <w:t xml:space="preserve">.</w:t>
      </w:r>
    </w:p>
    <w:tbl>
      <w:tblPr>
        <w:tblStyle w:val="Table"/>
        <w:tblW w:type="pct" w:w="5000"/>
        <w:tblLook w:firstRow="0" w:lastRow="0" w:firstColumn="0" w:lastColumn="0" w:noHBand="0" w:noVBand="0" w:val="0000"/>
        <w:jc w:val="start"/>
      </w:tblPr>
      <w:tblGrid>
        <w:gridCol w:w="7920"/>
      </w:tblGrid>
      <w:tr>
        <w:tc>
          <w:tcPr/>
          <w:bookmarkStart w:id="55" w:name="fig-var"/>
          <w:p>
            <w:pPr>
              <w:jc w:val="center"/>
            </w:pPr>
            <w:r>
              <w:drawing>
                <wp:inline>
                  <wp:extent cx="4620126" cy="3696101"/>
                  <wp:effectExtent b="0" l="0" r="0" t="0"/>
                  <wp:docPr descr="" title="" id="53" name="Picture"/>
                  <a:graphic>
                    <a:graphicData uri="http://schemas.openxmlformats.org/drawingml/2006/picture">
                      <pic:pic>
                        <pic:nvPicPr>
                          <pic:cNvPr descr="index_files/figure-docx/fig-var-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Series 3 variabel</w:t>
            </w:r>
          </w:p>
          <w:bookmarkEnd w:id="55"/>
        </w:tc>
      </w:tr>
    </w:tbl>
    <w:p>
      <w:pPr>
        <w:pStyle w:val="BodyText"/>
      </w:pPr>
      <w:r>
        <w:t xml:space="preserve">Model yang digunakan untuk studi awal ini adalah VAR(1). Dengan kata lain, estimasi yang dilakukan adalah:</w:t>
      </w:r>
    </w:p>
    <w:p>
      <w:pPr>
        <w:pStyle w:val="BodyText"/>
      </w:pPr>
      <m:oMathPara>
        <m:oMathParaPr>
          <m:jc m:val="center"/>
        </m:oMathParaPr>
        <m:oMath>
          <m:m>
            <m:mPr>
              <m:baseJc m:val="center"/>
              <m:plcHide m:val="1"/>
              <m:mcs>
                <m:mc>
                  <m:mcPr>
                    <m:mcJc m:val="right"/>
                    <m:count m:val="1"/>
                  </m:mcPr>
                </m:mc>
                <m:mc>
                  <m:mcPr>
                    <m:mcJc m:val="left"/>
                    <m:count m:val="1"/>
                  </m:mcPr>
                </m:mc>
              </m:mcs>
            </m:mPr>
            <m:mr>
              <m:e>
                <m:r>
                  <m:t>p</m:t>
                </m:r>
                <m:sSub>
                  <m:e>
                    <m:r>
                      <m:t>98</m:t>
                    </m:r>
                  </m:e>
                  <m:sub>
                    <m:r>
                      <m:t>t</m:t>
                    </m:r>
                  </m:sub>
                </m:sSub>
              </m:e>
              <m:e>
                <m:r>
                  <m:rPr>
                    <m:sty m:val="p"/>
                  </m:rPr>
                  <m:t>=</m:t>
                </m:r>
                <m:sSub>
                  <m:e>
                    <m:r>
                      <m:t>β</m:t>
                    </m:r>
                  </m:e>
                  <m:sub>
                    <m:r>
                      <m:t>10</m:t>
                    </m:r>
                  </m:sub>
                </m:sSub>
                <m:r>
                  <m:rPr>
                    <m:sty m:val="p"/>
                  </m:rPr>
                  <m:t>+</m:t>
                </m:r>
                <m:sSub>
                  <m:e>
                    <m:r>
                      <m:t>β</m:t>
                    </m:r>
                  </m:e>
                  <m:sub>
                    <m:r>
                      <m:t>11</m:t>
                    </m:r>
                  </m:sub>
                </m:sSub>
                <m:r>
                  <m:t>p</m:t>
                </m:r>
                <m:sSub>
                  <m:e>
                    <m:r>
                      <m:t>98</m:t>
                    </m:r>
                  </m:e>
                  <m:sub>
                    <m:r>
                      <m:t>t</m:t>
                    </m:r>
                    <m:r>
                      <m:rPr>
                        <m:sty m:val="p"/>
                      </m:rPr>
                      <m:t>−</m:t>
                    </m:r>
                    <m:r>
                      <m:t>1</m:t>
                    </m:r>
                  </m:sub>
                </m:sSub>
                <m:r>
                  <m:rPr>
                    <m:sty m:val="p"/>
                  </m:rPr>
                  <m:t>+</m:t>
                </m:r>
                <m:sSub>
                  <m:e>
                    <m:r>
                      <m:t>β</m:t>
                    </m:r>
                  </m:e>
                  <m:sub>
                    <m:r>
                      <m:t>12</m:t>
                    </m:r>
                  </m:sub>
                </m:sSub>
                <m:r>
                  <m:t>w</m:t>
                </m:r>
                <m:r>
                  <m:t>t</m:t>
                </m:r>
                <m:sSub>
                  <m:e>
                    <m:r>
                      <m:t>i</m:t>
                    </m:r>
                  </m:e>
                  <m:sub>
                    <m:r>
                      <m:t>t</m:t>
                    </m:r>
                    <m:r>
                      <m:rPr>
                        <m:sty m:val="p"/>
                      </m:rPr>
                      <m:t>−</m:t>
                    </m:r>
                    <m:r>
                      <m:t>1</m:t>
                    </m:r>
                  </m:sub>
                </m:sSub>
                <m:r>
                  <m:rPr>
                    <m:sty m:val="p"/>
                  </m:rPr>
                  <m:t>+</m:t>
                </m:r>
                <m:sSub>
                  <m:e>
                    <m:r>
                      <m:t>β</m:t>
                    </m:r>
                  </m:e>
                  <m:sub>
                    <m:r>
                      <m:t>13</m:t>
                    </m:r>
                  </m:sub>
                </m:sSub>
                <m:r>
                  <m:t>x</m:t>
                </m:r>
                <m:sSub>
                  <m:e>
                    <m:r>
                      <m:t>r</m:t>
                    </m:r>
                  </m:e>
                  <m:sub>
                    <m:r>
                      <m:t>t</m:t>
                    </m:r>
                    <m:r>
                      <m:rPr>
                        <m:sty m:val="p"/>
                      </m:rPr>
                      <m:t>−</m:t>
                    </m:r>
                    <m:r>
                      <m:t>1</m:t>
                    </m:r>
                  </m:sub>
                </m:sSub>
              </m:e>
            </m:mr>
            <m:mr>
              <m:e>
                <m:r>
                  <m:t>w</m:t>
                </m:r>
                <m:r>
                  <m:t>t</m:t>
                </m:r>
                <m:sSub>
                  <m:e>
                    <m:r>
                      <m:t>i</m:t>
                    </m:r>
                  </m:e>
                  <m:sub>
                    <m:r>
                      <m:t>t</m:t>
                    </m:r>
                  </m:sub>
                </m:sSub>
              </m:e>
              <m:e>
                <m:r>
                  <m:rPr>
                    <m:sty m:val="p"/>
                  </m:rPr>
                  <m:t>=</m:t>
                </m:r>
                <m:sSub>
                  <m:e>
                    <m:r>
                      <m:t>β</m:t>
                    </m:r>
                  </m:e>
                  <m:sub>
                    <m:r>
                      <m:t>20</m:t>
                    </m:r>
                  </m:sub>
                </m:sSub>
                <m:r>
                  <m:rPr>
                    <m:sty m:val="p"/>
                  </m:rPr>
                  <m:t>+</m:t>
                </m:r>
                <m:sSub>
                  <m:e>
                    <m:r>
                      <m:t>β</m:t>
                    </m:r>
                  </m:e>
                  <m:sub>
                    <m:r>
                      <m:t>21</m:t>
                    </m:r>
                  </m:sub>
                </m:sSub>
                <m:r>
                  <m:t>p</m:t>
                </m:r>
                <m:sSub>
                  <m:e>
                    <m:r>
                      <m:t>98</m:t>
                    </m:r>
                  </m:e>
                  <m:sub>
                    <m:r>
                      <m:t>t</m:t>
                    </m:r>
                    <m:r>
                      <m:rPr>
                        <m:sty m:val="p"/>
                      </m:rPr>
                      <m:t>−</m:t>
                    </m:r>
                    <m:r>
                      <m:t>1</m:t>
                    </m:r>
                  </m:sub>
                </m:sSub>
                <m:r>
                  <m:rPr>
                    <m:sty m:val="p"/>
                  </m:rPr>
                  <m:t>+</m:t>
                </m:r>
                <m:sSub>
                  <m:e>
                    <m:r>
                      <m:t>β</m:t>
                    </m:r>
                  </m:e>
                  <m:sub>
                    <m:r>
                      <m:t>22</m:t>
                    </m:r>
                  </m:sub>
                </m:sSub>
                <m:r>
                  <m:t>w</m:t>
                </m:r>
                <m:r>
                  <m:t>t</m:t>
                </m:r>
                <m:sSub>
                  <m:e>
                    <m:r>
                      <m:t>i</m:t>
                    </m:r>
                  </m:e>
                  <m:sub>
                    <m:r>
                      <m:t>t</m:t>
                    </m:r>
                    <m:r>
                      <m:rPr>
                        <m:sty m:val="p"/>
                      </m:rPr>
                      <m:t>−</m:t>
                    </m:r>
                    <m:r>
                      <m:t>1</m:t>
                    </m:r>
                  </m:sub>
                </m:sSub>
                <m:r>
                  <m:rPr>
                    <m:sty m:val="p"/>
                  </m:rPr>
                  <m:t>+</m:t>
                </m:r>
                <m:sSub>
                  <m:e>
                    <m:r>
                      <m:t>β</m:t>
                    </m:r>
                  </m:e>
                  <m:sub>
                    <m:r>
                      <m:t>23</m:t>
                    </m:r>
                  </m:sub>
                </m:sSub>
                <m:r>
                  <m:t>x</m:t>
                </m:r>
                <m:sSub>
                  <m:e>
                    <m:r>
                      <m:t>r</m:t>
                    </m:r>
                  </m:e>
                  <m:sub>
                    <m:r>
                      <m:t>t</m:t>
                    </m:r>
                    <m:r>
                      <m:rPr>
                        <m:sty m:val="p"/>
                      </m:rPr>
                      <m:t>−</m:t>
                    </m:r>
                    <m:r>
                      <m:t>1</m:t>
                    </m:r>
                  </m:sub>
                </m:sSub>
              </m:e>
            </m:mr>
            <m:mr>
              <m:e>
                <m:r>
                  <m:t>x</m:t>
                </m:r>
                <m:sSub>
                  <m:e>
                    <m:r>
                      <m:t>r</m:t>
                    </m:r>
                  </m:e>
                  <m:sub>
                    <m:r>
                      <m:t>t</m:t>
                    </m:r>
                  </m:sub>
                </m:sSub>
              </m:e>
              <m:e>
                <m:r>
                  <m:rPr>
                    <m:sty m:val="p"/>
                  </m:rPr>
                  <m:t>=</m:t>
                </m:r>
                <m:sSub>
                  <m:e>
                    <m:r>
                      <m:t>β</m:t>
                    </m:r>
                  </m:e>
                  <m:sub>
                    <m:r>
                      <m:t>30</m:t>
                    </m:r>
                  </m:sub>
                </m:sSub>
                <m:r>
                  <m:rPr>
                    <m:sty m:val="p"/>
                  </m:rPr>
                  <m:t>+</m:t>
                </m:r>
                <m:sSub>
                  <m:e>
                    <m:r>
                      <m:t>β</m:t>
                    </m:r>
                  </m:e>
                  <m:sub>
                    <m:r>
                      <m:t>31</m:t>
                    </m:r>
                  </m:sub>
                </m:sSub>
                <m:r>
                  <m:t>p</m:t>
                </m:r>
                <m:sSub>
                  <m:e>
                    <m:r>
                      <m:t>98</m:t>
                    </m:r>
                  </m:e>
                  <m:sub>
                    <m:r>
                      <m:t>t</m:t>
                    </m:r>
                    <m:r>
                      <m:rPr>
                        <m:sty m:val="p"/>
                      </m:rPr>
                      <m:t>−</m:t>
                    </m:r>
                    <m:r>
                      <m:t>1</m:t>
                    </m:r>
                  </m:sub>
                </m:sSub>
                <m:r>
                  <m:rPr>
                    <m:sty m:val="p"/>
                  </m:rPr>
                  <m:t>+</m:t>
                </m:r>
                <m:sSub>
                  <m:e>
                    <m:r>
                      <m:t>β</m:t>
                    </m:r>
                  </m:e>
                  <m:sub>
                    <m:r>
                      <m:t>32</m:t>
                    </m:r>
                  </m:sub>
                </m:sSub>
                <m:r>
                  <m:t>w</m:t>
                </m:r>
                <m:r>
                  <m:t>t</m:t>
                </m:r>
                <m:sSub>
                  <m:e>
                    <m:r>
                      <m:t>i</m:t>
                    </m:r>
                  </m:e>
                  <m:sub>
                    <m:r>
                      <m:t>t</m:t>
                    </m:r>
                    <m:r>
                      <m:rPr>
                        <m:sty m:val="p"/>
                      </m:rPr>
                      <m:t>−</m:t>
                    </m:r>
                    <m:r>
                      <m:t>1</m:t>
                    </m:r>
                  </m:sub>
                </m:sSub>
                <m:r>
                  <m:rPr>
                    <m:sty m:val="p"/>
                  </m:rPr>
                  <m:t>+</m:t>
                </m:r>
                <m:sSub>
                  <m:e>
                    <m:r>
                      <m:t>β</m:t>
                    </m:r>
                  </m:e>
                  <m:sub>
                    <m:r>
                      <m:t>33</m:t>
                    </m:r>
                  </m:sub>
                </m:sSub>
                <m:r>
                  <m:t>x</m:t>
                </m:r>
                <m:sSub>
                  <m:e>
                    <m:r>
                      <m:t>r</m:t>
                    </m:r>
                  </m:e>
                  <m:sub>
                    <m:r>
                      <m:t>t</m:t>
                    </m:r>
                    <m:r>
                      <m:rPr>
                        <m:sty m:val="p"/>
                      </m:rPr>
                      <m:t>−</m:t>
                    </m:r>
                    <m:r>
                      <m:t>1</m:t>
                    </m:r>
                  </m:sub>
                </m:sSub>
              </m:e>
            </m:mr>
          </m:m>
        </m:oMath>
      </m:oMathPara>
    </w:p>
    <w:p>
      <w:pPr>
        <w:pStyle w:val="FirstParagraph"/>
      </w:pPr>
      <w:r>
        <w:t xml:space="preserve">Ekspektasi kita adalah bahwa harga dari RON95/98 dipengaruhi oleh harga WTI dan nilai tukar, tapi tidak sebaliknya</w:t>
      </w:r>
      <w:r>
        <w:rPr>
          <w:rStyle w:val="FootnoteReference"/>
        </w:rPr>
        <w:footnoteReference w:id="56"/>
      </w:r>
      <w:r>
        <w:t xml:space="preserve">. Artinya, kita harapkan signifikansi dari</w:t>
      </w:r>
      <w:r>
        <w:t xml:space="preserve"> </w:t>
      </w:r>
      <m:oMath>
        <m:sSub>
          <m:e>
            <m:r>
              <m:t>β</m:t>
            </m:r>
          </m:e>
          <m:sub>
            <m:r>
              <m:t>12</m:t>
            </m:r>
          </m:sub>
        </m:sSub>
      </m:oMath>
      <w:r>
        <w:t xml:space="preserve"> </w:t>
      </w:r>
      <w:r>
        <w:t xml:space="preserve">dan</w:t>
      </w:r>
      <w:r>
        <w:t xml:space="preserve"> </w:t>
      </w:r>
      <m:oMath>
        <m:sSub>
          <m:e>
            <m:r>
              <m:t>β</m:t>
            </m:r>
          </m:e>
          <m:sub>
            <m:r>
              <m:t>13</m:t>
            </m:r>
          </m:sub>
        </m:sSub>
      </m:oMath>
      <w:r>
        <w:t xml:space="preserve"> </w:t>
      </w:r>
      <w:r>
        <w:t xml:space="preserve">namun kita harapkan</w:t>
      </w:r>
      <w:r>
        <w:t xml:space="preserve"> </w:t>
      </w:r>
      <m:oMath>
        <m:sSub>
          <m:e>
            <m:r>
              <m:t>β</m:t>
            </m:r>
          </m:e>
          <m:sub>
            <m:r>
              <m:t>20</m:t>
            </m:r>
          </m:sub>
        </m:sSub>
      </m:oMath>
      <w:r>
        <w:t xml:space="preserve"> </w:t>
      </w:r>
      <w:r>
        <w:t xml:space="preserve">dan</w:t>
      </w:r>
      <w:r>
        <w:t xml:space="preserve"> </w:t>
      </w:r>
      <m:oMath>
        <m:sSub>
          <m:e>
            <m:r>
              <m:t>β</m:t>
            </m:r>
          </m:e>
          <m:sub>
            <m:r>
              <m:t>30</m:t>
            </m:r>
          </m:sub>
        </m:sSub>
      </m:oMath>
      <w:r>
        <w:t xml:space="preserve"> </w:t>
      </w:r>
      <w:r>
        <w:t xml:space="preserve">tidak signifikan. Di bawah ini adalah hasil dari VAR(1) tersebut:</w:t>
      </w:r>
    </w:p>
    <w:p>
      <w:pPr>
        <w:pStyle w:val="SourceCode"/>
      </w:pPr>
      <w:r>
        <w:br/>
      </w:r>
      <w:r>
        <w:rPr>
          <w:rStyle w:val="VerbatimChar"/>
        </w:rPr>
        <w:t xml:space="preserve">VAR Estimation Results:</w:t>
      </w:r>
      <w:r>
        <w:br/>
      </w:r>
      <w:r>
        <w:rPr>
          <w:rStyle w:val="VerbatimChar"/>
        </w:rPr>
        <w:t xml:space="preserve">========================= </w:t>
      </w:r>
      <w:r>
        <w:br/>
      </w:r>
      <w:r>
        <w:rPr>
          <w:rStyle w:val="VerbatimChar"/>
        </w:rPr>
        <w:t xml:space="preserve">Endogenous variables: p98, wti, xr </w:t>
      </w:r>
      <w:r>
        <w:br/>
      </w:r>
      <w:r>
        <w:rPr>
          <w:rStyle w:val="VerbatimChar"/>
        </w:rPr>
        <w:t xml:space="preserve">Deterministic variables: const </w:t>
      </w:r>
      <w:r>
        <w:br/>
      </w:r>
      <w:r>
        <w:rPr>
          <w:rStyle w:val="VerbatimChar"/>
        </w:rPr>
        <w:t xml:space="preserve">Sample size: 53 </w:t>
      </w:r>
      <w:r>
        <w:br/>
      </w:r>
      <w:r>
        <w:rPr>
          <w:rStyle w:val="VerbatimChar"/>
        </w:rPr>
        <w:t xml:space="preserve">Log Likelihood: -982.95 </w:t>
      </w:r>
      <w:r>
        <w:br/>
      </w:r>
      <w:r>
        <w:rPr>
          <w:rStyle w:val="VerbatimChar"/>
        </w:rPr>
        <w:t xml:space="preserve">Roots of the characteristic polynomial:</w:t>
      </w:r>
      <w:r>
        <w:br/>
      </w:r>
      <w:r>
        <w:rPr>
          <w:rStyle w:val="VerbatimChar"/>
        </w:rPr>
        <w:t xml:space="preserve">0.8842 0.8125 0.4743</w:t>
      </w:r>
      <w:r>
        <w:br/>
      </w:r>
      <w:r>
        <w:rPr>
          <w:rStyle w:val="VerbatimChar"/>
        </w:rPr>
        <w:t xml:space="preserve">Call:</w:t>
      </w:r>
      <w:r>
        <w:br/>
      </w:r>
      <w:r>
        <w:rPr>
          <w:rStyle w:val="VerbatimChar"/>
        </w:rPr>
        <w:t xml:space="preserve">VAR(y = wew, p = 1)</w:t>
      </w:r>
      <w:r>
        <w:br/>
      </w:r>
      <w:r>
        <w:br/>
      </w:r>
      <w:r>
        <w:br/>
      </w:r>
      <w:r>
        <w:rPr>
          <w:rStyle w:val="VerbatimChar"/>
        </w:rPr>
        <w:t xml:space="preserve">Estimation results for equation p98: </w:t>
      </w:r>
      <w:r>
        <w:br/>
      </w:r>
      <w:r>
        <w:rPr>
          <w:rStyle w:val="VerbatimChar"/>
        </w:rPr>
        <w:t xml:space="preserve">==================================== </w:t>
      </w:r>
      <w:r>
        <w:br/>
      </w:r>
      <w:r>
        <w:rPr>
          <w:rStyle w:val="VerbatimChar"/>
        </w:rPr>
        <w:t xml:space="preserve">p98 = p98.l1 + wti.l1 + xr.l1 + const </w:t>
      </w:r>
      <w:r>
        <w:br/>
      </w:r>
      <w:r>
        <w:br/>
      </w:r>
      <w:r>
        <w:rPr>
          <w:rStyle w:val="VerbatimChar"/>
        </w:rPr>
        <w:t xml:space="preserve">         Estimate Std. Error t value Pr(&gt;|t|)    </w:t>
      </w:r>
      <w:r>
        <w:br/>
      </w:r>
      <w:r>
        <w:rPr>
          <w:rStyle w:val="VerbatimChar"/>
        </w:rPr>
        <w:t xml:space="preserve">p98.l1  6.492e-01  8.322e-02   7.802 3.84e-10 ***</w:t>
      </w:r>
      <w:r>
        <w:br/>
      </w:r>
      <w:r>
        <w:rPr>
          <w:rStyle w:val="VerbatimChar"/>
        </w:rPr>
        <w:t xml:space="preserve">wti.l1  3.289e+01  7.991e+00   4.116 0.000147 ***</w:t>
      </w:r>
      <w:r>
        <w:br/>
      </w:r>
      <w:r>
        <w:rPr>
          <w:rStyle w:val="VerbatimChar"/>
        </w:rPr>
        <w:t xml:space="preserve">xr.l1   4.276e-01  2.413e-01   1.772 0.082658 .  </w:t>
      </w:r>
      <w:r>
        <w:br/>
      </w:r>
      <w:r>
        <w:rPr>
          <w:rStyle w:val="VerbatimChar"/>
        </w:rPr>
        <w:t xml:space="preserve">const  -4.159e+03  3.226e+03  -1.289 0.203342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761.8 on 49 degrees of freedom</w:t>
      </w:r>
      <w:r>
        <w:br/>
      </w:r>
      <w:r>
        <w:rPr>
          <w:rStyle w:val="VerbatimChar"/>
        </w:rPr>
        <w:t xml:space="preserve">Multiple R-Squared: 0.8941, Adjusted R-squared: 0.8877 </w:t>
      </w:r>
      <w:r>
        <w:br/>
      </w:r>
      <w:r>
        <w:rPr>
          <w:rStyle w:val="VerbatimChar"/>
        </w:rPr>
        <w:t xml:space="preserve">F-statistic:   138 on 3 and 49 DF,  p-value: &lt; 2.2e-16 </w:t>
      </w:r>
      <w:r>
        <w:br/>
      </w:r>
      <w:r>
        <w:br/>
      </w:r>
      <w:r>
        <w:br/>
      </w:r>
      <w:r>
        <w:rPr>
          <w:rStyle w:val="VerbatimChar"/>
        </w:rPr>
        <w:t xml:space="preserve">Estimation results for equation wti: </w:t>
      </w:r>
      <w:r>
        <w:br/>
      </w:r>
      <w:r>
        <w:rPr>
          <w:rStyle w:val="VerbatimChar"/>
        </w:rPr>
        <w:t xml:space="preserve">==================================== </w:t>
      </w:r>
      <w:r>
        <w:br/>
      </w:r>
      <w:r>
        <w:rPr>
          <w:rStyle w:val="VerbatimChar"/>
        </w:rPr>
        <w:t xml:space="preserve">wti = p98.l1 + wti.l1 + xr.l1 + const </w:t>
      </w:r>
      <w:r>
        <w:br/>
      </w:r>
      <w:r>
        <w:br/>
      </w:r>
      <w:r>
        <w:rPr>
          <w:rStyle w:val="VerbatimChar"/>
        </w:rPr>
        <w:t xml:space="preserve">         Estimate Std. Error t value Pr(&gt;|t|)    </w:t>
      </w:r>
      <w:r>
        <w:br/>
      </w:r>
      <w:r>
        <w:rPr>
          <w:rStyle w:val="VerbatimChar"/>
        </w:rPr>
        <w:t xml:space="preserve">p98.l1  0.0003425  0.0007563   0.453   0.6527    </w:t>
      </w:r>
      <w:r>
        <w:br/>
      </w:r>
      <w:r>
        <w:rPr>
          <w:rStyle w:val="VerbatimChar"/>
        </w:rPr>
        <w:t xml:space="preserve">wti.l1  0.9296972  0.0726263  12.801   &lt;2e-16 ***</w:t>
      </w:r>
      <w:r>
        <w:br/>
      </w:r>
      <w:r>
        <w:rPr>
          <w:rStyle w:val="VerbatimChar"/>
        </w:rPr>
        <w:t xml:space="preserve">xr.l1  -0.0038451  0.0021934  -1.753   0.0859 .  </w:t>
      </w:r>
      <w:r>
        <w:br/>
      </w:r>
      <w:r>
        <w:rPr>
          <w:rStyle w:val="VerbatimChar"/>
        </w:rPr>
        <w:t xml:space="preserve">const  56.7470688 29.3177376   1.936   0.0587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6.924 on 49 degrees of freedom</w:t>
      </w:r>
      <w:r>
        <w:br/>
      </w:r>
      <w:r>
        <w:rPr>
          <w:rStyle w:val="VerbatimChar"/>
        </w:rPr>
        <w:t xml:space="preserve">Multiple R-Squared: 0.901,  Adjusted R-squared: 0.895 </w:t>
      </w:r>
      <w:r>
        <w:br/>
      </w:r>
      <w:r>
        <w:rPr>
          <w:rStyle w:val="VerbatimChar"/>
        </w:rPr>
        <w:t xml:space="preserve">F-statistic: 148.7 on 3 and 49 DF,  p-value: &lt; 2.2e-16 </w:t>
      </w:r>
      <w:r>
        <w:br/>
      </w:r>
      <w:r>
        <w:br/>
      </w:r>
      <w:r>
        <w:br/>
      </w:r>
      <w:r>
        <w:rPr>
          <w:rStyle w:val="VerbatimChar"/>
        </w:rPr>
        <w:t xml:space="preserve">Estimation results for equation xr: </w:t>
      </w:r>
      <w:r>
        <w:br/>
      </w:r>
      <w:r>
        <w:rPr>
          <w:rStyle w:val="VerbatimChar"/>
        </w:rPr>
        <w:t xml:space="preserve">=================================== </w:t>
      </w:r>
      <w:r>
        <w:br/>
      </w:r>
      <w:r>
        <w:rPr>
          <w:rStyle w:val="VerbatimChar"/>
        </w:rPr>
        <w:t xml:space="preserve">xr = p98.l1 + wti.l1 + xr.l1 + const </w:t>
      </w:r>
      <w:r>
        <w:br/>
      </w:r>
      <w:r>
        <w:br/>
      </w:r>
      <w:r>
        <w:rPr>
          <w:rStyle w:val="VerbatimChar"/>
        </w:rPr>
        <w:t xml:space="preserve">        Estimate Std. Error t value Pr(&gt;|t|)    </w:t>
      </w:r>
      <w:r>
        <w:br/>
      </w:r>
      <w:r>
        <w:rPr>
          <w:rStyle w:val="VerbatimChar"/>
        </w:rPr>
        <w:t xml:space="preserve">p98.l1 3.130e-02  4.063e-02   0.771  0.44469    </w:t>
      </w:r>
      <w:r>
        <w:br/>
      </w:r>
      <w:r>
        <w:rPr>
          <w:rStyle w:val="VerbatimChar"/>
        </w:rPr>
        <w:t xml:space="preserve">wti.l1 2.442e+00  3.901e+00   0.626  0.53429    </w:t>
      </w:r>
      <w:r>
        <w:br/>
      </w:r>
      <w:r>
        <w:rPr>
          <w:rStyle w:val="VerbatimChar"/>
        </w:rPr>
        <w:t xml:space="preserve">xr.l1  5.920e-01  1.178e-01   5.024 7.12e-06 ***</w:t>
      </w:r>
      <w:r>
        <w:br/>
      </w:r>
      <w:r>
        <w:rPr>
          <w:rStyle w:val="VerbatimChar"/>
        </w:rPr>
        <w:t xml:space="preserve">const  5.413e+03  1.575e+03   3.437  0.00121 ** </w:t>
      </w:r>
      <w:r>
        <w:br/>
      </w:r>
      <w:r>
        <w:rPr>
          <w:rStyle w:val="VerbatimChar"/>
        </w:rPr>
        <w:t xml:space="preserve">---</w:t>
      </w:r>
      <w:r>
        <w:br/>
      </w:r>
      <w:r>
        <w:rPr>
          <w:rStyle w:val="VerbatimChar"/>
        </w:rPr>
        <w:t xml:space="preserve">Signif. codes:  0 '***' 0.001 '**' 0.01 '*' 0.05 '.' 0.1 ' ' 1</w:t>
      </w:r>
      <w:r>
        <w:br/>
      </w:r>
      <w:r>
        <w:br/>
      </w:r>
      <w:r>
        <w:br/>
      </w:r>
      <w:r>
        <w:rPr>
          <w:rStyle w:val="VerbatimChar"/>
        </w:rPr>
        <w:t xml:space="preserve">Residual standard error: 371.9 on 49 degrees of freedom</w:t>
      </w:r>
      <w:r>
        <w:br/>
      </w:r>
      <w:r>
        <w:rPr>
          <w:rStyle w:val="VerbatimChar"/>
        </w:rPr>
        <w:t xml:space="preserve">Multiple R-Squared: 0.4966, Adjusted R-squared: 0.4657 </w:t>
      </w:r>
      <w:r>
        <w:br/>
      </w:r>
      <w:r>
        <w:rPr>
          <w:rStyle w:val="VerbatimChar"/>
        </w:rPr>
        <w:t xml:space="preserve">F-statistic: 16.11 on 3 and 49 DF,  p-value: 2.03e-07 </w:t>
      </w:r>
      <w:r>
        <w:br/>
      </w:r>
      <w:r>
        <w:br/>
      </w:r>
      <w:r>
        <w:br/>
      </w:r>
      <w:r>
        <w:br/>
      </w:r>
      <w:r>
        <w:rPr>
          <w:rStyle w:val="VerbatimChar"/>
        </w:rPr>
        <w:t xml:space="preserve">Covariance matrix of residuals:</w:t>
      </w:r>
      <w:r>
        <w:br/>
      </w:r>
      <w:r>
        <w:rPr>
          <w:rStyle w:val="VerbatimChar"/>
        </w:rPr>
        <w:t xml:space="preserve">         p98     wti     xr</w:t>
      </w:r>
      <w:r>
        <w:br/>
      </w:r>
      <w:r>
        <w:rPr>
          <w:rStyle w:val="VerbatimChar"/>
        </w:rPr>
        <w:t xml:space="preserve">p98 580388.0  376.10 -19584</w:t>
      </w:r>
      <w:r>
        <w:br/>
      </w:r>
      <w:r>
        <w:rPr>
          <w:rStyle w:val="VerbatimChar"/>
        </w:rPr>
        <w:t xml:space="preserve">wti    376.1   47.94   -983</w:t>
      </w:r>
      <w:r>
        <w:br/>
      </w:r>
      <w:r>
        <w:rPr>
          <w:rStyle w:val="VerbatimChar"/>
        </w:rPr>
        <w:t xml:space="preserve">xr  -19583.8 -983.01 138337</w:t>
      </w:r>
      <w:r>
        <w:br/>
      </w:r>
      <w:r>
        <w:br/>
      </w:r>
      <w:r>
        <w:rPr>
          <w:rStyle w:val="VerbatimChar"/>
        </w:rPr>
        <w:t xml:space="preserve">Correlation matrix of residuals:</w:t>
      </w:r>
      <w:r>
        <w:br/>
      </w:r>
      <w:r>
        <w:rPr>
          <w:rStyle w:val="VerbatimChar"/>
        </w:rPr>
        <w:t xml:space="preserve">         p98     wti       xr</w:t>
      </w:r>
      <w:r>
        <w:br/>
      </w:r>
      <w:r>
        <w:rPr>
          <w:rStyle w:val="VerbatimChar"/>
        </w:rPr>
        <w:t xml:space="preserve">p98  1.00000  0.0713 -0.06911</w:t>
      </w:r>
      <w:r>
        <w:br/>
      </w:r>
      <w:r>
        <w:rPr>
          <w:rStyle w:val="VerbatimChar"/>
        </w:rPr>
        <w:t xml:space="preserve">wti  0.07130  1.0000 -0.38171</w:t>
      </w:r>
      <w:r>
        <w:br/>
      </w:r>
      <w:r>
        <w:rPr>
          <w:rStyle w:val="VerbatimChar"/>
        </w:rPr>
        <w:t xml:space="preserve">xr  -0.06911 -0.3817  1.00000</w:t>
      </w:r>
    </w:p>
    <w:p>
      <w:pPr>
        <w:pStyle w:val="FirstParagraph"/>
      </w:pPr>
      <w:r>
        <w:t xml:space="preserve">Seperti kita lihat bahwa harga WTI sangat berpengaruh terhadap harga RON95/98. Nilai tukar cukup berpengaruh meski signifikansinya ada di level 8%. Sementara itu, terbukti bahwa sebaliknya tidak terjadi:</w:t>
      </w:r>
      <w:r>
        <w:t xml:space="preserve"> </w:t>
      </w:r>
      <m:oMath>
        <m:r>
          <m:t>p</m:t>
        </m:r>
        <m:sSub>
          <m:e>
            <m:r>
              <m:t>98</m:t>
            </m:r>
          </m:e>
          <m:sub>
            <m:r>
              <m:t>t</m:t>
            </m:r>
            <m:r>
              <m:rPr>
                <m:sty m:val="p"/>
              </m:rPr>
              <m:t>−</m:t>
            </m:r>
            <m:r>
              <m:t>1</m:t>
            </m:r>
          </m:sub>
        </m:sSub>
      </m:oMath>
      <w:r>
        <w:t xml:space="preserve"> </w:t>
      </w:r>
      <w:r>
        <w:t xml:space="preserve">tidak signifikan terhadap dua variabel lainnya.</w:t>
      </w:r>
    </w:p>
    <w:p>
      <w:pPr>
        <w:pStyle w:val="BodyText"/>
      </w:pPr>
      <w:r>
        <w:t xml:space="preserve">berikutnya dilakukan impulse response function, yaitu apa yang terjadi pada harga RON95/98 di jangka panjang jika ada</w:t>
      </w:r>
      <w:r>
        <w:t xml:space="preserve"> </w:t>
      </w:r>
      <w:r>
        <w:rPr>
          <w:iCs/>
          <w:i/>
        </w:rPr>
        <w:t xml:space="preserve">shock</w:t>
      </w:r>
      <w:r>
        <w:t xml:space="preserve"> </w:t>
      </w:r>
      <w:r>
        <w:t xml:space="preserve">sebesar 1 standar deviasi terhadap harga WTI dan nilai tukar.</w:t>
      </w:r>
    </w:p>
    <w:tbl>
      <w:tblPr>
        <w:tblStyle w:val="Table"/>
        <w:tblW w:type="pct" w:w="5000"/>
        <w:tblLook w:firstRow="0" w:lastRow="0" w:firstColumn="0" w:lastColumn="0" w:noHBand="0" w:noVBand="0" w:val="0000"/>
        <w:jc w:val="start"/>
      </w:tblPr>
      <w:tblGrid>
        <w:gridCol w:w="7920"/>
      </w:tblGrid>
      <w:tr>
        <w:tc>
          <w:tcPr/>
          <w:bookmarkStart w:id="65" w:name="fig-irf"/>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60" w:name="fig-irf-1"/>
                      <w:p>
                        <w:pPr>
                          <w:jc w:val="center"/>
                          <w:jc w:val="center"/>
                          <w:jc w:val="center"/>
                        </w:pPr>
                        <w:r>
                          <w:drawing>
                            <wp:inline>
                              <wp:extent cx="2971800" cy="2377440"/>
                              <wp:effectExtent b="0" l="0" r="0" t="0"/>
                              <wp:docPr descr="" title="" id="58" name="Picture"/>
                              <a:graphic>
                                <a:graphicData uri="http://schemas.openxmlformats.org/drawingml/2006/picture">
                                  <pic:pic>
                                    <pic:nvPicPr>
                                      <pic:cNvPr descr="index_files/figure-docx/fig-irf-1.png" id="59" name="Picture"/>
                                      <pic:cNvPicPr>
                                        <a:picLocks noChangeArrowheads="1" noChangeAspect="1"/>
                                      </pic:cNvPicPr>
                                    </pic:nvPicPr>
                                    <pic:blipFill>
                                      <a:blip r:embed="rId5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IRF dari harga WTI</w:t>
                        </w:r>
                      </w:p>
                      <w:bookmarkEnd w:id="60"/>
                    </w:tc>
                  </w:tr>
                </w:tbl>
                <w:p/>
              </w:tc>
              <w:tc>
                <w:tcPr/>
                <w:tbl>
                  <w:tblPr>
                    <w:tblStyle w:val="Table"/>
                    <w:tblW w:type="pct" w:w="5000"/>
                    <w:tblLook w:firstRow="0" w:lastRow="0" w:firstColumn="0" w:lastColumn="0" w:noHBand="0" w:noVBand="0" w:val="0000"/>
                    <w:jc w:val="start"/>
                  </w:tblPr>
                  <w:tblGrid>
                    <w:gridCol w:w="7920"/>
                  </w:tblGrid>
                  <w:tr>
                    <w:tc>
                      <w:tcPr/>
                      <w:bookmarkStart w:id="64" w:name="fig-irf-2"/>
                      <w:p>
                        <w:pPr>
                          <w:jc w:val="center"/>
                          <w:jc w:val="center"/>
                          <w:jc w:val="center"/>
                        </w:pPr>
                        <w:r>
                          <w:drawing>
                            <wp:inline>
                              <wp:extent cx="2971800" cy="2377440"/>
                              <wp:effectExtent b="0" l="0" r="0" t="0"/>
                              <wp:docPr descr="" title="" id="62" name="Picture"/>
                              <a:graphic>
                                <a:graphicData uri="http://schemas.openxmlformats.org/drawingml/2006/picture">
                                  <pic:pic>
                                    <pic:nvPicPr>
                                      <pic:cNvPr descr="index_files/figure-docx/fig-irf-2.png" id="63" name="Picture"/>
                                      <pic:cNvPicPr>
                                        <a:picLocks noChangeArrowheads="1" noChangeAspect="1"/>
                                      </pic:cNvPicPr>
                                    </pic:nvPicPr>
                                    <pic:blipFill>
                                      <a:blip r:embed="rId61"/>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IRF dari nilai tukar rupiah terhadap dolar AS</w:t>
                        </w:r>
                      </w:p>
                      <w:bookmarkEnd w:id="64"/>
                    </w:tc>
                  </w:tr>
                </w:tbl>
                <w:p/>
              </w:tc>
            </w:tr>
          </w:tbl>
          <w:p>
            <w:pPr>
              <w:jc w:val="center"/>
            </w:pPr>
            <w:pPr>
              <w:jc w:val="start"/>
              <w:spacing w:before="200"/>
              <w:pStyle w:val="ImageCaption"/>
            </w:pPr>
            <w:pPr>
              <w:spacing w:before="200"/>
              <w:pStyle w:val="ImageCaption"/>
            </w:pPr>
            <w:r>
              <w:t xml:space="preserve">Figure 5: impulse response function dari VAR(1)</w:t>
            </w:r>
          </w:p>
          <w:bookmarkEnd w:id="65"/>
        </w:tc>
      </w:tr>
    </w:tbl>
    <w:p>
      <w:pPr>
        <w:pStyle w:val="BodyText"/>
      </w:pPr>
      <w:r>
        <w:t xml:space="preserve">Dapat dilihat pada</w:t>
      </w:r>
      <w:r>
        <w:t xml:space="preserve"> </w:t>
      </w:r>
      <w:hyperlink w:anchor="fig-irf-1">
        <w:r>
          <w:rPr>
            <w:rStyle w:val="Hyperlink"/>
          </w:rPr>
          <w:t xml:space="preserve">Figure 5 (a)</w:t>
        </w:r>
      </w:hyperlink>
      <w:r>
        <w:t xml:space="preserve"> </w:t>
      </w:r>
      <w:r>
        <w:t xml:space="preserve">bahwa kenaikan harga WTI sebanyak 1 standar deviasi mengakibatkan naiknya harga RON95/98 sampai 200 rupiah di bulan berikutnya. Kenaikan ini stabil di sekitar bulan ke-7. Namun dapat dilihat bahwa standar deviasi dari estimasi ini cukup lebar.</w:t>
      </w:r>
    </w:p>
    <w:p>
      <w:pPr>
        <w:pStyle w:val="BodyText"/>
      </w:pPr>
      <w:r>
        <w:t xml:space="preserve">Dampak</w:t>
      </w:r>
      <w:r>
        <w:t xml:space="preserve"> </w:t>
      </w:r>
      <w:r>
        <w:rPr>
          <w:iCs/>
          <w:i/>
        </w:rPr>
        <w:t xml:space="preserve">shock</w:t>
      </w:r>
      <w:r>
        <w:t xml:space="preserve"> </w:t>
      </w:r>
      <w:r>
        <w:t xml:space="preserve">dari nilai tukar sedikit berbeda (lihat</w:t>
      </w:r>
      <w:r>
        <w:t xml:space="preserve"> </w:t>
      </w:r>
      <w:hyperlink w:anchor="fig-irf-2">
        <w:r>
          <w:rPr>
            <w:rStyle w:val="Hyperlink"/>
          </w:rPr>
          <w:t xml:space="preserve">Figure 5 (b)</w:t>
        </w:r>
      </w:hyperlink>
      <w:r>
        <w:t xml:space="preserve">). Melemahnya nilai rupiah sebanyak 1 standar deviasi mengakibatkan naiknya harga RON95/98, wajar mengingat BBM sebagian besar harus diimpor. Namun dampak ini akan melemah dalam 3 bulan ke depan dan malah berkurang di jangka panjang. Mengingat bahwa harga BBM dan nilai tukar di Indonesia seringkali diintervensi, maka intervensi-intervensi tersebut juga masuk ke dalam estimasi.</w:t>
      </w:r>
    </w:p>
    <w:p>
      <w:pPr>
        <w:pStyle w:val="BodyText"/>
      </w:pPr>
      <w:r>
        <w:t xml:space="preserve">Studi singkat ini cukup masuk akal, akan tetapi keandalan model ini masih harus diperiksa. Berbagai metode lain juga dapat digunakan tergantung dari asumsi, keandalan data, dan pertanyaan yang ingin dijawab.</w:t>
      </w:r>
    </w:p>
    <w:bookmarkStart w:id="86" w:name="refs"/>
    <w:bookmarkStart w:id="67" w:name="ref-seki"/>
    <w:p>
      <w:pPr>
        <w:pStyle w:val="Bibliography"/>
      </w:pPr>
      <w:r>
        <w:t xml:space="preserve">Bank Indonesia. 2023.</w:t>
      </w:r>
      <w:r>
        <w:t xml:space="preserve"> </w:t>
      </w:r>
      <w:r>
        <w:t xml:space="preserve">“Statistik Ekonomi Dan Keuangan Indonesia.”</w:t>
      </w:r>
      <w:r>
        <w:t xml:space="preserve"> </w:t>
      </w:r>
      <w:r>
        <w:t xml:space="preserve">Bank Indonesia.</w:t>
      </w:r>
      <w:r>
        <w:t xml:space="preserve"> </w:t>
      </w:r>
      <w:hyperlink r:id="rId66">
        <w:r>
          <w:rPr>
            <w:rStyle w:val="Hyperlink"/>
          </w:rPr>
          <w:t xml:space="preserve">https://www.bi.go.id/id/statistik/ekonomi-keuangan/seki/Default.aspx#headingThree</w:t>
        </w:r>
      </w:hyperlink>
      <w:r>
        <w:t xml:space="preserve">.</w:t>
      </w:r>
    </w:p>
    <w:bookmarkEnd w:id="67"/>
    <w:bookmarkStart w:id="69" w:name="ref-bisnis"/>
    <w:p>
      <w:pPr>
        <w:pStyle w:val="Bibliography"/>
      </w:pPr>
      <w:r>
        <w:t xml:space="preserve">Elena, Maria. 2023.</w:t>
      </w:r>
      <w:r>
        <w:t xml:space="preserve"> </w:t>
      </w:r>
      <w:r>
        <w:t xml:space="preserve">“BI Peringatkan Fenomena Higher for Longer, Apa Itu?”</w:t>
      </w:r>
      <w:r>
        <w:t xml:space="preserve"> bisnis.com.</w:t>
      </w:r>
      <w:r>
        <w:t xml:space="preserve"> </w:t>
      </w:r>
      <w:hyperlink r:id="rId68">
        <w:r>
          <w:rPr>
            <w:rStyle w:val="Hyperlink"/>
          </w:rPr>
          <w:t xml:space="preserve">https://ekonomi.bisnis.com/read/20231023/9/1706962/bi-peringatkan-fenomena-higher-for-longer-apa-itu</w:t>
        </w:r>
      </w:hyperlink>
      <w:r>
        <w:t xml:space="preserve">.</w:t>
      </w:r>
    </w:p>
    <w:bookmarkEnd w:id="69"/>
    <w:bookmarkStart w:id="71" w:name="ref-fred"/>
    <w:p>
      <w:pPr>
        <w:pStyle w:val="Bibliography"/>
      </w:pPr>
      <w:r>
        <w:t xml:space="preserve">FRED. 2023.</w:t>
      </w:r>
      <w:r>
        <w:t xml:space="preserve"> </w:t>
      </w:r>
      <w:r>
        <w:t xml:space="preserve">“FRED Economic Data.”</w:t>
      </w:r>
      <w:r>
        <w:t xml:space="preserve"> </w:t>
      </w:r>
      <w:hyperlink r:id="rId70">
        <w:r>
          <w:rPr>
            <w:rStyle w:val="Hyperlink"/>
          </w:rPr>
          <w:t xml:space="preserve">https://fred.stlouisfed.org/series/DCOILWTICO/</w:t>
        </w:r>
      </w:hyperlink>
      <w:r>
        <w:t xml:space="preserve">.</w:t>
      </w:r>
    </w:p>
    <w:bookmarkEnd w:id="71"/>
    <w:bookmarkStart w:id="73" w:name="ref-app"/>
    <w:p>
      <w:pPr>
        <w:pStyle w:val="Bibliography"/>
      </w:pPr>
      <w:r>
        <w:t xml:space="preserve">Gupta, Krisna. 2023.</w:t>
      </w:r>
      <w:r>
        <w:t xml:space="preserve"> </w:t>
      </w:r>
      <w:r>
        <w:t xml:space="preserve">“Greening the Grid and What It Takes.”</w:t>
      </w:r>
      <w:r>
        <w:t xml:space="preserve"> </w:t>
      </w:r>
      <w:r>
        <w:t xml:space="preserve">Seminar Nasional Politeknik APP Jakarta 2023.</w:t>
      </w:r>
      <w:r>
        <w:t xml:space="preserve"> </w:t>
      </w:r>
      <w:hyperlink r:id="rId72">
        <w:r>
          <w:rPr>
            <w:rStyle w:val="Hyperlink"/>
          </w:rPr>
          <w:t xml:space="preserve">s.id/greenpln</w:t>
        </w:r>
      </w:hyperlink>
      <w:r>
        <w:t xml:space="preserve">.</w:t>
      </w:r>
    </w:p>
    <w:bookmarkEnd w:id="73"/>
    <w:bookmarkStart w:id="75" w:name="ref-esdm"/>
    <w:p>
      <w:pPr>
        <w:pStyle w:val="Bibliography"/>
      </w:pPr>
      <w:r>
        <w:t xml:space="preserve">Kementerian ESDM. 2023.</w:t>
      </w:r>
      <w:r>
        <w:t xml:space="preserve"> </w:t>
      </w:r>
      <w:r>
        <w:t xml:space="preserve">“Pengembangan Ekosistem KBLBB Dorong Masuknya Investasi Kendaraan Listrik.”</w:t>
      </w:r>
      <w:r>
        <w:t xml:space="preserve"> </w:t>
      </w:r>
      <w:r>
        <w:t xml:space="preserve">Siaran Pers Kementerian ESDM.</w:t>
      </w:r>
      <w:r>
        <w:t xml:space="preserve"> </w:t>
      </w:r>
      <w:hyperlink r:id="rId74">
        <w:r>
          <w:rPr>
            <w:rStyle w:val="Hyperlink"/>
          </w:rPr>
          <w:t xml:space="preserve">https://ebtke.esdm.go.id/post/2023/09/14/3597/pengembangan.ekosistem.kblbb.dorong.masuknya.investasi.kendaraan.listrik#:~:text=Program%20Percepatan%20Kendaraan%20Bermotor%20Listrik%20Berbasis%20Baterai%20%28KBLBB%29,emisi%20gas%20rumah%20kaca%20serta%20mencapai%20tujuan%20tersebut.</w:t>
        </w:r>
      </w:hyperlink>
    </w:p>
    <w:bookmarkEnd w:id="75"/>
    <w:bookmarkStart w:id="77" w:name="ref-apbn2024"/>
    <w:p>
      <w:pPr>
        <w:pStyle w:val="Bibliography"/>
      </w:pPr>
      <w:r>
        <w:t xml:space="preserve">Kementerian Keuangan. 2023.</w:t>
      </w:r>
      <w:r>
        <w:t xml:space="preserve"> </w:t>
      </w:r>
      <w:r>
        <w:t xml:space="preserve">“APBN 2024 Resmi Meluncur.”</w:t>
      </w:r>
      <w:r>
        <w:t xml:space="preserve"> </w:t>
      </w:r>
      <w:r>
        <w:t xml:space="preserve">2023.</w:t>
      </w:r>
      <w:r>
        <w:t xml:space="preserve"> </w:t>
      </w:r>
      <w:hyperlink r:id="rId76">
        <w:r>
          <w:rPr>
            <w:rStyle w:val="Hyperlink"/>
          </w:rPr>
          <w:t xml:space="preserve">https://www.djkn.kemenkeu.go.id/berita/baca/33506/APBN-2024-Resmi-Meluncur.html</w:t>
        </w:r>
      </w:hyperlink>
      <w:r>
        <w:t xml:space="preserve">.</w:t>
      </w:r>
    </w:p>
    <w:bookmarkEnd w:id="77"/>
    <w:bookmarkStart w:id="79" w:name="ref-vars"/>
    <w:p>
      <w:pPr>
        <w:pStyle w:val="Bibliography"/>
      </w:pPr>
      <w:r>
        <w:t xml:space="preserve">Pfaff, Bernhard. 2007.</w:t>
      </w:r>
      <w:r>
        <w:t xml:space="preserve"> </w:t>
      </w:r>
      <w:r>
        <w:t xml:space="preserve">“Using the Vars Package.”</w:t>
      </w:r>
      <w:r>
        <w:t xml:space="preserve"> </w:t>
      </w:r>
      <w:hyperlink r:id="rId78">
        <w:r>
          <w:rPr>
            <w:rStyle w:val="Hyperlink"/>
          </w:rPr>
          <w:t xml:space="preserve">https://www.researchgate.net/profile/David-Booth-7/post/How_to_select_optimal_lag_between_dependent_variable_and_independent_variables/attachment/59d649eb79197b80779a450a/AS%3A473055043559424%401489796519099/download/VARS_how_to_use.pdf</w:t>
        </w:r>
      </w:hyperlink>
      <w:r>
        <w:t xml:space="preserve">.</w:t>
      </w:r>
    </w:p>
    <w:bookmarkEnd w:id="79"/>
    <w:bookmarkStart w:id="81" w:name="ref-liputan6"/>
    <w:p>
      <w:pPr>
        <w:pStyle w:val="Bibliography"/>
      </w:pPr>
      <w:r>
        <w:t xml:space="preserve">Santia, Tira. 2022.</w:t>
      </w:r>
      <w:r>
        <w:t xml:space="preserve"> </w:t>
      </w:r>
      <w:r>
        <w:t xml:space="preserve">“Tengok Perbandingan Asumsi Makro Dan Postur APBN 2022 Dan 2023.”</w:t>
      </w:r>
      <w:r>
        <w:t xml:space="preserve"> </w:t>
      </w:r>
      <w:r>
        <w:t xml:space="preserve">liputan6.com.</w:t>
      </w:r>
      <w:r>
        <w:t xml:space="preserve"> </w:t>
      </w:r>
      <w:hyperlink r:id="rId80">
        <w:r>
          <w:rPr>
            <w:rStyle w:val="Hyperlink"/>
          </w:rPr>
          <w:t xml:space="preserve">https://www.liputan6.com/bisnis/read/5044185/tengok-perbandingan-asumsi-makro-dan-postur-apbn-2022-dan-2023?page=2</w:t>
        </w:r>
      </w:hyperlink>
      <w:r>
        <w:t xml:space="preserve">.</w:t>
      </w:r>
    </w:p>
    <w:bookmarkEnd w:id="81"/>
    <w:bookmarkStart w:id="83" w:name="ref-reuters"/>
    <w:p>
      <w:pPr>
        <w:pStyle w:val="Bibliography"/>
      </w:pPr>
      <w:r>
        <w:t xml:space="preserve">Seba, Erwin. 2023.</w:t>
      </w:r>
      <w:r>
        <w:t xml:space="preserve"> </w:t>
      </w:r>
      <w:r>
        <w:t xml:space="preserve">“Oil Climbs over 2.”</w:t>
      </w:r>
      <w:r>
        <w:t xml:space="preserve"> </w:t>
      </w:r>
      <w:r>
        <w:t xml:space="preserve">Reuters.</w:t>
      </w:r>
      <w:r>
        <w:t xml:space="preserve"> </w:t>
      </w:r>
      <w:hyperlink r:id="rId82">
        <w:r>
          <w:rPr>
            <w:rStyle w:val="Hyperlink"/>
          </w:rPr>
          <w:t xml:space="preserve">https://www.msn.com/en-us/money/markets/oil-climbs-over-2-as-opec-seen-deepening-cuts/ar-AA1kftku</w:t>
        </w:r>
      </w:hyperlink>
      <w:r>
        <w:t xml:space="preserve">.</w:t>
      </w:r>
    </w:p>
    <w:bookmarkEnd w:id="83"/>
    <w:bookmarkStart w:id="85" w:name="ref-yfin"/>
    <w:p>
      <w:pPr>
        <w:pStyle w:val="Bibliography"/>
      </w:pPr>
      <w:r>
        <w:t xml:space="preserve">ycharts.com. 2023.</w:t>
      </w:r>
      <w:r>
        <w:t xml:space="preserve"> </w:t>
      </w:r>
      <w:r>
        <w:t xml:space="preserve">“OPEC Crude Oil Production.”</w:t>
      </w:r>
      <w:r>
        <w:t xml:space="preserve"> </w:t>
      </w:r>
      <w:hyperlink r:id="rId84">
        <w:r>
          <w:rPr>
            <w:rStyle w:val="Hyperlink"/>
          </w:rPr>
          <w:t xml:space="preserve">https://ycharts.com/indicators/opec_crude_oil_production</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6">
    <w:p>
      <w:pPr>
        <w:pStyle w:val="FootnoteText"/>
      </w:pPr>
      <w:r>
        <w:rPr>
          <w:rStyle w:val="FootnoteReference"/>
        </w:rPr>
        <w:footnoteRef/>
      </w:r>
      <w:r>
        <w:t xml:space="preserve"> </w:t>
      </w:r>
      <m:oMath>
        <m:r>
          <m:t>X</m:t>
        </m:r>
      </m:oMath>
      <w:r>
        <w:t xml:space="preserve"> </w:t>
      </w:r>
      <w:r>
        <w:t xml:space="preserve">dikatakan</w:t>
      </w:r>
      <w:r>
        <w:t xml:space="preserve"> </w:t>
      </w:r>
      <w:r>
        <w:rPr>
          <w:iCs/>
          <w:i/>
        </w:rPr>
        <w:t xml:space="preserve">granger cause</w:t>
      </w:r>
      <w:r>
        <w:t xml:space="preserve"> </w:t>
      </w:r>
      <m:oMath>
        <m:r>
          <m:t>Y</m:t>
        </m:r>
      </m:oMath>
      <w:r>
        <w:t xml:space="preserve"> </w:t>
      </w:r>
      <w:r>
        <w:t xml:space="preserve">dan tidak sebaliknya jika</w:t>
      </w:r>
      <w:r>
        <w:t xml:space="preserve"> </w:t>
      </w:r>
      <m:oMath>
        <m:sSub>
          <m:e>
            <m:r>
              <m:t>X</m:t>
            </m:r>
          </m:e>
          <m:sub>
            <m:r>
              <m:t>t</m:t>
            </m:r>
            <m:r>
              <m:rPr>
                <m:sty m:val="p"/>
              </m:rPr>
              <m:t>−</m:t>
            </m:r>
            <m:r>
              <m:t>1</m:t>
            </m:r>
          </m:sub>
        </m:sSub>
      </m:oMath>
      <w:r>
        <w:t xml:space="preserve"> </w:t>
      </w:r>
      <w:r>
        <w:t xml:space="preserve">signifikan terhadap</w:t>
      </w:r>
      <w:r>
        <w:t xml:space="preserve"> </w:t>
      </w:r>
      <m:oMath>
        <m:sSub>
          <m:e>
            <m:r>
              <m:t>Y</m:t>
            </m:r>
          </m:e>
          <m:sub>
            <m:r>
              <m:t>t</m:t>
            </m:r>
          </m:sub>
        </m:sSub>
      </m:oMath>
      <w:r>
        <w:t xml:space="preserve"> </w:t>
      </w:r>
      <w:r>
        <w:t xml:space="preserve">dan</w:t>
      </w:r>
      <w:r>
        <w:t xml:space="preserve"> </w:t>
      </w:r>
      <m:oMath>
        <m:sSub>
          <m:e>
            <m:r>
              <m:t>Y</m:t>
            </m:r>
          </m:e>
          <m:sub>
            <m:r>
              <m:t>t</m:t>
            </m:r>
            <m:r>
              <m:rPr>
                <m:sty m:val="p"/>
              </m:rPr>
              <m:t>−</m:t>
            </m:r>
            <m:r>
              <m:t>1</m:t>
            </m:r>
          </m:sub>
        </m:sSub>
      </m:oMath>
      <w:r>
        <w:t xml:space="preserve"> </w:t>
      </w:r>
      <w:r>
        <w:t xml:space="preserve">tidak signifikan terhadap</w:t>
      </w:r>
      <w:r>
        <w:t xml:space="preserve"> </w:t>
      </w:r>
      <m:oMath>
        <m:sSub>
          <m:e>
            <m:r>
              <m:t>X</m:t>
            </m:r>
          </m:e>
          <m:sub>
            <m:r>
              <m:t>t</m:t>
            </m:r>
          </m:sub>
        </m:sSub>
      </m:oMath>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52" Target="media/rId52.png" /><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_rels/footnotes.xml.rels><?xml version="1.0" encoding="UTF-8"?><Relationships xmlns="http://schemas.openxmlformats.org/package/2006/relationships"><Relationship Type="http://schemas.openxmlformats.org/officeDocument/2006/relationships/hyperlink" Id="rId74" Target="https://ebtke.esdm.go.id/post/2023/09/14/3597/pengembangan.ekosistem.kblbb.dorong.masuknya.investasi.kendaraan.listrik#:~:text=Program%20Percepatan%20Kendaraan%20Bermotor%20Listrik%20Berbasis%20Baterai%20%28KBLBB%29,emisi%20gas%20rumah%20kaca%20serta%20mencapai%20tujuan%20tersebut." TargetMode="External" /><Relationship Type="http://schemas.openxmlformats.org/officeDocument/2006/relationships/hyperlink" Id="rId68" Target="https://ekonomi.bisnis.com/read/20231023/9/1706962/bi-peringatkan-fenomena-higher-for-longer-apa-itu" TargetMode="External" /><Relationship Type="http://schemas.openxmlformats.org/officeDocument/2006/relationships/hyperlink" Id="rId70" Target="https://fred.stlouisfed.org/series/DCOILWTICO/" TargetMode="External" /><Relationship Type="http://schemas.openxmlformats.org/officeDocument/2006/relationships/hyperlink" Id="rId72" Target="https://s.id/greenpln" TargetMode="External" /><Relationship Type="http://schemas.openxmlformats.org/officeDocument/2006/relationships/hyperlink" Id="rId66" Target="https://www.bi.go.id/id/statistik/ekonomi-keuangan/seki/Default.aspx#headingThree" TargetMode="External" /><Relationship Type="http://schemas.openxmlformats.org/officeDocument/2006/relationships/hyperlink" Id="rId76" Target="https://www.djkn.kemenkeu.go.id/berita/baca/33506/APBN-2024-Resmi-Meluncur.html" TargetMode="External" /><Relationship Type="http://schemas.openxmlformats.org/officeDocument/2006/relationships/hyperlink" Id="rId80" Target="https://www.liputan6.com/bisnis/read/5044185/tengok-perbandingan-asumsi-makro-dan-postur-apbn-2022-dan-2023?page=2" TargetMode="External" /><Relationship Type="http://schemas.openxmlformats.org/officeDocument/2006/relationships/hyperlink" Id="rId82" Target="https://www.msn.com/en-us/money/markets/oil-climbs-over-2-as-opec-seen-deepening-cuts/ar-AA1kftku" TargetMode="External" /><Relationship Type="http://schemas.openxmlformats.org/officeDocument/2006/relationships/hyperlink" Id="rId78" Target="https://www.researchgate.net/profile/David-Booth-7/post/How_to_select_optimal_lag_between_dependent_variable_and_independent_variables/attachment/59d649eb79197b80779a450a/AS%3A473055043559424%401489796519099/download/VARS_how_to_use.pdf" TargetMode="External" /><Relationship Type="http://schemas.openxmlformats.org/officeDocument/2006/relationships/hyperlink" Id="rId84" Target="https://ycharts.com/indicators/opec_crude_oil_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Macro Policy Brief: Global Inflation and the Oil Production Glut</dc:title>
  <dc:creator>Krisna Gupta</dc:creator>
  <cp:keywords/>
  <dcterms:created xsi:type="dcterms:W3CDTF">2024-05-22T02:33:45Z</dcterms:created>
  <dcterms:modified xsi:type="dcterms:W3CDTF">2024-05-22T02:33:45Z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Asumsi APBN menunjukkan optimisme pemerintah di mana dolar akan stabil di 15000 Rp/US$, inflasi di 2,8% dan suku bunga di kisaran 6,7%. Akan tetapi, situasi global menunjukkan adanya kemungkinan suku bunga internasional yang tetap tinggi untuk waktu yang lama (higher for longer). Di samping itu, kemungkinan adanya tekanan harga minyak internasional akibat OPEC yang masih menahan produksi juga dapat berdampak pada pasar minyak bumi di dalam negeri. Mengingat Indonesia saat ini net importer, maka akan sangat penting menjaga nilai tukar dari ketidakpastian global.</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26, 2023</vt:lpwstr>
  </property>
  <property fmtid="{D5CDD505-2E9C-101B-9397-08002B2CF9AE}" pid="11" name="date-format">
    <vt:lpwstr>long</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