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(Indonesia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oil-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crude oil OPEC (M/bbl/d)</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oil-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minyak WTI (USD/bbl)</w:t>
                        </w:r>
                      </w:p>
                      <w:bookmarkEnd w:id="29"/>
                    </w:tc>
                  </w:tr>
                </w:tbl>
                <w:p/>
              </w:tc>
            </w:tr>
          </w:tbl>
          <w:p>
            <w:pPr>
              <w:jc w:val="center"/>
            </w:pPr>
            <w:pPr>
              <w:jc w:val="start"/>
              <w:spacing w:before="200"/>
              <w:pStyle w:val="ImageCaption"/>
            </w:pPr>
            <w:pPr>
              <w:spacing w:before="200"/>
              <w:pStyle w:val="ImageCaption"/>
            </w:pPr>
            <w:r>
              <w:t xml:space="preserve">Figure 1: Kondisi minyak bumi di pasar global</w:t>
            </w:r>
          </w:p>
          <w:bookmarkEnd w:id="30"/>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40"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rate-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Tingkat suku bunga beberapa negara (%)</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rate-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Nilai tukar rupiah terhadap US$ (Rp/US$)</w:t>
                        </w:r>
                      </w:p>
                      <w:bookmarkEnd w:id="39"/>
                    </w:tc>
                  </w:tr>
                </w:tbl>
                <w:p/>
              </w:tc>
            </w:tr>
          </w:tbl>
          <w:p>
            <w:pPr>
              <w:jc w:val="center"/>
            </w:pPr>
            <w:pPr>
              <w:jc w:val="start"/>
              <w:spacing w:before="200"/>
              <w:pStyle w:val="ImageCaption"/>
            </w:pPr>
            <w:pPr>
              <w:spacing w:before="200"/>
              <w:pStyle w:val="ImageCaption"/>
            </w:pPr>
            <w:r>
              <w:t xml:space="preserve">Figure 2: Tingkat suku bunga dan mata uang rupiah</w:t>
            </w:r>
          </w:p>
          <w:bookmarkEnd w:id="40"/>
        </w:tc>
      </w:tr>
    </w:tbl>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50"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bbm-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BBM premium</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bbm-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BBM premium (Rp/liter)</w:t>
                        </w:r>
                      </w:p>
                      <w:bookmarkEnd w:id="49"/>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50"/>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6"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5" w:name="fig-var"/>
          <w:p>
            <w:pPr>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1"/>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10%.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tbl>
      <w:tblPr>
        <w:tblStyle w:val="Table"/>
        <w:tblW w:type="pct" w:w="5000"/>
        <w:tblLook w:firstRow="0" w:lastRow="0" w:firstColumn="0" w:lastColumn="0" w:noHBand="0" w:noVBand="0" w:val="0000"/>
        <w:jc w:val="start"/>
      </w:tblPr>
      <w:tblGrid>
        <w:gridCol w:w="7920"/>
      </w:tblGrid>
      <w:tr>
        <w:tc>
          <w:tcPr/>
          <w:bookmarkStart w:id="60" w:name="fig-irf-1"/>
          <w:p>
            <w:pPr>
              <w:jc w:val="center"/>
            </w:pPr>
            <w:r>
              <w:drawing>
                <wp:inline>
                  <wp:extent cx="4620126" cy="3696101"/>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impulse response function dari VAR(1)</w:t>
            </w:r>
          </w:p>
          <w:bookmarkEnd w:id="60"/>
        </w:tc>
      </w:tr>
    </w:tbl>
    <w:tbl>
      <w:tblPr>
        <w:tblStyle w:val="Table"/>
        <w:tblW w:type="pct" w:w="5000"/>
        <w:tblLook w:firstRow="0" w:lastRow="0" w:firstColumn="0" w:lastColumn="0" w:noHBand="0" w:noVBand="0" w:val="0000"/>
        <w:jc w:val="start"/>
      </w:tblPr>
      <w:tblGrid>
        <w:gridCol w:w="7920"/>
      </w:tblGrid>
      <w:tr>
        <w:tc>
          <w:tcPr/>
          <w:bookmarkStart w:id="64" w:name="fig-irf-2"/>
          <w:p>
            <w:pPr>
              <w:jc w:val="center"/>
            </w:pPr>
            <w:r>
              <w:drawing>
                <wp:inline>
                  <wp:extent cx="4620126" cy="3696101"/>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impulse response function dari VAR(1)</w:t>
            </w:r>
          </w:p>
          <w:bookmarkEnd w:id="64"/>
        </w:tc>
      </w:tr>
    </w:tbl>
    <w:p>
      <w:pPr>
        <w:pStyle w:val="BodyText"/>
      </w:pPr>
      <w:r>
        <w:t xml:space="preserve">Dapat dilihat pada gambar 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5" w:name="refs"/>
    <w:bookmarkStart w:id="66"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5">
        <w:r>
          <w:rPr>
            <w:rStyle w:val="Hyperlink"/>
          </w:rPr>
          <w:t xml:space="preserve">https://www.bi.go.id/id/statistik/ekonomi-keuangan/seki/Default.aspx#headingThree</w:t>
        </w:r>
      </w:hyperlink>
      <w:r>
        <w:t xml:space="preserve">.</w:t>
      </w:r>
    </w:p>
    <w:bookmarkEnd w:id="66"/>
    <w:bookmarkStart w:id="68"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7">
        <w:r>
          <w:rPr>
            <w:rStyle w:val="Hyperlink"/>
          </w:rPr>
          <w:t xml:space="preserve">https://ekonomi.bisnis.com/read/20231023/9/1706962/bi-peringatkan-fenomena-higher-for-longer-apa-itu</w:t>
        </w:r>
      </w:hyperlink>
      <w:r>
        <w:t xml:space="preserve">.</w:t>
      </w:r>
    </w:p>
    <w:bookmarkEnd w:id="68"/>
    <w:bookmarkStart w:id="70" w:name="ref-esdm"/>
    <w:p>
      <w:pPr>
        <w:pStyle w:val="Bibliography"/>
      </w:pPr>
      <w:r>
        <w:t xml:space="preserve">ESDM, Kementerian. 2023.</w:t>
      </w:r>
      <w:r>
        <w:t xml:space="preserve"> </w:t>
      </w:r>
      <w:r>
        <w:t xml:space="preserve">“Pengembangan Ekosistem KBLBB Dorong Masuknya Investasi Kendaraan Listrik.”</w:t>
      </w:r>
      <w:r>
        <w:t xml:space="preserve"> </w:t>
      </w:r>
      <w:r>
        <w:t xml:space="preserve">Siaran Pers Kementerian ESDM.</w:t>
      </w:r>
      <w:r>
        <w:t xml:space="preserve"> </w:t>
      </w:r>
      <w:hyperlink r:id="rId69">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0"/>
    <w:bookmarkStart w:id="72" w:name="ref-fred"/>
    <w:p>
      <w:pPr>
        <w:pStyle w:val="Bibliography"/>
      </w:pPr>
      <w:r>
        <w:t xml:space="preserve">FRED. 2023.</w:t>
      </w:r>
      <w:r>
        <w:t xml:space="preserve"> </w:t>
      </w:r>
      <w:r>
        <w:t xml:space="preserve">“FRED Economic Data.”</w:t>
      </w:r>
      <w:r>
        <w:t xml:space="preserve"> </w:t>
      </w:r>
      <w:hyperlink r:id="rId71">
        <w:r>
          <w:rPr>
            <w:rStyle w:val="Hyperlink"/>
          </w:rPr>
          <w:t xml:space="preserve">https://fred.stlouisfed.org/series/DCOILWTICO/</w:t>
        </w:r>
      </w:hyperlink>
      <w:r>
        <w:t xml:space="preserve">.</w:t>
      </w:r>
    </w:p>
    <w:bookmarkEnd w:id="72"/>
    <w:bookmarkStart w:id="74"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3">
        <w:r>
          <w:rPr>
            <w:rStyle w:val="Hyperlink"/>
          </w:rPr>
          <w:t xml:space="preserve">s.id/greenpln</w:t>
        </w:r>
      </w:hyperlink>
      <w:r>
        <w:t xml:space="preserve">.</w:t>
      </w:r>
    </w:p>
    <w:bookmarkEnd w:id="74"/>
    <w:bookmarkStart w:id="76" w:name="ref-apbn2024"/>
    <w:p>
      <w:pPr>
        <w:pStyle w:val="Bibliography"/>
      </w:pPr>
      <w:r>
        <w:t xml:space="preserve">Indonesia, Kementerian Keuangan Republik. 2023.</w:t>
      </w:r>
      <w:r>
        <w:t xml:space="preserve"> </w:t>
      </w:r>
      <w:r>
        <w:t xml:space="preserve">“APBN 2024 Resmi Meluncur.”</w:t>
      </w:r>
      <w:r>
        <w:t xml:space="preserve"> </w:t>
      </w:r>
      <w:r>
        <w:t xml:space="preserve">2023.</w:t>
      </w:r>
      <w:r>
        <w:t xml:space="preserve"> </w:t>
      </w:r>
      <w:hyperlink r:id="rId75">
        <w:r>
          <w:rPr>
            <w:rStyle w:val="Hyperlink"/>
          </w:rPr>
          <w:t xml:space="preserve">https://www.djkn.kemenkeu.go.id/berita/baca/33506/APBN-2024-Resmi-Meluncur.html</w:t>
        </w:r>
      </w:hyperlink>
      <w:r>
        <w:t xml:space="preserve">.</w:t>
      </w:r>
    </w:p>
    <w:bookmarkEnd w:id="76"/>
    <w:bookmarkStart w:id="78" w:name="ref-vars"/>
    <w:p>
      <w:pPr>
        <w:pStyle w:val="Bibliography"/>
      </w:pPr>
      <w:r>
        <w:t xml:space="preserve">Pfaff, Bernhard. 2007.</w:t>
      </w:r>
      <w:r>
        <w:t xml:space="preserve"> </w:t>
      </w:r>
      <w:r>
        <w:t xml:space="preserve">“Using the Vars Package.”</w:t>
      </w:r>
      <w:r>
        <w:t xml:space="preserve"> </w:t>
      </w:r>
      <w:hyperlink r:id="rId77">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8"/>
    <w:bookmarkStart w:id="80"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79">
        <w:r>
          <w:rPr>
            <w:rStyle w:val="Hyperlink"/>
          </w:rPr>
          <w:t xml:space="preserve">https://www.liputan6.com/bisnis/read/5044185/tengok-perbandingan-asumsi-makro-dan-postur-apbn-2022-dan-2023?page=2</w:t>
        </w:r>
      </w:hyperlink>
      <w:r>
        <w:t xml:space="preserve">.</w:t>
      </w:r>
    </w:p>
    <w:bookmarkEnd w:id="80"/>
    <w:bookmarkStart w:id="82"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1">
        <w:r>
          <w:rPr>
            <w:rStyle w:val="Hyperlink"/>
          </w:rPr>
          <w:t xml:space="preserve">https://www.msn.com/en-us/money/markets/oil-climbs-over-2-as-opec-seen-deepening-cuts/ar-AA1kftku</w:t>
        </w:r>
      </w:hyperlink>
      <w:r>
        <w:t xml:space="preserve">.</w:t>
      </w:r>
    </w:p>
    <w:bookmarkEnd w:id="82"/>
    <w:bookmarkStart w:id="84" w:name="ref-yfin"/>
    <w:p>
      <w:pPr>
        <w:pStyle w:val="Bibliography"/>
      </w:pPr>
      <w:r>
        <w:t xml:space="preserve">ycharts.com. 2023.</w:t>
      </w:r>
      <w:r>
        <w:t xml:space="preserve"> </w:t>
      </w:r>
      <w:r>
        <w:t xml:space="preserve">“OPEC Crude Oil Production.”</w:t>
      </w:r>
      <w:r>
        <w:t xml:space="preserve"> </w:t>
      </w:r>
      <w:hyperlink r:id="rId83">
        <w:r>
          <w:rPr>
            <w:rStyle w:val="Hyperlink"/>
          </w:rPr>
          <w:t xml:space="preserve">https://ycharts.com/indicators/opec_crude_oil_production</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69"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7" Target="https://ekonomi.bisnis.com/read/20231023/9/1706962/bi-peringatkan-fenomena-higher-for-longer-apa-itu" TargetMode="External" /><Relationship Type="http://schemas.openxmlformats.org/officeDocument/2006/relationships/hyperlink" Id="rId71" Target="https://fred.stlouisfed.org/series/DCOILWTICO/" TargetMode="External" /><Relationship Type="http://schemas.openxmlformats.org/officeDocument/2006/relationships/hyperlink" Id="rId73" Target="https://s.id/greenpln" TargetMode="External" /><Relationship Type="http://schemas.openxmlformats.org/officeDocument/2006/relationships/hyperlink" Id="rId65" Target="https://www.bi.go.id/id/statistik/ekonomi-keuangan/seki/Default.aspx#headingThree" TargetMode="External" /><Relationship Type="http://schemas.openxmlformats.org/officeDocument/2006/relationships/hyperlink" Id="rId75" Target="https://www.djkn.kemenkeu.go.id/berita/baca/33506/APBN-2024-Resmi-Meluncur.html" TargetMode="External" /><Relationship Type="http://schemas.openxmlformats.org/officeDocument/2006/relationships/hyperlink" Id="rId79" Target="https://www.liputan6.com/bisnis/read/5044185/tengok-perbandingan-asumsi-makro-dan-postur-apbn-2022-dan-2023?page=2" TargetMode="External" /><Relationship Type="http://schemas.openxmlformats.org/officeDocument/2006/relationships/hyperlink" Id="rId81" Target="https://www.msn.com/en-us/money/markets/oil-climbs-over-2-as-opec-seen-deepening-cuts/ar-AA1kftku" TargetMode="External" /><Relationship Type="http://schemas.openxmlformats.org/officeDocument/2006/relationships/hyperlink" Id="rId77"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3"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69"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7" Target="https://ekonomi.bisnis.com/read/20231023/9/1706962/bi-peringatkan-fenomena-higher-for-longer-apa-itu" TargetMode="External" /><Relationship Type="http://schemas.openxmlformats.org/officeDocument/2006/relationships/hyperlink" Id="rId71" Target="https://fred.stlouisfed.org/series/DCOILWTICO/" TargetMode="External" /><Relationship Type="http://schemas.openxmlformats.org/officeDocument/2006/relationships/hyperlink" Id="rId73" Target="https://s.id/greenpln" TargetMode="External" /><Relationship Type="http://schemas.openxmlformats.org/officeDocument/2006/relationships/hyperlink" Id="rId65" Target="https://www.bi.go.id/id/statistik/ekonomi-keuangan/seki/Default.aspx#headingThree" TargetMode="External" /><Relationship Type="http://schemas.openxmlformats.org/officeDocument/2006/relationships/hyperlink" Id="rId75" Target="https://www.djkn.kemenkeu.go.id/berita/baca/33506/APBN-2024-Resmi-Meluncur.html" TargetMode="External" /><Relationship Type="http://schemas.openxmlformats.org/officeDocument/2006/relationships/hyperlink" Id="rId79" Target="https://www.liputan6.com/bisnis/read/5044185/tengok-perbandingan-asumsi-makro-dan-postur-apbn-2022-dan-2023?page=2" TargetMode="External" /><Relationship Type="http://schemas.openxmlformats.org/officeDocument/2006/relationships/hyperlink" Id="rId81" Target="https://www.msn.com/en-us/money/markets/oil-climbs-over-2-as-opec-seen-deepening-cuts/ar-AA1kftku" TargetMode="External" /><Relationship Type="http://schemas.openxmlformats.org/officeDocument/2006/relationships/hyperlink" Id="rId77"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3"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2023-11-26T13:08:12Z</dcterms:created>
  <dcterms:modified xsi:type="dcterms:W3CDTF">2023-11-26T13:08:12Z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institute">
    <vt:lpwstr>Politeknik APP Jakarta</vt:lpwstr>
  </property>
  <property fmtid="{D5CDD505-2E9C-101B-9397-08002B2CF9AE}" pid="17" name="institutes">
    <vt:lpwstr/>
  </property>
  <property fmtid="{D5CDD505-2E9C-101B-9397-08002B2CF9AE}" pid="18" name="labels">
    <vt:lpwstr/>
  </property>
  <property fmtid="{D5CDD505-2E9C-101B-9397-08002B2CF9AE}" pid="19" name="toc-title">
    <vt:lpwstr>Table of contents</vt:lpwstr>
  </property>
</Properties>
</file>