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160" w:before="480" w:lineRule="auto"/>
        <w:jc w:val="both"/>
        <w:rPr>
          <w:b w:val="1"/>
          <w:sz w:val="48"/>
          <w:szCs w:val="48"/>
        </w:rPr>
      </w:pPr>
      <w:bookmarkStart w:colFirst="0" w:colLast="0" w:name="_h8z4z0flszo0" w:id="0"/>
      <w:bookmarkEnd w:id="0"/>
      <w:r w:rsidDel="00000000" w:rsidR="00000000" w:rsidRPr="00000000">
        <w:rPr>
          <w:b w:val="1"/>
          <w:sz w:val="48"/>
          <w:szCs w:val="48"/>
          <w:rtl w:val="0"/>
        </w:rPr>
        <w:t xml:space="preserve">Term of Reference</w:t>
      </w:r>
    </w:p>
    <w:p w:rsidR="00000000" w:rsidDel="00000000" w:rsidP="00000000" w:rsidRDefault="00000000" w:rsidRPr="00000000" w14:paraId="00000002">
      <w:pPr>
        <w:spacing w:after="240" w:before="240" w:line="276" w:lineRule="auto"/>
        <w:jc w:val="both"/>
        <w:rPr>
          <w:b w:val="1"/>
          <w:sz w:val="36"/>
          <w:szCs w:val="36"/>
        </w:rPr>
      </w:pPr>
      <w:r w:rsidDel="00000000" w:rsidR="00000000" w:rsidRPr="00000000">
        <w:rPr>
          <w:b w:val="1"/>
          <w:sz w:val="36"/>
          <w:szCs w:val="36"/>
          <w:rtl w:val="0"/>
        </w:rPr>
        <w:t xml:space="preserve">DIKSI (Diskusi Kekinian Seputar Indonesia) Jilid 2</w:t>
      </w:r>
    </w:p>
    <w:p w:rsidR="00000000" w:rsidDel="00000000" w:rsidP="00000000" w:rsidRDefault="00000000" w:rsidRPr="00000000" w14:paraId="00000003">
      <w:pPr>
        <w:spacing w:after="240" w:before="240" w:line="276" w:lineRule="auto"/>
        <w:jc w:val="both"/>
        <w:rPr>
          <w:b w:val="1"/>
          <w:sz w:val="28"/>
          <w:szCs w:val="28"/>
        </w:rPr>
      </w:pPr>
      <w:r w:rsidDel="00000000" w:rsidR="00000000" w:rsidRPr="00000000">
        <w:rPr>
          <w:b w:val="1"/>
          <w:sz w:val="28"/>
          <w:szCs w:val="28"/>
          <w:rtl w:val="0"/>
        </w:rPr>
        <w:t xml:space="preserve">ASEAN Epicentrum of Growth: Navigating Global Instability through Regional Connectivity </w:t>
      </w:r>
    </w:p>
    <w:p w:rsidR="00000000" w:rsidDel="00000000" w:rsidP="00000000" w:rsidRDefault="00000000" w:rsidRPr="00000000" w14:paraId="00000004">
      <w:pPr>
        <w:spacing w:after="240" w:before="240" w:line="276" w:lineRule="auto"/>
        <w:jc w:val="both"/>
        <w:rPr>
          <w:sz w:val="24"/>
          <w:szCs w:val="24"/>
        </w:rPr>
      </w:pPr>
      <w:r w:rsidDel="00000000" w:rsidR="00000000" w:rsidRPr="00000000">
        <w:rPr>
          <w:sz w:val="24"/>
          <w:szCs w:val="24"/>
          <w:rtl w:val="0"/>
        </w:rPr>
        <w:t xml:space="preserve">Created: May 2023</w:t>
      </w:r>
    </w:p>
    <w:p w:rsidR="00000000" w:rsidDel="00000000" w:rsidP="00000000" w:rsidRDefault="00000000" w:rsidRPr="00000000" w14:paraId="00000005">
      <w:pPr>
        <w:spacing w:after="240" w:before="24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6">
      <w:pPr>
        <w:pStyle w:val="Heading2"/>
        <w:keepNext w:val="0"/>
        <w:keepLines w:val="0"/>
        <w:spacing w:after="160" w:line="276" w:lineRule="auto"/>
        <w:jc w:val="both"/>
        <w:rPr>
          <w:b w:val="1"/>
          <w:sz w:val="28"/>
          <w:szCs w:val="28"/>
        </w:rPr>
      </w:pPr>
      <w:bookmarkStart w:colFirst="0" w:colLast="0" w:name="_d0qhj1tzd8se" w:id="1"/>
      <w:bookmarkEnd w:id="1"/>
      <w:r w:rsidDel="00000000" w:rsidR="00000000" w:rsidRPr="00000000">
        <w:rPr>
          <w:b w:val="1"/>
          <w:sz w:val="28"/>
          <w:szCs w:val="28"/>
          <w:rtl w:val="0"/>
        </w:rPr>
        <w:t xml:space="preserve">Overview</w:t>
      </w:r>
    </w:p>
    <w:p w:rsidR="00000000" w:rsidDel="00000000" w:rsidP="00000000" w:rsidRDefault="00000000" w:rsidRPr="00000000" w14:paraId="00000007">
      <w:pPr>
        <w:spacing w:after="240" w:before="240" w:line="276" w:lineRule="auto"/>
        <w:jc w:val="both"/>
        <w:rPr>
          <w:sz w:val="24"/>
          <w:szCs w:val="24"/>
        </w:rPr>
      </w:pPr>
      <w:r w:rsidDel="00000000" w:rsidR="00000000" w:rsidRPr="00000000">
        <w:rPr>
          <w:sz w:val="24"/>
          <w:szCs w:val="24"/>
          <w:rtl w:val="0"/>
        </w:rPr>
        <w:t xml:space="preserve">DIKSI Jilid 2 is one of PPI Australia’s leading events that is held once every two months to discuss actual and relevant topics revolving around Indonesia’s politics, economics, humanities, culture, health, technology, environment, energy, and other relevant issues  in a webinar format which seeks to present insights by leading figures in Indonesia’s political, business, and research sector whilst facilitating a proactive discussion on the strategic issues Indonesia is currently facing.</w:t>
      </w:r>
    </w:p>
    <w:p w:rsidR="00000000" w:rsidDel="00000000" w:rsidP="00000000" w:rsidRDefault="00000000" w:rsidRPr="00000000" w14:paraId="00000008">
      <w:pPr>
        <w:spacing w:after="240" w:before="240" w:line="276" w:lineRule="auto"/>
        <w:jc w:val="both"/>
        <w:rPr>
          <w:sz w:val="24"/>
          <w:szCs w:val="24"/>
        </w:rPr>
      </w:pPr>
      <w:r w:rsidDel="00000000" w:rsidR="00000000" w:rsidRPr="00000000">
        <w:rPr>
          <w:sz w:val="24"/>
          <w:szCs w:val="24"/>
          <w:rtl w:val="0"/>
        </w:rPr>
        <w:t xml:space="preserve">In this current edition of DIKSI Jilid 2, PPI Australia seeks to cover Indonesia’s presidency of the 42</w:t>
      </w:r>
      <w:r w:rsidDel="00000000" w:rsidR="00000000" w:rsidRPr="00000000">
        <w:rPr>
          <w:sz w:val="24"/>
          <w:szCs w:val="24"/>
          <w:vertAlign w:val="superscript"/>
          <w:rtl w:val="0"/>
        </w:rPr>
        <w:t xml:space="preserve">nd</w:t>
      </w:r>
      <w:r w:rsidDel="00000000" w:rsidR="00000000" w:rsidRPr="00000000">
        <w:rPr>
          <w:sz w:val="24"/>
          <w:szCs w:val="24"/>
          <w:rtl w:val="0"/>
        </w:rPr>
        <w:t xml:space="preserve"> ASEAN Summit</w:t>
      </w:r>
      <w:r w:rsidDel="00000000" w:rsidR="00000000" w:rsidRPr="00000000">
        <w:rPr>
          <w:sz w:val="24"/>
          <w:szCs w:val="24"/>
          <w:rtl w:val="0"/>
        </w:rPr>
        <w:t xml:space="preserve">. More specifically, this webinar will focus on the topic of regional economic collaborations that has been in the forefront of the 42</w:t>
      </w:r>
      <w:r w:rsidDel="00000000" w:rsidR="00000000" w:rsidRPr="00000000">
        <w:rPr>
          <w:sz w:val="24"/>
          <w:szCs w:val="24"/>
          <w:vertAlign w:val="superscript"/>
          <w:rtl w:val="0"/>
        </w:rPr>
        <w:t xml:space="preserve">nd</w:t>
      </w:r>
      <w:r w:rsidDel="00000000" w:rsidR="00000000" w:rsidRPr="00000000">
        <w:rPr>
          <w:sz w:val="24"/>
          <w:szCs w:val="24"/>
          <w:rtl w:val="0"/>
        </w:rPr>
        <w:t xml:space="preserve"> ASEAN Summit as reflected by two ASEAN leaders’ declarations associated with economic cooperation which encompasses the development of regional electric vehicle ecosystem and advancement of regional payment connectivity. </w:t>
      </w:r>
    </w:p>
    <w:p w:rsidR="00000000" w:rsidDel="00000000" w:rsidP="00000000" w:rsidRDefault="00000000" w:rsidRPr="00000000" w14:paraId="00000009">
      <w:pPr>
        <w:spacing w:after="240" w:before="240" w:line="276" w:lineRule="auto"/>
        <w:jc w:val="both"/>
        <w:rPr>
          <w:sz w:val="24"/>
          <w:szCs w:val="24"/>
        </w:rPr>
      </w:pPr>
      <w:r w:rsidDel="00000000" w:rsidR="00000000" w:rsidRPr="00000000">
        <w:rPr>
          <w:sz w:val="24"/>
          <w:szCs w:val="24"/>
          <w:rtl w:val="0"/>
        </w:rPr>
        <w:t xml:space="preserve">There are three main sub-topics that will be discussed in this webinar. Firstly, the role of the 42</w:t>
      </w:r>
      <w:r w:rsidDel="00000000" w:rsidR="00000000" w:rsidRPr="00000000">
        <w:rPr>
          <w:sz w:val="24"/>
          <w:szCs w:val="24"/>
          <w:vertAlign w:val="superscript"/>
          <w:rtl w:val="0"/>
        </w:rPr>
        <w:t xml:space="preserve">nd</w:t>
      </w:r>
      <w:r w:rsidDel="00000000" w:rsidR="00000000" w:rsidRPr="00000000">
        <w:rPr>
          <w:sz w:val="24"/>
          <w:szCs w:val="24"/>
          <w:rtl w:val="0"/>
        </w:rPr>
        <w:t xml:space="preserve"> ASEAN Summit in advancing the visions embedded in the ASEAN Economic Community Blueprint 2025. Secondly, the role of the 42</w:t>
      </w:r>
      <w:r w:rsidDel="00000000" w:rsidR="00000000" w:rsidRPr="00000000">
        <w:rPr>
          <w:sz w:val="24"/>
          <w:szCs w:val="24"/>
          <w:vertAlign w:val="superscript"/>
          <w:rtl w:val="0"/>
        </w:rPr>
        <w:t xml:space="preserve">nd</w:t>
      </w:r>
      <w:r w:rsidDel="00000000" w:rsidR="00000000" w:rsidRPr="00000000">
        <w:rPr>
          <w:sz w:val="24"/>
          <w:szCs w:val="24"/>
          <w:rtl w:val="0"/>
        </w:rPr>
        <w:t xml:space="preserve"> ASEAN Summit in addressing various regional and global challenges. Thirdly, potential challenges and obstacles that may arise in achieving the goals espoused in the aforementioned ASEAN leaders’ declarations. </w:t>
      </w:r>
    </w:p>
    <w:p w:rsidR="00000000" w:rsidDel="00000000" w:rsidP="00000000" w:rsidRDefault="00000000" w:rsidRPr="00000000" w14:paraId="0000000A">
      <w:pPr>
        <w:spacing w:after="240" w:before="240" w:line="276" w:lineRule="auto"/>
        <w:jc w:val="both"/>
        <w:rPr>
          <w:sz w:val="24"/>
          <w:szCs w:val="24"/>
        </w:rPr>
      </w:pPr>
      <w:r w:rsidDel="00000000" w:rsidR="00000000" w:rsidRPr="00000000">
        <w:rPr>
          <w:sz w:val="24"/>
          <w:szCs w:val="24"/>
          <w:rtl w:val="0"/>
        </w:rPr>
        <w:t xml:space="preserve">Furthermore, this event also seeks to highlight the 42</w:t>
      </w:r>
      <w:r w:rsidDel="00000000" w:rsidR="00000000" w:rsidRPr="00000000">
        <w:rPr>
          <w:sz w:val="24"/>
          <w:szCs w:val="24"/>
          <w:vertAlign w:val="superscript"/>
          <w:rtl w:val="0"/>
        </w:rPr>
        <w:t xml:space="preserve">nd</w:t>
      </w:r>
      <w:r w:rsidDel="00000000" w:rsidR="00000000" w:rsidRPr="00000000">
        <w:rPr>
          <w:sz w:val="24"/>
          <w:szCs w:val="24"/>
          <w:rtl w:val="0"/>
        </w:rPr>
        <w:t xml:space="preserve"> ASEAN Summit from a broader perspective by providing an overview of the main outcomes of the 42</w:t>
      </w:r>
      <w:r w:rsidDel="00000000" w:rsidR="00000000" w:rsidRPr="00000000">
        <w:rPr>
          <w:sz w:val="24"/>
          <w:szCs w:val="24"/>
          <w:vertAlign w:val="superscript"/>
          <w:rtl w:val="0"/>
        </w:rPr>
        <w:t xml:space="preserve">nd</w:t>
      </w:r>
      <w:r w:rsidDel="00000000" w:rsidR="00000000" w:rsidRPr="00000000">
        <w:rPr>
          <w:sz w:val="24"/>
          <w:szCs w:val="24"/>
          <w:rtl w:val="0"/>
        </w:rPr>
        <w:t xml:space="preserve"> ASEAN Summit and ensuring regional collaborations and policies after the summit. </w:t>
      </w:r>
      <w:r w:rsidDel="00000000" w:rsidR="00000000" w:rsidRPr="00000000">
        <w:rPr>
          <w:rtl w:val="0"/>
        </w:rPr>
      </w:r>
    </w:p>
    <w:p w:rsidR="00000000" w:rsidDel="00000000" w:rsidP="00000000" w:rsidRDefault="00000000" w:rsidRPr="00000000" w14:paraId="0000000B">
      <w:pPr>
        <w:pStyle w:val="Heading2"/>
        <w:keepNext w:val="0"/>
        <w:keepLines w:val="0"/>
        <w:spacing w:after="160" w:line="276" w:lineRule="auto"/>
        <w:jc w:val="both"/>
        <w:rPr>
          <w:b w:val="1"/>
          <w:sz w:val="28"/>
          <w:szCs w:val="28"/>
        </w:rPr>
      </w:pPr>
      <w:bookmarkStart w:colFirst="0" w:colLast="0" w:name="_jl6j50z79fcg" w:id="2"/>
      <w:bookmarkEnd w:id="2"/>
      <w:r w:rsidDel="00000000" w:rsidR="00000000" w:rsidRPr="00000000">
        <w:rPr>
          <w:b w:val="1"/>
          <w:sz w:val="28"/>
          <w:szCs w:val="28"/>
          <w:rtl w:val="0"/>
        </w:rPr>
        <w:t xml:space="preserve">Aim and Objectives</w:t>
      </w:r>
    </w:p>
    <w:p w:rsidR="00000000" w:rsidDel="00000000" w:rsidP="00000000" w:rsidRDefault="00000000" w:rsidRPr="00000000" w14:paraId="0000000C">
      <w:pPr>
        <w:numPr>
          <w:ilvl w:val="0"/>
          <w:numId w:val="1"/>
        </w:numPr>
        <w:spacing w:after="0" w:afterAutospacing="0" w:before="240" w:line="276" w:lineRule="auto"/>
        <w:ind w:left="720" w:hanging="360"/>
        <w:jc w:val="both"/>
        <w:rPr>
          <w:u w:val="none"/>
        </w:rPr>
      </w:pPr>
      <w:r w:rsidDel="00000000" w:rsidR="00000000" w:rsidRPr="00000000">
        <w:rPr>
          <w:sz w:val="24"/>
          <w:szCs w:val="24"/>
          <w:rtl w:val="0"/>
        </w:rPr>
        <w:t xml:space="preserve">To facilitate Indonesian students in Australia’s contribution to the formulation of policies and solutions addressing Indonesia’s strategic issues.</w:t>
      </w:r>
    </w:p>
    <w:p w:rsidR="00000000" w:rsidDel="00000000" w:rsidP="00000000" w:rsidRDefault="00000000" w:rsidRPr="00000000" w14:paraId="0000000D">
      <w:pPr>
        <w:numPr>
          <w:ilvl w:val="0"/>
          <w:numId w:val="1"/>
        </w:numPr>
        <w:spacing w:after="0" w:afterAutospacing="0" w:before="0" w:beforeAutospacing="0" w:line="276" w:lineRule="auto"/>
        <w:ind w:left="720" w:hanging="360"/>
        <w:jc w:val="both"/>
        <w:rPr>
          <w:u w:val="none"/>
        </w:rPr>
      </w:pPr>
      <w:r w:rsidDel="00000000" w:rsidR="00000000" w:rsidRPr="00000000">
        <w:rPr>
          <w:sz w:val="24"/>
          <w:szCs w:val="24"/>
          <w:rtl w:val="0"/>
        </w:rPr>
        <w:t xml:space="preserve">To provide a platform for Indonesian students in Australia to deliver their thoughts and insights on Indonesia’s strategic issues to key stakeholders.</w:t>
      </w:r>
    </w:p>
    <w:p w:rsidR="00000000" w:rsidDel="00000000" w:rsidP="00000000" w:rsidRDefault="00000000" w:rsidRPr="00000000" w14:paraId="0000000E">
      <w:pPr>
        <w:numPr>
          <w:ilvl w:val="0"/>
          <w:numId w:val="1"/>
        </w:numPr>
        <w:spacing w:after="0" w:afterAutospacing="0" w:before="0" w:beforeAutospacing="0" w:line="276" w:lineRule="auto"/>
        <w:ind w:left="720" w:hanging="360"/>
        <w:jc w:val="both"/>
        <w:rPr>
          <w:u w:val="none"/>
        </w:rPr>
      </w:pPr>
      <w:r w:rsidDel="00000000" w:rsidR="00000000" w:rsidRPr="00000000">
        <w:rPr>
          <w:sz w:val="24"/>
          <w:szCs w:val="24"/>
          <w:rtl w:val="0"/>
        </w:rPr>
        <w:t xml:space="preserve">To develop critical thinking and academic communication skills among Indonesian students in Australia by providing an opportunity for them to engage in a scholarly discussion on Indonesia’s strategic issues.</w:t>
      </w:r>
    </w:p>
    <w:p w:rsidR="00000000" w:rsidDel="00000000" w:rsidP="00000000" w:rsidRDefault="00000000" w:rsidRPr="00000000" w14:paraId="0000000F">
      <w:pPr>
        <w:numPr>
          <w:ilvl w:val="0"/>
          <w:numId w:val="1"/>
        </w:numPr>
        <w:spacing w:after="240" w:before="0" w:beforeAutospacing="0" w:line="276" w:lineRule="auto"/>
        <w:ind w:left="720" w:hanging="360"/>
        <w:jc w:val="both"/>
        <w:rPr>
          <w:u w:val="none"/>
        </w:rPr>
      </w:pPr>
      <w:r w:rsidDel="00000000" w:rsidR="00000000" w:rsidRPr="00000000">
        <w:rPr>
          <w:sz w:val="24"/>
          <w:szCs w:val="24"/>
          <w:rtl w:val="0"/>
        </w:rPr>
        <w:t xml:space="preserve">To provide an opportunity for Indonesian students and the public to learn more about Indonesia’s strategic issues from experts on the issues at hand.</w:t>
      </w:r>
    </w:p>
    <w:p w:rsidR="00000000" w:rsidDel="00000000" w:rsidP="00000000" w:rsidRDefault="00000000" w:rsidRPr="00000000" w14:paraId="00000010">
      <w:pPr>
        <w:pStyle w:val="Heading2"/>
        <w:keepNext w:val="0"/>
        <w:keepLines w:val="0"/>
        <w:spacing w:after="160" w:line="276" w:lineRule="auto"/>
        <w:jc w:val="both"/>
        <w:rPr>
          <w:b w:val="1"/>
          <w:sz w:val="28"/>
          <w:szCs w:val="28"/>
        </w:rPr>
      </w:pPr>
      <w:bookmarkStart w:colFirst="0" w:colLast="0" w:name="_x5l33mk9mh1h" w:id="3"/>
      <w:bookmarkEnd w:id="3"/>
      <w:r w:rsidDel="00000000" w:rsidR="00000000" w:rsidRPr="00000000">
        <w:rPr>
          <w:b w:val="1"/>
          <w:sz w:val="28"/>
          <w:szCs w:val="28"/>
          <w:rtl w:val="0"/>
        </w:rPr>
        <w:t xml:space="preserve">Target Output</w:t>
      </w:r>
    </w:p>
    <w:p w:rsidR="00000000" w:rsidDel="00000000" w:rsidP="00000000" w:rsidRDefault="00000000" w:rsidRPr="00000000" w14:paraId="00000011">
      <w:pPr>
        <w:numPr>
          <w:ilvl w:val="0"/>
          <w:numId w:val="2"/>
        </w:numPr>
        <w:spacing w:after="0" w:afterAutospacing="0" w:before="240" w:line="276" w:lineRule="auto"/>
        <w:ind w:left="720" w:hanging="360"/>
        <w:jc w:val="both"/>
        <w:rPr>
          <w:u w:val="none"/>
        </w:rPr>
      </w:pPr>
      <w:r w:rsidDel="00000000" w:rsidR="00000000" w:rsidRPr="00000000">
        <w:rPr>
          <w:sz w:val="24"/>
          <w:szCs w:val="24"/>
          <w:rtl w:val="0"/>
        </w:rPr>
        <w:t xml:space="preserve">External coverage on the event by PPI Australia’s media partners.</w:t>
      </w:r>
    </w:p>
    <w:p w:rsidR="00000000" w:rsidDel="00000000" w:rsidP="00000000" w:rsidRDefault="00000000" w:rsidRPr="00000000" w14:paraId="00000012">
      <w:pPr>
        <w:numPr>
          <w:ilvl w:val="0"/>
          <w:numId w:val="2"/>
        </w:numPr>
        <w:spacing w:after="0" w:afterAutospacing="0" w:before="0" w:beforeAutospacing="0" w:line="276" w:lineRule="auto"/>
        <w:ind w:left="720" w:hanging="360"/>
        <w:jc w:val="both"/>
        <w:rPr>
          <w:u w:val="none"/>
        </w:rPr>
      </w:pPr>
      <w:r w:rsidDel="00000000" w:rsidR="00000000" w:rsidRPr="00000000">
        <w:rPr>
          <w:sz w:val="24"/>
          <w:szCs w:val="24"/>
          <w:rtl w:val="0"/>
        </w:rPr>
        <w:t xml:space="preserve">Publication of the webinar recording on PPI Australia’s Youtube Channel.</w:t>
      </w:r>
    </w:p>
    <w:p w:rsidR="00000000" w:rsidDel="00000000" w:rsidP="00000000" w:rsidRDefault="00000000" w:rsidRPr="00000000" w14:paraId="00000013">
      <w:pPr>
        <w:numPr>
          <w:ilvl w:val="0"/>
          <w:numId w:val="2"/>
        </w:numPr>
        <w:spacing w:after="240" w:before="0" w:beforeAutospacing="0" w:line="276" w:lineRule="auto"/>
        <w:ind w:left="720" w:hanging="360"/>
        <w:jc w:val="both"/>
        <w:rPr>
          <w:u w:val="none"/>
        </w:rPr>
      </w:pPr>
      <w:r w:rsidDel="00000000" w:rsidR="00000000" w:rsidRPr="00000000">
        <w:rPr>
          <w:sz w:val="24"/>
          <w:szCs w:val="24"/>
          <w:rtl w:val="0"/>
        </w:rPr>
        <w:t xml:space="preserve">Dissemination of the solutions and insights formulated in the </w:t>
      </w:r>
      <w:r w:rsidDel="00000000" w:rsidR="00000000" w:rsidRPr="00000000">
        <w:rPr>
          <w:i w:val="1"/>
          <w:sz w:val="24"/>
          <w:szCs w:val="24"/>
          <w:rtl w:val="0"/>
        </w:rPr>
        <w:t xml:space="preserve">webinar</w:t>
      </w:r>
      <w:r w:rsidDel="00000000" w:rsidR="00000000" w:rsidRPr="00000000">
        <w:rPr>
          <w:sz w:val="24"/>
          <w:szCs w:val="24"/>
          <w:rtl w:val="0"/>
        </w:rPr>
        <w:t xml:space="preserve"> to the public through press releases and event recaps in PPI Australia’s website and social media.</w:t>
      </w:r>
    </w:p>
    <w:p w:rsidR="00000000" w:rsidDel="00000000" w:rsidP="00000000" w:rsidRDefault="00000000" w:rsidRPr="00000000" w14:paraId="00000014">
      <w:pPr>
        <w:pStyle w:val="Heading2"/>
        <w:keepNext w:val="0"/>
        <w:keepLines w:val="0"/>
        <w:spacing w:after="160" w:line="276" w:lineRule="auto"/>
        <w:jc w:val="both"/>
        <w:rPr>
          <w:b w:val="1"/>
          <w:sz w:val="28"/>
          <w:szCs w:val="28"/>
        </w:rPr>
      </w:pPr>
      <w:bookmarkStart w:colFirst="0" w:colLast="0" w:name="_12g8bbl1mxxj" w:id="4"/>
      <w:bookmarkEnd w:id="4"/>
      <w:r w:rsidDel="00000000" w:rsidR="00000000" w:rsidRPr="00000000">
        <w:rPr>
          <w:b w:val="1"/>
          <w:sz w:val="28"/>
          <w:szCs w:val="28"/>
          <w:rtl w:val="0"/>
        </w:rPr>
        <w:t xml:space="preserve">Target Audience</w:t>
      </w:r>
    </w:p>
    <w:p w:rsidR="00000000" w:rsidDel="00000000" w:rsidP="00000000" w:rsidRDefault="00000000" w:rsidRPr="00000000" w14:paraId="00000015">
      <w:pPr>
        <w:spacing w:after="240" w:before="240" w:line="276" w:lineRule="auto"/>
        <w:jc w:val="both"/>
        <w:rPr>
          <w:sz w:val="24"/>
          <w:szCs w:val="24"/>
        </w:rPr>
      </w:pPr>
      <w:r w:rsidDel="00000000" w:rsidR="00000000" w:rsidRPr="00000000">
        <w:rPr>
          <w:sz w:val="24"/>
          <w:szCs w:val="24"/>
          <w:rtl w:val="0"/>
        </w:rPr>
        <w:t xml:space="preserve">The target audience will be around 100 people, ranging from students, academics, researchers, government representatives, and the public.</w:t>
      </w:r>
    </w:p>
    <w:p w:rsidR="00000000" w:rsidDel="00000000" w:rsidP="00000000" w:rsidRDefault="00000000" w:rsidRPr="00000000" w14:paraId="00000016">
      <w:pPr>
        <w:spacing w:after="240" w:before="24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7">
      <w:pPr>
        <w:pStyle w:val="Heading2"/>
        <w:keepNext w:val="0"/>
        <w:keepLines w:val="0"/>
        <w:spacing w:after="160" w:line="276" w:lineRule="auto"/>
        <w:jc w:val="both"/>
        <w:rPr>
          <w:b w:val="1"/>
          <w:sz w:val="28"/>
          <w:szCs w:val="28"/>
        </w:rPr>
      </w:pPr>
      <w:bookmarkStart w:colFirst="0" w:colLast="0" w:name="_c2ja23ggzqie" w:id="5"/>
      <w:bookmarkEnd w:id="5"/>
      <w:r w:rsidDel="00000000" w:rsidR="00000000" w:rsidRPr="00000000">
        <w:rPr>
          <w:b w:val="1"/>
          <w:sz w:val="28"/>
          <w:szCs w:val="28"/>
          <w:rtl w:val="0"/>
        </w:rPr>
        <w:t xml:space="preserve">Organizer</w:t>
      </w:r>
    </w:p>
    <w:p w:rsidR="00000000" w:rsidDel="00000000" w:rsidP="00000000" w:rsidRDefault="00000000" w:rsidRPr="00000000" w14:paraId="00000018">
      <w:pPr>
        <w:spacing w:after="240" w:before="240" w:line="276" w:lineRule="auto"/>
        <w:jc w:val="both"/>
        <w:rPr>
          <w:sz w:val="24"/>
          <w:szCs w:val="24"/>
        </w:rPr>
      </w:pPr>
      <w:r w:rsidDel="00000000" w:rsidR="00000000" w:rsidRPr="00000000">
        <w:rPr>
          <w:sz w:val="24"/>
          <w:szCs w:val="24"/>
          <w:rtl w:val="0"/>
        </w:rPr>
        <w:t xml:space="preserve">Leading Department      </w:t>
        <w:tab/>
        <w:t xml:space="preserve">: Department of Academic Support &amp; Strategic Studies</w:t>
      </w:r>
    </w:p>
    <w:p w:rsidR="00000000" w:rsidDel="00000000" w:rsidP="00000000" w:rsidRDefault="00000000" w:rsidRPr="00000000" w14:paraId="00000019">
      <w:pPr>
        <w:spacing w:after="240" w:before="240" w:line="276" w:lineRule="auto"/>
        <w:jc w:val="both"/>
        <w:rPr>
          <w:sz w:val="24"/>
          <w:szCs w:val="24"/>
        </w:rPr>
      </w:pPr>
      <w:r w:rsidDel="00000000" w:rsidR="00000000" w:rsidRPr="00000000">
        <w:rPr>
          <w:sz w:val="24"/>
          <w:szCs w:val="24"/>
          <w:rtl w:val="0"/>
        </w:rPr>
        <w:t xml:space="preserve">Person-In-Charge          </w:t>
        <w:tab/>
        <w:t xml:space="preserve">: Ghafi Reyhan &amp; Wendi Wijarwadi</w:t>
      </w:r>
    </w:p>
    <w:p w:rsidR="00000000" w:rsidDel="00000000" w:rsidP="00000000" w:rsidRDefault="00000000" w:rsidRPr="00000000" w14:paraId="0000001A">
      <w:pPr>
        <w:spacing w:after="240" w:before="240" w:line="276" w:lineRule="auto"/>
        <w:jc w:val="both"/>
        <w:rPr>
          <w:sz w:val="24"/>
          <w:szCs w:val="24"/>
        </w:rPr>
      </w:pPr>
      <w:r w:rsidDel="00000000" w:rsidR="00000000" w:rsidRPr="00000000">
        <w:rPr>
          <w:sz w:val="24"/>
          <w:szCs w:val="24"/>
          <w:rtl w:val="0"/>
        </w:rPr>
        <w:t xml:space="preserve">Position                          </w:t>
        <w:tab/>
        <w:t xml:space="preserve">: Officers</w:t>
      </w:r>
    </w:p>
    <w:p w:rsidR="00000000" w:rsidDel="00000000" w:rsidP="00000000" w:rsidRDefault="00000000" w:rsidRPr="00000000" w14:paraId="0000001B">
      <w:pPr>
        <w:spacing w:after="240" w:before="240" w:line="276" w:lineRule="auto"/>
        <w:jc w:val="both"/>
        <w:rPr>
          <w:sz w:val="24"/>
          <w:szCs w:val="24"/>
        </w:rPr>
      </w:pPr>
      <w:r w:rsidDel="00000000" w:rsidR="00000000" w:rsidRPr="00000000">
        <w:rPr>
          <w:sz w:val="24"/>
          <w:szCs w:val="24"/>
          <w:rtl w:val="0"/>
        </w:rPr>
        <w:t xml:space="preserve">WhatsApp Number        </w:t>
        <w:tab/>
        <w:t xml:space="preserve">: +62 811 9770 763</w:t>
      </w:r>
    </w:p>
    <w:p w:rsidR="00000000" w:rsidDel="00000000" w:rsidP="00000000" w:rsidRDefault="00000000" w:rsidRPr="00000000" w14:paraId="0000001C">
      <w:pPr>
        <w:spacing w:after="240" w:before="24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D">
      <w:pPr>
        <w:pStyle w:val="Heading2"/>
        <w:keepNext w:val="0"/>
        <w:keepLines w:val="0"/>
        <w:spacing w:after="160" w:line="276" w:lineRule="auto"/>
        <w:jc w:val="both"/>
        <w:rPr>
          <w:b w:val="1"/>
          <w:sz w:val="28"/>
          <w:szCs w:val="28"/>
        </w:rPr>
      </w:pPr>
      <w:bookmarkStart w:colFirst="0" w:colLast="0" w:name="_cv4bgxymr4pe" w:id="6"/>
      <w:bookmarkEnd w:id="6"/>
      <w:r w:rsidDel="00000000" w:rsidR="00000000" w:rsidRPr="00000000">
        <w:rPr>
          <w:b w:val="1"/>
          <w:sz w:val="28"/>
          <w:szCs w:val="28"/>
          <w:rtl w:val="0"/>
        </w:rPr>
        <w:t xml:space="preserve">Event General Plan</w:t>
      </w:r>
    </w:p>
    <w:p w:rsidR="00000000" w:rsidDel="00000000" w:rsidP="00000000" w:rsidRDefault="00000000" w:rsidRPr="00000000" w14:paraId="0000001E">
      <w:pPr>
        <w:spacing w:after="240" w:before="240" w:line="276" w:lineRule="auto"/>
        <w:jc w:val="both"/>
        <w:rPr>
          <w:sz w:val="24"/>
          <w:szCs w:val="24"/>
        </w:rPr>
      </w:pPr>
      <w:r w:rsidDel="00000000" w:rsidR="00000000" w:rsidRPr="00000000">
        <w:rPr>
          <w:sz w:val="24"/>
          <w:szCs w:val="24"/>
          <w:rtl w:val="0"/>
        </w:rPr>
        <w:t xml:space="preserve">Date                               </w:t>
        <w:tab/>
        <w:t xml:space="preserve">:June 24 2023</w:t>
      </w:r>
    </w:p>
    <w:p w:rsidR="00000000" w:rsidDel="00000000" w:rsidP="00000000" w:rsidRDefault="00000000" w:rsidRPr="00000000" w14:paraId="0000001F">
      <w:pPr>
        <w:spacing w:after="240" w:before="240" w:line="276" w:lineRule="auto"/>
        <w:jc w:val="both"/>
        <w:rPr>
          <w:sz w:val="24"/>
          <w:szCs w:val="24"/>
        </w:rPr>
      </w:pPr>
      <w:r w:rsidDel="00000000" w:rsidR="00000000" w:rsidRPr="00000000">
        <w:rPr>
          <w:sz w:val="24"/>
          <w:szCs w:val="24"/>
          <w:rtl w:val="0"/>
        </w:rPr>
        <w:t xml:space="preserve">Time</w:t>
        <w:tab/>
        <w:tab/>
        <w:tab/>
        <w:tab/>
        <w:t xml:space="preserve">:13:00-15:00 AEST </w:t>
      </w:r>
    </w:p>
    <w:p w:rsidR="00000000" w:rsidDel="00000000" w:rsidP="00000000" w:rsidRDefault="00000000" w:rsidRPr="00000000" w14:paraId="00000020">
      <w:pPr>
        <w:spacing w:after="240" w:before="240" w:line="276" w:lineRule="auto"/>
        <w:jc w:val="both"/>
        <w:rPr>
          <w:sz w:val="24"/>
          <w:szCs w:val="24"/>
        </w:rPr>
      </w:pPr>
      <w:r w:rsidDel="00000000" w:rsidR="00000000" w:rsidRPr="00000000">
        <w:rPr>
          <w:sz w:val="24"/>
          <w:szCs w:val="24"/>
          <w:rtl w:val="0"/>
        </w:rPr>
        <w:t xml:space="preserve">Event                              </w:t>
        <w:tab/>
        <w:t xml:space="preserve">:Online Webinar through Zoom</w:t>
      </w:r>
    </w:p>
    <w:p w:rsidR="00000000" w:rsidDel="00000000" w:rsidP="00000000" w:rsidRDefault="00000000" w:rsidRPr="00000000" w14:paraId="00000021">
      <w:pPr>
        <w:spacing w:after="240" w:before="24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2">
      <w:pPr>
        <w:spacing w:after="240" w:before="240" w:line="276" w:lineRule="auto"/>
        <w:jc w:val="both"/>
        <w:rPr>
          <w:sz w:val="24"/>
          <w:szCs w:val="24"/>
        </w:rPr>
      </w:pPr>
      <w:r w:rsidDel="00000000" w:rsidR="00000000" w:rsidRPr="00000000">
        <w:rPr>
          <w:sz w:val="24"/>
          <w:szCs w:val="24"/>
          <w:rtl w:val="0"/>
        </w:rPr>
        <w:t xml:space="preserve">This event will be divided into two main sessions. The first session, entitled “Experts’ Insights”, will consist of a presentation by 2-3 key figures to provide the audience with an insightful outlook on the topic of discussion. This session will be followed by a moderated Q&amp;A session which will provide an opportunity for the audience to express their views and ask questions related to the issue at hand. </w:t>
      </w:r>
    </w:p>
    <w:p w:rsidR="00000000" w:rsidDel="00000000" w:rsidP="00000000" w:rsidRDefault="00000000" w:rsidRPr="00000000" w14:paraId="00000023">
      <w:pPr>
        <w:spacing w:after="240" w:before="240" w:line="276" w:lineRule="auto"/>
        <w:jc w:val="both"/>
        <w:rPr>
          <w:sz w:val="24"/>
          <w:szCs w:val="24"/>
        </w:rPr>
      </w:pPr>
      <w:r w:rsidDel="00000000" w:rsidR="00000000" w:rsidRPr="00000000">
        <w:rPr>
          <w:sz w:val="24"/>
          <w:szCs w:val="24"/>
          <w:rtl w:val="0"/>
        </w:rPr>
        <w:t xml:space="preserve">The event will be started by a keynote speaker session by the Ambassador of the Republic of Indonesia to Australia and Vanuatu H.E. Siswo Pramono. During this session, H.E. Pramono will provide an overview on the main outcomes of the 42</w:t>
      </w:r>
      <w:r w:rsidDel="00000000" w:rsidR="00000000" w:rsidRPr="00000000">
        <w:rPr>
          <w:sz w:val="24"/>
          <w:szCs w:val="24"/>
          <w:vertAlign w:val="superscript"/>
          <w:rtl w:val="0"/>
        </w:rPr>
        <w:t xml:space="preserve">nd</w:t>
      </w:r>
      <w:r w:rsidDel="00000000" w:rsidR="00000000" w:rsidRPr="00000000">
        <w:rPr>
          <w:sz w:val="24"/>
          <w:szCs w:val="24"/>
          <w:rtl w:val="0"/>
        </w:rPr>
        <w:t xml:space="preserve"> ASEAN Summit and its implications on the region and Australia-Indonesia relations.</w:t>
      </w:r>
    </w:p>
    <w:p w:rsidR="00000000" w:rsidDel="00000000" w:rsidP="00000000" w:rsidRDefault="00000000" w:rsidRPr="00000000" w14:paraId="00000024">
      <w:pPr>
        <w:spacing w:after="240" w:before="240" w:line="276" w:lineRule="auto"/>
        <w:jc w:val="both"/>
        <w:rPr>
          <w:sz w:val="24"/>
          <w:szCs w:val="24"/>
        </w:rPr>
      </w:pPr>
      <w:r w:rsidDel="00000000" w:rsidR="00000000" w:rsidRPr="00000000">
        <w:rPr>
          <w:sz w:val="24"/>
          <w:szCs w:val="24"/>
          <w:rtl w:val="0"/>
        </w:rPr>
        <w:t xml:space="preserve">H.E. Pramono’s opening session will be followed by specialized discussion on topical themes related to the 42</w:t>
      </w:r>
      <w:r w:rsidDel="00000000" w:rsidR="00000000" w:rsidRPr="00000000">
        <w:rPr>
          <w:sz w:val="24"/>
          <w:szCs w:val="24"/>
          <w:vertAlign w:val="superscript"/>
          <w:rtl w:val="0"/>
        </w:rPr>
        <w:t xml:space="preserve">nd</w:t>
      </w:r>
      <w:r w:rsidDel="00000000" w:rsidR="00000000" w:rsidRPr="00000000">
        <w:rPr>
          <w:sz w:val="24"/>
          <w:szCs w:val="24"/>
          <w:rtl w:val="0"/>
        </w:rPr>
        <w:t xml:space="preserve"> ASEAN Summit, in this case the potential obstacles facing the implementation of policies envisioned within the 42</w:t>
      </w:r>
      <w:r w:rsidDel="00000000" w:rsidR="00000000" w:rsidRPr="00000000">
        <w:rPr>
          <w:sz w:val="24"/>
          <w:szCs w:val="24"/>
          <w:vertAlign w:val="superscript"/>
          <w:rtl w:val="0"/>
        </w:rPr>
        <w:t xml:space="preserve">nd</w:t>
      </w:r>
      <w:r w:rsidDel="00000000" w:rsidR="00000000" w:rsidRPr="00000000">
        <w:rPr>
          <w:sz w:val="24"/>
          <w:szCs w:val="24"/>
          <w:rtl w:val="0"/>
        </w:rPr>
        <w:t xml:space="preserve"> ASEAN Summit and future regional cooperation that will be established as a follow up of the 42</w:t>
      </w:r>
      <w:r w:rsidDel="00000000" w:rsidR="00000000" w:rsidRPr="00000000">
        <w:rPr>
          <w:sz w:val="24"/>
          <w:szCs w:val="24"/>
          <w:vertAlign w:val="superscript"/>
          <w:rtl w:val="0"/>
        </w:rPr>
        <w:t xml:space="preserve">nd</w:t>
      </w:r>
      <w:r w:rsidDel="00000000" w:rsidR="00000000" w:rsidRPr="00000000">
        <w:rPr>
          <w:sz w:val="24"/>
          <w:szCs w:val="24"/>
          <w:rtl w:val="0"/>
        </w:rPr>
        <w:t xml:space="preserve"> ASEAN Summit whilst referring to the regional cooperation framework in the field of electric vehicle ecosystem and green finance.  </w:t>
      </w:r>
    </w:p>
    <w:p w:rsidR="00000000" w:rsidDel="00000000" w:rsidP="00000000" w:rsidRDefault="00000000" w:rsidRPr="00000000" w14:paraId="00000025">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026">
      <w:pPr>
        <w:spacing w:after="240" w:before="240" w:line="276" w:lineRule="auto"/>
        <w:ind w:left="0" w:firstLine="0"/>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