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Greening</w:t>
      </w:r>
      <w:r>
        <w:t xml:space="preserve"> </w:t>
      </w:r>
      <w:r>
        <w:t xml:space="preserve">the</w:t>
      </w:r>
      <w:r>
        <w:t xml:space="preserve"> </w:t>
      </w:r>
      <w:r>
        <w:t xml:space="preserve">grid:</w:t>
      </w:r>
      <w:r>
        <w:t xml:space="preserve"> </w:t>
      </w:r>
      <w:r>
        <w:t xml:space="preserve">The</w:t>
      </w:r>
      <w:r>
        <w:t xml:space="preserve"> </w:t>
      </w:r>
      <w:r>
        <w:t xml:space="preserve">implication</w:t>
      </w:r>
      <w:r>
        <w:t xml:space="preserve"> </w:t>
      </w:r>
      <w:r>
        <w:t xml:space="preserve">of</w:t>
      </w:r>
      <w:r>
        <w:t xml:space="preserve"> </w:t>
      </w:r>
      <w:r>
        <w:t xml:space="preserve">aggressive</w:t>
      </w:r>
      <w:r>
        <w:t xml:space="preserve"> </w:t>
      </w:r>
      <w:r>
        <w:t xml:space="preserve">emission</w:t>
      </w:r>
      <w:r>
        <w:t xml:space="preserve"> </w:t>
      </w:r>
      <w:r>
        <w:t xml:space="preserve">target</w:t>
      </w:r>
      <w:r>
        <w:t xml:space="preserve"> </w:t>
      </w:r>
      <w:r>
        <w:t xml:space="preserve">on</w:t>
      </w:r>
      <w:r>
        <w:t xml:space="preserve"> </w:t>
      </w:r>
      <w:r>
        <w:t xml:space="preserve">Indonesian</w:t>
      </w:r>
      <w:r>
        <w:t xml:space="preserve"> </w:t>
      </w:r>
      <w:r>
        <w:t xml:space="preserve">electricity</w:t>
      </w:r>
      <w:r>
        <w:t xml:space="preserve"> </w:t>
      </w:r>
      <w:r>
        <w:t xml:space="preserve">generation</w:t>
      </w:r>
    </w:p>
    <w:p>
      <w:pPr>
        <w:pStyle w:val="Author"/>
      </w:pPr>
      <w:r>
        <w:t xml:space="preserve">Krisna</w:t>
      </w:r>
      <w:r>
        <w:t xml:space="preserve"> </w:t>
      </w:r>
      <w:r>
        <w:t xml:space="preserve">Gupta</w:t>
      </w:r>
    </w:p>
    <w:p>
      <w:pPr>
        <w:pStyle w:val="Date"/>
      </w:pPr>
      <w:r>
        <w:t xml:space="preserve">November</w:t>
      </w:r>
      <w:r>
        <w:t xml:space="preserve"> </w:t>
      </w:r>
      <w:r>
        <w:t xml:space="preserve">5,</w:t>
      </w:r>
      <w:r>
        <w:t xml:space="preserve"> </w:t>
      </w:r>
      <w:r>
        <w:t xml:space="preserve">2023</w:t>
      </w:r>
    </w:p>
    <w:p>
      <w:pPr>
        <w:pStyle w:val="Abstract"/>
      </w:pPr>
      <w:r>
        <w:t xml:space="preserve">Motivation,</w:t>
      </w:r>
      <w:r>
        <w:t xml:space="preserve"> </w:t>
      </w:r>
      <w:r>
        <w:t xml:space="preserve">objective,</w:t>
      </w:r>
      <w:r>
        <w:t xml:space="preserve"> </w:t>
      </w:r>
      <w:r>
        <w:t xml:space="preserve">method,</w:t>
      </w:r>
      <w:r>
        <w:t xml:space="preserve"> </w:t>
      </w:r>
      <w:r>
        <w:t xml:space="preserve">results,</w:t>
      </w:r>
      <w:r>
        <w:t xml:space="preserve"> </w:t>
      </w:r>
      <w:r>
        <w:t xml:space="preserve">implications.</w:t>
      </w:r>
    </w:p>
    <w:p>
      <w:pPr>
        <w:pStyle w:val="FirstParagraph"/>
      </w:pPr>
      <w:r>
        <w:t xml:space="preserve">kirim ke</w:t>
      </w:r>
      <w:r>
        <w:t xml:space="preserve"> </w:t>
      </w:r>
      <w:hyperlink r:id="rId20">
        <w:r>
          <w:rPr>
            <w:rStyle w:val="Hyperlink"/>
          </w:rPr>
          <w:t xml:space="preserve">sini</w:t>
        </w:r>
      </w:hyperlink>
    </w:p>
    <w:bookmarkStart w:id="21" w:name="introduction"/>
    <w:p>
      <w:pPr>
        <w:pStyle w:val="Heading2"/>
      </w:pPr>
      <w:r>
        <w:t xml:space="preserve">1 Introduction</w:t>
      </w:r>
    </w:p>
    <w:p>
      <w:pPr>
        <w:pStyle w:val="FirstParagraph"/>
      </w:pPr>
      <w:r>
        <w:t xml:space="preserve">The importance to ramp up efforts to decarbonize Indonesian energy sector just reached a new height.The Indonesian government joined the global bandwagon of committing to a more emission reduction target. Just before the 27</w:t>
      </w:r>
      <m:oMath>
        <m:sSup>
          <m:e>
            <m:r>
              <m:t>​</m:t>
            </m:r>
          </m:e>
          <m:sup>
            <m:r>
              <m:t>t</m:t>
            </m:r>
          </m:sup>
        </m:sSup>
        <m:r>
          <m:t>h</m:t>
        </m:r>
      </m:oMath>
      <w:r>
        <w:t xml:space="preserve"> </w:t>
      </w:r>
      <w:r>
        <w:t xml:space="preserve">session of the Conference of the PRties (COP27), The Indonesian government comitted to a more aggresive reduction of greenhouse gas (GHG) emission by 31.90% by 2030, or by 43.20% with the help of other countries</w:t>
      </w:r>
      <w:r>
        <w:t xml:space="preserve"> </w:t>
      </w:r>
      <w:r>
        <w:t xml:space="preserve">(Resosudarmo, Rezki, and Effendi 2023)</w:t>
      </w:r>
      <w:r>
        <w:t xml:space="preserve">.</w:t>
      </w:r>
    </w:p>
    <w:p>
      <w:pPr>
        <w:pStyle w:val="BodyText"/>
      </w:pPr>
      <w:r>
        <w:t xml:space="preserve">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w:t>
      </w:r>
      <w:r>
        <w:t xml:space="preserve"> </w:t>
      </w:r>
      <w:r>
        <w:t xml:space="preserve">(Resosudarmo, Rezki, and Effendi 2023)</w:t>
      </w:r>
      <w:r>
        <w:t xml:space="preserve">.</w:t>
      </w:r>
    </w:p>
    <w:p>
      <w:pPr>
        <w:pStyle w:val="BodyText"/>
      </w:pPr>
      <w:r>
        <w:t xml:space="preserve">In the energy sector, electricity generation will play an even greater role going forward. The latest data suggests the Indonesian electricity sector to provide around 20% of the Indonesian total energy needs</w:t>
      </w:r>
      <w:r>
        <w:t xml:space="preserve"> </w:t>
      </w:r>
      <w:r>
        <w:t xml:space="preserve">(Wahyuni 2022; MoEF 2021)</w:t>
      </w:r>
      <w:r>
        <w:t xml:space="preserve">. This share, however, will increase as the Indonesia nudge toward electrification of cooking and transportation</w:t>
      </w:r>
      <w:r>
        <w:t xml:space="preserve"> </w:t>
      </w:r>
      <w:r>
        <w:t xml:space="preserve">(Resosudarmo, Rezki, and Effendi 2023)</w:t>
      </w:r>
      <w:r>
        <w:t xml:space="preserve">. Greening the Indonesian grid, therefore, become one of the most important challenge the Indonesian government must met to achieve the emission target</w:t>
      </w:r>
      <w:r>
        <w:t xml:space="preserve"> </w:t>
      </w:r>
      <w:r>
        <w:t xml:space="preserve">(Burke et al. 2019; Resosudarmo, Rezki, and Effendi 2023)</w:t>
      </w:r>
      <w:r>
        <w:t xml:space="preserve">.</w:t>
      </w:r>
    </w:p>
    <w:p>
      <w:pPr>
        <w:pStyle w:val="BodyText"/>
      </w:pPr>
      <w:r>
        <w:t xml:space="preserve">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w:t>
      </w:r>
      <w:r>
        <w:t xml:space="preserve"> </w:t>
      </w:r>
      <w:r>
        <w:t xml:space="preserve">(Sargent and Stachurski, n.d.)</w:t>
      </w:r>
      <w:r>
        <w:t xml:space="preserve">. Moreover, the method is simple enough to replicate and provides a useful to make projection and plans given a proper parameterization and constraints.</w:t>
      </w:r>
    </w:p>
    <w:p>
      <w:pPr>
        <w:pStyle w:val="BodyText"/>
      </w:pPr>
      <w:r>
        <w:t xml:space="preserve">findings and its implications</w:t>
      </w:r>
    </w:p>
    <w:p>
      <w:pPr>
        <w:pStyle w:val="BodyText"/>
      </w:pPr>
      <w:r>
        <w:t xml:space="preserve">The next section discusses the literature around the new emission target and Indonesia’s electricity sector. Section 3 explains the method of choice. Section 4 discusses the results and its implications toward greening the grid, and section 5 concludes.</w:t>
      </w:r>
    </w:p>
    <w:bookmarkEnd w:id="21"/>
    <w:bookmarkStart w:id="24" w:name="indonesia-electricity-outlook"/>
    <w:p>
      <w:pPr>
        <w:pStyle w:val="Heading2"/>
      </w:pPr>
      <w:r>
        <w:t xml:space="preserve">2 Indonesia electricity outlook</w:t>
      </w:r>
    </w:p>
    <w:p>
      <w:pPr>
        <w:pStyle w:val="FirstParagraph"/>
      </w:pPr>
      <w:r>
        <w:t xml:space="preserve">Just prior the COP27, Indonesia submitted an optimistic document describing its updated nationally determined contributions (NDCs)</w:t>
      </w:r>
      <w:r>
        <w:t xml:space="preserve"> </w:t>
      </w:r>
      <w:r>
        <w:t xml:space="preserve">(Resosudarmo, Rezki, and Effendi 2023)</w:t>
      </w:r>
      <w:r>
        <w:t xml:space="preserve">. Indonesia pledged to reduce total emission by 31.9% under CM1 and 43.2% under CM2</w:t>
      </w:r>
      <w:r>
        <w:rPr>
          <w:rStyle w:val="FootnoteReference"/>
        </w:rPr>
        <w:footnoteReference w:id="22"/>
      </w:r>
      <w:r>
        <w:t xml:space="preserve">. Meanwhile, the energy sector is pledged to reduce emission by 12.5% and 15.5% under CM1 and CM2 respectively.</w:t>
      </w:r>
    </w:p>
    <w:p>
      <w:pPr>
        <w:pStyle w:val="BodyText"/>
      </w:pPr>
      <w:r>
        <w:t xml:space="preserve">Looking at a roadmap by The National Energy Council (DEN) of Indonesia, the strategy to achieve this target relies heavily on electrification of energy. According to the Indonesian government’s roadmap, Indonesia would supply 25% of the total energy from reenwables by 2030</w:t>
      </w:r>
      <w:r>
        <w:t xml:space="preserve"> </w:t>
      </w:r>
      <w:r>
        <w:t xml:space="preserve">(Resosudarmo, Rezki, and Effendi 2023)</w:t>
      </w:r>
      <w:r>
        <w:t xml:space="preserve">. On the demand side, it projects a 5.5 million of electric cars, 8.5 million of electric motorcycles, and 5 million households with induction cookers in in 2030</w:t>
      </w:r>
      <w:r>
        <w:t xml:space="preserve"> </w:t>
      </w:r>
      <w:r>
        <w:t xml:space="preserve">(Resosudarmo, Rezki, and Effendi 2023)</w:t>
      </w:r>
      <w:r>
        <w:t xml:space="preserve">.</w:t>
      </w:r>
    </w:p>
    <w:p>
      <w:pPr>
        <w:pStyle w:val="BodyText"/>
      </w:pPr>
      <w:r>
        <w:t xml:space="preserve">Indonesians are among a relatively smaller consumers of electricity, and its use is concentrated mostly in Java island</w:t>
      </w:r>
      <w:r>
        <w:t xml:space="preserve"> </w:t>
      </w:r>
      <w:r>
        <w:t xml:space="preserve">(Burke and Kurniawati 2018)</w:t>
      </w:r>
      <w:r>
        <w:t xml:space="preserve">. The market is dominated by the state-owned firm,</w:t>
      </w:r>
      <w:r>
        <w:t xml:space="preserve"> </w:t>
      </w:r>
      <w:r>
        <w:rPr>
          <w:iCs/>
          <w:i/>
        </w:rPr>
        <w:t xml:space="preserve">Perusahaan Listrik Negara</w:t>
      </w:r>
      <w:r>
        <w:t xml:space="preserve"> </w:t>
      </w:r>
      <w:r>
        <w:t xml:space="preserve">(PLN), in both distribution and generation</w:t>
      </w:r>
      <w:r>
        <w:t xml:space="preserve"> </w:t>
      </w:r>
      <w:r>
        <w:t xml:space="preserve">(Resosudarmo, Rezki, and Effendi 2023)</w:t>
      </w:r>
      <w:r>
        <w:t xml:space="preserve">. While third-party firms is allowed to generate electricity, they must sell it to PLN as the sole distributor of electricity.</w:t>
      </w:r>
    </w:p>
    <w:p>
      <w:pPr>
        <w:pStyle w:val="BodyText"/>
      </w:pPr>
      <w:r>
        <w:t xml:space="preserve">Electricity pricing is highly regulated by the government</w:t>
      </w:r>
      <w:r>
        <w:t xml:space="preserve"> </w:t>
      </w:r>
      <w:r>
        <w:t xml:space="preserve">(Burke and Kurniawati 2018)</w:t>
      </w:r>
      <w:r>
        <w:t xml:space="preserve">.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w:t>
      </w:r>
      <w:r>
        <w:t xml:space="preserve"> </w:t>
      </w:r>
      <w:r>
        <w:t xml:space="preserve">(Burke and Kurniawati 2018)</w:t>
      </w:r>
      <w:r>
        <w:t xml:space="preserve">.</w:t>
      </w:r>
    </w:p>
    <w:p>
      <w:pPr>
        <w:pStyle w:val="BodyText"/>
      </w:pPr>
      <w:r>
        <w:t xml:space="preserve">The road toward greening the greed seems slow. According to</w:t>
      </w:r>
      <w:r>
        <w:t xml:space="preserve"> </w:t>
      </w:r>
      <w:r>
        <w:t xml:space="preserve">PLN (2021)</w:t>
      </w:r>
      <w:r>
        <w:t xml:space="preserve"> </w:t>
      </w:r>
      <w:r>
        <w:t xml:space="preserve">statistics, the percentage of renewables generated by PLN in 2021 is only 8% (see</w:t>
      </w:r>
      <w:r>
        <w:t xml:space="preserve"> </w:t>
      </w:r>
      <w:hyperlink w:anchor="tbl-pln">
        <w:r>
          <w:rPr>
            <w:rStyle w:val="Hyperlink"/>
          </w:rPr>
          <w:t xml:space="preserve">Table 1</w:t>
        </w:r>
      </w:hyperlink>
      <w:r>
        <w:t xml:space="preserve">). A large majority of the renewable electricity is sourced by hydropower and geothermal. Additionally, the growth of renewable electricity since 1998 (31.2%) is dwarfed by PLN’s total capacity growth (144.08%). Indeed, the majority of PLN’s capacity growth is from coal, defying the global trend</w:t>
      </w:r>
      <w:r>
        <w:t xml:space="preserve"> </w:t>
      </w:r>
      <w:r>
        <w:t xml:space="preserve">(Lolla and Yang 2021; Burke and Kurniawati 2018)</w:t>
      </w:r>
      <w:r>
        <w:t xml:space="preserve">.</w:t>
      </w:r>
    </w:p>
    <w:bookmarkStart w:id="23" w:name="tbl-pln"/>
    <w:p>
      <w:pPr>
        <w:pStyle w:val="TableCaption"/>
      </w:pPr>
      <w:r>
        <w:t xml:space="preserve">Table 1: The amount of renewable electricity by PLN (GWh)</w:t>
      </w:r>
    </w:p>
    <w:tbl>
      <w:tblPr>
        <w:tblStyle w:val="Table"/>
        <w:tblW w:type="auto" w:w="0"/>
        <w:tblLook w:firstRow="1" w:lastRow="0" w:firstColumn="0" w:lastColumn="0" w:noHBand="0" w:noVBand="0" w:val="0020"/>
        <w:jc w:val="start"/>
        <w:tblCaption w:val="Table 1: The amount of renewable electricity by PLN (GWh)"/>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1998 (GWh)</w:t>
            </w:r>
          </w:p>
        </w:tc>
        <w:tc>
          <w:tcPr/>
          <w:p>
            <w:pPr>
              <w:pStyle w:val="Compact"/>
              <w:jc w:val="left"/>
            </w:pPr>
            <w:r>
              <w:t xml:space="preserve">2021 (GWh)</w:t>
            </w:r>
          </w:p>
        </w:tc>
      </w:tr>
      <w:tr>
        <w:tc>
          <w:tcPr/>
          <w:p>
            <w:pPr>
              <w:pStyle w:val="Compact"/>
              <w:jc w:val="left"/>
            </w:pPr>
            <w:r>
              <w:t xml:space="preserve">Hydro</w:t>
            </w:r>
          </w:p>
        </w:tc>
        <w:tc>
          <w:tcPr/>
          <w:p>
            <w:pPr>
              <w:pStyle w:val="Compact"/>
              <w:jc w:val="left"/>
            </w:pPr>
            <w:r>
              <w:t xml:space="preserve">9,649.00</w:t>
            </w:r>
          </w:p>
        </w:tc>
        <w:tc>
          <w:tcPr/>
          <w:p>
            <w:pPr>
              <w:pStyle w:val="Compact"/>
              <w:jc w:val="left"/>
            </w:pPr>
            <w:r>
              <w:t xml:space="preserve">11,869.30</w:t>
            </w:r>
          </w:p>
        </w:tc>
      </w:tr>
      <w:tr>
        <w:tc>
          <w:tcPr/>
          <w:p>
            <w:pPr>
              <w:pStyle w:val="Compact"/>
              <w:jc w:val="left"/>
            </w:pPr>
            <w:r>
              <w:t xml:space="preserve">Geothermal 2,616.80</w:t>
            </w:r>
          </w:p>
        </w:tc>
        <w:tc>
          <w:tcPr/>
          <w:p>
            <w:pPr>
              <w:pStyle w:val="Compact"/>
              <w:jc w:val="left"/>
            </w:pPr>
            <w:r>
              <w:t xml:space="preserve">4,216.17</w:t>
            </w:r>
          </w:p>
        </w:tc>
        <w:tc>
          <w:tcPr/>
          <w:p>
            <w:pPr>
              <w:pStyle w:val="Compact"/>
            </w:pPr>
          </w:p>
        </w:tc>
      </w:tr>
      <w:tr>
        <w:tc>
          <w:tcPr/>
          <w:p>
            <w:pPr>
              <w:pStyle w:val="Compact"/>
              <w:jc w:val="left"/>
            </w:pPr>
            <w:r>
              <w:t xml:space="preserve">Solar</w:t>
            </w:r>
          </w:p>
        </w:tc>
        <w:tc>
          <w:tcPr/>
          <w:p>
            <w:pPr>
              <w:pStyle w:val="Compact"/>
              <w:jc w:val="left"/>
            </w:pPr>
            <w:r>
              <w:t xml:space="preserve">-</w:t>
            </w:r>
          </w:p>
        </w:tc>
        <w:tc>
          <w:tcPr/>
          <w:p>
            <w:pPr>
              <w:pStyle w:val="Compact"/>
              <w:jc w:val="left"/>
            </w:pPr>
            <w:r>
              <w:t xml:space="preserve">5.63</w:t>
            </w:r>
          </w:p>
        </w:tc>
      </w:tr>
      <w:tr>
        <w:tc>
          <w:tcPr/>
          <w:p>
            <w:pPr>
              <w:pStyle w:val="Compact"/>
              <w:jc w:val="left"/>
            </w:pPr>
            <w:r>
              <w:t xml:space="preserve">Wind</w:t>
            </w:r>
          </w:p>
        </w:tc>
        <w:tc>
          <w:tcPr/>
          <w:p>
            <w:pPr>
              <w:pStyle w:val="Compact"/>
              <w:jc w:val="left"/>
            </w:pPr>
            <w:r>
              <w:t xml:space="preserve">-</w:t>
            </w:r>
          </w:p>
        </w:tc>
        <w:tc>
          <w:tcPr/>
          <w:p>
            <w:pPr>
              <w:pStyle w:val="Compact"/>
              <w:jc w:val="left"/>
            </w:pPr>
            <w:r>
              <w:t xml:space="preserve">-</w:t>
            </w:r>
          </w:p>
        </w:tc>
      </w:tr>
    </w:tbl>
    <w:bookmarkEnd w:id="23"/>
    <w:p>
      <w:pPr>
        <w:pStyle w:val="BodyText"/>
      </w:pPr>
      <w:r>
        <w:t xml:space="preserve">The slow growth of renewables stem from the Indonesian’s reliance on coal</w:t>
      </w:r>
      <w:r>
        <w:t xml:space="preserve"> </w:t>
      </w:r>
      <w:r>
        <w:t xml:space="preserve">(Resosudarmo, Rezki, and Effendi 2023; Burke et al. 2019)</w:t>
      </w:r>
      <w:r>
        <w:t xml:space="preserve">.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w:t>
      </w:r>
      <w:r>
        <w:t xml:space="preserve"> </w:t>
      </w:r>
      <w:r>
        <w:t xml:space="preserve">(Resosudarmo, Rezki, and Effendi 2023)</w:t>
      </w:r>
      <w:r>
        <w:t xml:space="preserve">.</w:t>
      </w:r>
    </w:p>
    <w:p>
      <w:pPr>
        <w:pStyle w:val="BodyText"/>
      </w:pPr>
      <w:r>
        <w:t xml:space="preserve">While the PLN’s renewable accounts for only 8% of total PLN generation, renewable accounts for 17% of total general electricity generation</w:t>
      </w:r>
      <w:r>
        <w:t xml:space="preserve"> </w:t>
      </w:r>
      <w:r>
        <w:t xml:space="preserve">(Lolla and Yang 2021)</w:t>
      </w:r>
      <w:r>
        <w:t xml:space="preserve">. This majority of the discrepancy may come from third party generation. In 2021, around 36.79% of the Indonesian electricity is generated by third party, which is only 3.78% in 1998. This shows the importance of third party generators for improving the Indonesian renewable electricity capacity. But the growth of third-party generators is also hindered.</w:t>
      </w:r>
    </w:p>
    <w:p>
      <w:pPr>
        <w:pStyle w:val="BodyText"/>
      </w:pPr>
      <w:r>
        <w:t xml:space="preserve">The rise of third party generator for renewables rises in 2013 when the government announced reverse auction for solar panel</w:t>
      </w:r>
      <w:r>
        <w:t xml:space="preserve"> </w:t>
      </w:r>
      <w:r>
        <w:t xml:space="preserve">(Burke et al. 2019)</w:t>
      </w:r>
      <w:r>
        <w:t xml:space="preserve">. However, a limitation imposed on foreign involvement in both investment and product components as well as low administrative capacity slow down the growth</w:t>
      </w:r>
      <w:r>
        <w:t xml:space="preserve"> </w:t>
      </w:r>
      <w:r>
        <w:t xml:space="preserve">(Burke et al. 2019)</w:t>
      </w:r>
      <w:r>
        <w:t xml:space="preserve">. Moreover, some projects are too expensive for PLN. Since it does not control price, it cannot impose a premium pricing for some electricity. Lastly, an overcapacity of coal electricity leads PLN to slow down its third-party purchases of renewables. Direct competition with PLN’s own asset is also a known problem in supporting renewable electricity</w:t>
      </w:r>
      <w:r>
        <w:t xml:space="preserve"> </w:t>
      </w:r>
      <w:r>
        <w:t xml:space="preserve">(Burke et al. 2019)</w:t>
      </w:r>
      <w:r>
        <w:t xml:space="preserve">.</w:t>
      </w:r>
    </w:p>
    <w:p>
      <w:pPr>
        <w:pStyle w:val="BodyText"/>
      </w:pPr>
      <w:r>
        <w:t xml:space="preserve">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w:t>
      </w:r>
      <w:r>
        <w:t xml:space="preserve"> </w:t>
      </w:r>
      <w:r>
        <w:t xml:space="preserve">MEMR (2020)</w:t>
      </w:r>
      <w:r>
        <w:t xml:space="preserve">, Indonesia needs Rp 3,500 trillion ($0.23 trillion) to achieve its NDCs targets.</w:t>
      </w:r>
    </w:p>
    <w:p>
      <w:pPr>
        <w:pStyle w:val="BodyText"/>
      </w:pPr>
      <w:r>
        <w:t xml:space="preserve">Some of the money will come from the newly set carbon market.</w:t>
      </w:r>
    </w:p>
    <w:bookmarkEnd w:id="24"/>
    <w:bookmarkStart w:id="28" w:name="simulation"/>
    <w:p>
      <w:pPr>
        <w:pStyle w:val="Heading2"/>
      </w:pPr>
      <w:r>
        <w:t xml:space="preserve">3 Simulation</w:t>
      </w:r>
    </w:p>
    <w:bookmarkStart w:id="26" w:name="method"/>
    <w:p>
      <w:pPr>
        <w:pStyle w:val="Heading3"/>
      </w:pPr>
      <w:r>
        <w:t xml:space="preserve">3.1 Method</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d>
          <m:dPr>
            <m:begChr m:val="("/>
            <m:endChr m:val=")"/>
            <m:sepChr m:val=""/>
            <m:grow/>
          </m:dPr>
          <m:e>
            <m:r>
              <m:t>F</m:t>
            </m:r>
            <m:d>
              <m:dPr>
                <m:begChr m:val="("/>
                <m:endChr m:val=")"/>
                <m:sepChr m:val=""/>
                <m:grow/>
              </m:dPr>
              <m:e>
                <m:r>
                  <m:rPr>
                    <m:sty m:val="p"/>
                  </m:rPr>
                  <m:t>.</m:t>
                </m:r>
              </m:e>
            </m:d>
            <m:r>
              <m:rPr>
                <m:sty m:val="p"/>
              </m:rPr>
              <m:t>,</m:t>
            </m:r>
            <m:r>
              <m:t>G</m:t>
            </m:r>
            <m:d>
              <m:dPr>
                <m:begChr m:val="("/>
                <m:endChr m:val=")"/>
                <m:sepChr m:val=""/>
                <m:grow/>
              </m:dPr>
              <m:e>
                <m:r>
                  <m:t>ω</m:t>
                </m:r>
              </m:e>
            </m:d>
          </m:e>
        </m:d>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p>
      <w:pPr>
        <w:pStyle w:val="BodyText"/>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279,511.24 Gigawatt hour (GWh) in 2021. From those, around 60% are produced using coal as its main source and around 23% by some mixes of fossil fuels. Only 17% is generated by renewables, mostly hydroelectric</w:t>
      </w:r>
      <w:r>
        <w:t xml:space="preserve"> </w:t>
      </w:r>
      <w:r>
        <w:t xml:space="preserve">(Lolla and Yang 2021; PLN 2021)</w:t>
      </w:r>
      <w:r>
        <w:t xml:space="preserve">.</w:t>
      </w:r>
    </w:p>
    <w:p>
      <w:pPr>
        <w:pStyle w:val="BodyText"/>
      </w:pPr>
      <w:r>
        <w:t xml:space="preserve">PLN (2021)</w:t>
      </w:r>
      <w:r>
        <w:t xml:space="preserve"> </w:t>
      </w:r>
      <w:r>
        <w:t xml:space="preserve">also contains data on prices per Kilowatt hour of electricity based on sources. Total emission generated by the electricity sector is calculated based on the emission factor and how much energy source is used by the sector. 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(2021)</w:t>
      </w:r>
      <w:r>
        <w:t xml:space="preserve">. The number of emission factor varies between countries and in different reports, and emission factor in this paper tries to balance those differences</w:t>
      </w:r>
      <w:r>
        <w:rPr>
          <w:rStyle w:val="FootnoteReference"/>
        </w:rPr>
        <w:footnoteReference w:id="25"/>
      </w:r>
      <w:r>
        <w:t xml:space="preserve">.</w:t>
      </w:r>
    </w:p>
    <w:p>
      <w:pPr>
        <w:pStyle w:val="BodyText"/>
      </w:pPr>
      <w:r>
        <w:t xml:space="preserve">Also cekidot https://www.cnbcindonesia.com/news/20220119103739-4-308598/pajak-karbon-pltu-berlaku-april-2022-picu-tarif-listrik-naik</w:t>
      </w:r>
    </w:p>
    <w:p>
      <w:pPr>
        <w:pStyle w:val="BodyText"/>
      </w:pPr>
      <w:r>
        <w:t xml:space="preserve">https://publications.jrc.ec.europa.eu/repository/handle/JRC21207</w:t>
      </w:r>
    </w:p>
    <w:p>
      <w:pPr>
        <w:pStyle w:val="BodyText"/>
      </w:pPr>
      <w:r>
        <w:t xml:space="preserve">https://ebtke.esdm.go.id/post/2023/02/01/3414/rencana.pengembangan.pembangkit.nasional.beri.porsi.ebt.lebih.besar?lang=id</w:t>
      </w:r>
    </w:p>
    <w:bookmarkEnd w:id="26"/>
    <w:bookmarkStart w:id="27" w:name="results"/>
    <w:p>
      <w:pPr>
        <w:pStyle w:val="Heading3"/>
      </w:pPr>
      <w:r>
        <w:t xml:space="preserve">3.2 Results</w:t>
      </w:r>
    </w:p>
    <w:p>
      <w:pPr>
        <w:pStyle w:val="FirstParagraph"/>
      </w:pPr>
      <w:r>
        <w:t xml:space="preserve">The linear setting in the previous section is trivial enough to be solved by linear programming method in Scipy</w:t>
      </w:r>
      <w:r>
        <w:t xml:space="preserve"> </w:t>
      </w:r>
      <w:r>
        <w:t xml:space="preserve">(Sargent and Stachurski, n.d.)</w:t>
      </w:r>
      <w:r>
        <w:t xml:space="preserve">. Four different cases are considered in this paper.</w:t>
      </w:r>
    </w:p>
    <w:tbl>
      <w:tblPr>
        <w:tblStyle w:val="Table"/>
        <w:tblW w:type="pct" w:w="5000"/>
        <w:tblLook w:firstRow="1" w:lastRow="0" w:firstColumn="0" w:lastColumn="0" w:noHBand="0" w:noVBand="0" w:val="0020"/>
        <w:jc w:val="start"/>
      </w:tblPr>
      <w:tblGrid>
        <w:gridCol w:w="913"/>
        <w:gridCol w:w="3046"/>
        <w:gridCol w:w="3960"/>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current share of energy use</w:t>
            </w:r>
          </w:p>
        </w:tc>
      </w:tr>
      <w:tr>
        <w:tc>
          <w:tcPr/>
          <w:p>
            <w:pPr>
              <w:pStyle w:val="Compact"/>
              <w:jc w:val="left"/>
            </w:pPr>
            <w:r>
              <w:t xml:space="preserve">2</w:t>
            </w:r>
          </w:p>
        </w:tc>
        <w:tc>
          <w:tcPr/>
          <w:p>
            <w:pPr>
              <w:pStyle w:val="Compact"/>
              <w:jc w:val="left"/>
            </w:pPr>
            <w:r>
              <w:t xml:space="preserve">current emission, optimized</w:t>
            </w:r>
          </w:p>
        </w:tc>
        <w:tc>
          <w:tcPr/>
          <w:p>
            <w:pPr>
              <w:pStyle w:val="Compact"/>
              <w:jc w:val="left"/>
            </w:pPr>
            <w:r>
              <w:t xml:space="preserve">current total emission, optimized</w:t>
            </w:r>
          </w:p>
        </w:tc>
      </w:tr>
      <w:tr>
        <w:tc>
          <w:tcPr/>
          <w:p>
            <w:pPr>
              <w:pStyle w:val="Compact"/>
              <w:jc w:val="left"/>
            </w:pPr>
            <w:r>
              <w:t xml:space="preserve">3</w:t>
            </w:r>
          </w:p>
        </w:tc>
        <w:tc>
          <w:tcPr/>
          <w:p>
            <w:pPr>
              <w:pStyle w:val="Compact"/>
              <w:jc w:val="left"/>
            </w:pPr>
            <w:r>
              <w:t xml:space="preserve">carbon tax</w:t>
            </w:r>
          </w:p>
        </w:tc>
        <w:tc>
          <w:tcPr/>
          <w:p>
            <w:pPr>
              <w:pStyle w:val="Compact"/>
              <w:jc w:val="left"/>
            </w:pPr>
            <w:r>
              <w:t xml:space="preserve">current share but carbon is taxed</w:t>
            </w:r>
          </w:p>
        </w:tc>
      </w:tr>
      <w:tr>
        <w:tc>
          <w:tcPr/>
          <w:p>
            <w:pPr>
              <w:pStyle w:val="Compact"/>
              <w:jc w:val="left"/>
            </w:pPr>
            <w:r>
              <w:t xml:space="preserve">4</w:t>
            </w:r>
          </w:p>
        </w:tc>
        <w:tc>
          <w:tcPr/>
          <w:p>
            <w:pPr>
              <w:pStyle w:val="Compact"/>
              <w:jc w:val="left"/>
            </w:pPr>
            <w:r>
              <w:t xml:space="preserve">long-run with aggresive target</w:t>
            </w:r>
          </w:p>
        </w:tc>
        <w:tc>
          <w:tcPr/>
          <w:p>
            <w:pPr>
              <w:pStyle w:val="Compact"/>
              <w:jc w:val="left"/>
            </w:pPr>
            <w:r>
              <w:t xml:space="preserve">like case 2 but with emission reduced by 27%</w:t>
            </w:r>
          </w:p>
        </w:tc>
      </w:tr>
      <w:tr>
        <w:tc>
          <w:tcPr/>
          <w:p>
            <w:pPr>
              <w:pStyle w:val="Compact"/>
              <w:jc w:val="left"/>
            </w:pPr>
            <w:r>
              <w:t xml:space="preserve">5</w:t>
            </w:r>
          </w:p>
        </w:tc>
        <w:tc>
          <w:tcPr/>
          <w:p>
            <w:pPr>
              <w:pStyle w:val="Compact"/>
              <w:jc w:val="left"/>
            </w:pPr>
            <w:r>
              <w:t xml:space="preserve">long-run with renewable constraint</w:t>
            </w:r>
          </w:p>
        </w:tc>
        <w:tc>
          <w:tcPr/>
          <w:p>
            <w:pPr>
              <w:pStyle w:val="Compact"/>
              <w:jc w:val="left"/>
            </w:pPr>
            <w:r>
              <w:t xml:space="preserve">case 4 with renewable contraint</w:t>
            </w:r>
          </w:p>
        </w:tc>
      </w:tr>
    </w:tbl>
    <w:p>
      <w:pPr>
        <w:pStyle w:val="BodyText"/>
      </w:pPr>
      <w:r>
        <w:t xml:space="preserve">Case 1: status quo</w:t>
      </w:r>
    </w:p>
    <w:p>
      <w:pPr>
        <w:pStyle w:val="SourceCode"/>
      </w:pPr>
      <w:r>
        <w:rPr>
          <w:rStyle w:val="VerbatimChar"/>
        </w:rPr>
        <w:t xml:space="preserve">The total cost of electricity generation is 262.29 trillion IDR or 906.11 IDR/KWh</w:t>
      </w:r>
      <w:r>
        <w:br/>
      </w:r>
      <w:r>
        <w:rPr>
          <w:rStyle w:val="VerbatimChar"/>
        </w:rPr>
        <w:t xml:space="preserve">The total emission is 225,208,103,460.00 kgCO2</w:t>
      </w:r>
      <w:r>
        <w:br/>
      </w:r>
      <w:r>
        <w:rPr>
          <w:rStyle w:val="VerbatimChar"/>
        </w:rPr>
        <w:t xml:space="preserve">Total electricity generated from renewables is 49,209,996.90 MWh (17.00 %)</w:t>
      </w:r>
      <w:r>
        <w:br/>
      </w:r>
      <w:r>
        <w:rPr>
          <w:rStyle w:val="VerbatimChar"/>
        </w:rPr>
        <w:t xml:space="preserve">Total electricity generated from coal is 173,682,342.00 MWh (60.00 %)</w:t>
      </w:r>
      <w:r>
        <w:br/>
      </w:r>
      <w:r>
        <w:rPr>
          <w:rStyle w:val="VerbatimChar"/>
        </w:rPr>
        <w:t xml:space="preserve">Total electricity generated from other fossil fuels is 66,578,231.10 MWh (23.00 %)</w:t>
      </w:r>
    </w:p>
    <w:p>
      <w:pPr>
        <w:pStyle w:val="FirstParagraph"/>
      </w:pPr>
      <w:r>
        <w:t xml:space="preserve">case 2: minimized cost, same emission (no target)</w:t>
      </w:r>
    </w:p>
    <w:p>
      <w:pPr>
        <w:pStyle w:val="SourceCode"/>
      </w:pPr>
      <w:r>
        <w:rPr>
          <w:rStyle w:val="VerbatimChar"/>
        </w:rPr>
        <w:t xml:space="preserve">The total cost of electricity generation is 237.36 trillion IDR or 819.96 IDR/KWh</w:t>
      </w:r>
      <w:r>
        <w:br/>
      </w:r>
      <w:r>
        <w:rPr>
          <w:rStyle w:val="VerbatimChar"/>
        </w:rPr>
        <w:t xml:space="preserve">The total emission is 225,208,103,460.00 kgCO2</w:t>
      </w:r>
      <w:r>
        <w:br/>
      </w:r>
      <w:r>
        <w:rPr>
          <w:rStyle w:val="VerbatimChar"/>
        </w:rPr>
        <w:t xml:space="preserve">Total electricity generated from renewables is 71,402,740.60 MWh (24.67 %)</w:t>
      </w:r>
      <w:r>
        <w:br/>
      </w:r>
      <w:r>
        <w:rPr>
          <w:rStyle w:val="VerbatimChar"/>
        </w:rPr>
        <w:t xml:space="preserve">Total electricity generated from coal is 218,067,829.40 MWh (75.33 %)</w:t>
      </w:r>
      <w:r>
        <w:br/>
      </w:r>
      <w:r>
        <w:rPr>
          <w:rStyle w:val="VerbatimChar"/>
        </w:rPr>
        <w:t xml:space="preserve">Total electricity generated from other fossil fuels is 0.00 MWh (0.00 %)</w:t>
      </w:r>
    </w:p>
    <w:p>
      <w:pPr>
        <w:pStyle w:val="FirstParagraph"/>
      </w:pPr>
      <w:r>
        <w:t xml:space="preserve">case 3: carbon tax</w:t>
      </w:r>
    </w:p>
    <w:p>
      <w:pPr>
        <w:pStyle w:val="SourceCode"/>
      </w:pPr>
      <w:r>
        <w:rPr>
          <w:rStyle w:val="VerbatimChar"/>
        </w:rPr>
        <w:t xml:space="preserve">The total cost of electricity generation is 266.48 trillion IDR or 920.59 IDR/KWh</w:t>
      </w:r>
      <w:r>
        <w:br/>
      </w:r>
      <w:r>
        <w:rPr>
          <w:rStyle w:val="VerbatimChar"/>
        </w:rPr>
        <w:t xml:space="preserve">The total emission is 225,208,103,460.00 kgCO2</w:t>
      </w:r>
      <w:r>
        <w:br/>
      </w:r>
      <w:r>
        <w:rPr>
          <w:rStyle w:val="VerbatimChar"/>
        </w:rPr>
        <w:t xml:space="preserve">Total electricity generated from renewables is 71,402,740.60 MWh (24.67 %)</w:t>
      </w:r>
      <w:r>
        <w:br/>
      </w:r>
      <w:r>
        <w:rPr>
          <w:rStyle w:val="VerbatimChar"/>
        </w:rPr>
        <w:t xml:space="preserve">Total electricity generated from coal is 218,067,829.40 MWh (75.33 %)</w:t>
      </w:r>
      <w:r>
        <w:br/>
      </w:r>
      <w:r>
        <w:rPr>
          <w:rStyle w:val="VerbatimChar"/>
        </w:rPr>
        <w:t xml:space="preserve">Total electricity generated from other fossil fuels is 0.00 MWh (0.00 %)</w:t>
      </w:r>
    </w:p>
    <w:p>
      <w:pPr>
        <w:pStyle w:val="FirstParagraph"/>
      </w:pPr>
      <w:r>
        <w:t xml:space="preserve">case 4: aggresive carbon cap</w:t>
      </w:r>
    </w:p>
    <w:p>
      <w:pPr>
        <w:pStyle w:val="SourceCode"/>
      </w:pPr>
      <w:r>
        <w:rPr>
          <w:rStyle w:val="VerbatimChar"/>
        </w:rPr>
        <w:t xml:space="preserve">The total cost of electricity generation is 282.89 trillion IDR or 977.26 IDR/KWh</w:t>
      </w:r>
      <w:r>
        <w:br/>
      </w:r>
      <w:r>
        <w:rPr>
          <w:rStyle w:val="VerbatimChar"/>
        </w:rPr>
        <w:t xml:space="preserve">The total emission is 158,745,613,645.60 kgCO2</w:t>
      </w:r>
      <w:r>
        <w:br/>
      </w:r>
      <w:r>
        <w:rPr>
          <w:rStyle w:val="VerbatimChar"/>
        </w:rPr>
        <w:t xml:space="preserve">Total electricity generated from renewables is 145,249,951.50 MWh (50.18 %)</w:t>
      </w:r>
      <w:r>
        <w:br/>
      </w:r>
      <w:r>
        <w:rPr>
          <w:rStyle w:val="VerbatimChar"/>
        </w:rPr>
        <w:t xml:space="preserve">Total electricity generated from coal is 144,220,618.50 MWh (49.82 %)</w:t>
      </w:r>
      <w:r>
        <w:br/>
      </w:r>
      <w:r>
        <w:rPr>
          <w:rStyle w:val="VerbatimChar"/>
        </w:rPr>
        <w:t xml:space="preserve">Total electricity generated from other fossil fuels is 0.00 MWh (0.00 %)</w:t>
      </w:r>
    </w:p>
    <w:p>
      <w:pPr>
        <w:pStyle w:val="FirstParagraph"/>
      </w:pPr>
      <w:r>
        <w:t xml:space="preserve">case 5: non-aggresive transition</w:t>
      </w:r>
    </w:p>
    <w:p>
      <w:pPr>
        <w:pStyle w:val="SourceCode"/>
      </w:pPr>
      <w:r>
        <w:rPr>
          <w:rStyle w:val="VerbatimChar"/>
        </w:rPr>
        <w:t xml:space="preserve">The total cost of electricity generation is 351.87 trillion IDR or 1,215.57 IDR/KWh</w:t>
      </w:r>
      <w:r>
        <w:br/>
      </w:r>
      <w:r>
        <w:rPr>
          <w:rStyle w:val="VerbatimChar"/>
        </w:rPr>
        <w:t xml:space="preserve">The total emission is 158,745,613,645.60 kgCO2</w:t>
      </w:r>
      <w:r>
        <w:br/>
      </w:r>
      <w:r>
        <w:rPr>
          <w:rStyle w:val="VerbatimChar"/>
        </w:rPr>
        <w:t xml:space="preserve">Total electricity generated from renewables is 83,853,372.00 MWh (28.97 %)</w:t>
      </w:r>
      <w:r>
        <w:br/>
      </w:r>
      <w:r>
        <w:rPr>
          <w:rStyle w:val="VerbatimChar"/>
        </w:rPr>
        <w:t xml:space="preserve">Total electricity generated from coal is 21,427,459.49 MWh (7.40 %)</w:t>
      </w:r>
      <w:r>
        <w:br/>
      </w:r>
      <w:r>
        <w:rPr>
          <w:rStyle w:val="VerbatimChar"/>
        </w:rPr>
        <w:t xml:space="preserve">Total electricity generated from other fossil fuels is 184,189,738.51 MWh (63.63 %)</w:t>
      </w:r>
    </w:p>
    <w:p>
      <w:pPr>
        <w:pStyle w:val="FirstParagraph"/>
      </w:pPr>
      <w:r>
        <w:t xml:space="preserve">bangke</w:t>
      </w:r>
      <w:r>
        <w:t xml:space="preserve"> </w:t>
      </w:r>
      <w:r>
        <w:rPr>
          <w:rStyle w:val="VerbatimChar"/>
        </w:rPr>
        <w:t xml:space="preserve">{python} case5.biaya()</w:t>
      </w:r>
      <w:r>
        <w:t xml:space="preserve"> </w:t>
      </w:r>
      <w:r>
        <w:t xml:space="preserve">anjay</w:t>
      </w:r>
    </w:p>
    <w:bookmarkEnd w:id="27"/>
    <w:bookmarkEnd w:id="28"/>
    <w:bookmarkStart w:id="29" w:name="challenges"/>
    <w:p>
      <w:pPr>
        <w:pStyle w:val="Heading2"/>
      </w:pPr>
      <w:r>
        <w:t xml:space="preserve">4 Challenges</w:t>
      </w:r>
    </w:p>
    <w:p>
      <w:pPr>
        <w:pStyle w:val="FirstParagraph"/>
      </w:pPr>
      <w:r>
        <w:t xml:space="preserve">on PV and wind</w:t>
      </w:r>
      <w:r>
        <w:t xml:space="preserve"> </w:t>
      </w:r>
      <w:r>
        <w:t xml:space="preserve">Burke et al. (2019)</w:t>
      </w:r>
    </w:p>
    <w:p>
      <w:pPr>
        <w:pStyle w:val="BodyText"/>
      </w:pPr>
      <w:r>
        <w:t xml:space="preserve">cap-n-trade Some shit from</w:t>
      </w:r>
      <w:r>
        <w:t xml:space="preserve"> </w:t>
      </w:r>
      <w:r>
        <w:t xml:space="preserve">Sabzevar et al. (2017)</w:t>
      </w:r>
      <w:r>
        <w:t xml:space="preserve"> </w:t>
      </w:r>
      <w:r>
        <w:t xml:space="preserve">and</w:t>
      </w:r>
      <w:r>
        <w:t xml:space="preserve"> </w:t>
      </w:r>
      <w:r>
        <w:t xml:space="preserve">He, Dou, and Zhang (2017)</w:t>
      </w:r>
      <w:r>
        <w:t xml:space="preserve"> </w:t>
      </w:r>
      <w:r>
        <w:t xml:space="preserve">on calculation of cap n trade.</w:t>
      </w:r>
    </w:p>
    <w:bookmarkEnd w:id="29"/>
    <w:bookmarkStart w:id="30" w:name="conclusion"/>
    <w:p>
      <w:pPr>
        <w:pStyle w:val="Heading2"/>
      </w:pPr>
      <w:r>
        <w:t xml:space="preserve">5 Conclusion</w:t>
      </w:r>
    </w:p>
    <w:p>
      <w:pPr>
        <w:pStyle w:val="FirstParagraph"/>
      </w:pPr>
      <w:r>
        <w:t xml:space="preserve">aowkaowkaowk</w:t>
      </w:r>
    </w:p>
    <w:bookmarkEnd w:id="30"/>
    <w:bookmarkStart w:id="55" w:name="bibliography"/>
    <w:p>
      <w:pPr>
        <w:pStyle w:val="Heading2"/>
      </w:pPr>
      <w:r>
        <w:t xml:space="preserve">Bibliography</w:t>
      </w:r>
    </w:p>
    <w:bookmarkStart w:id="54" w:name="refs"/>
    <w:bookmarkStart w:id="32" w:name="ref-paul1"/>
    <w:p>
      <w:pPr>
        <w:pStyle w:val="Bibliography"/>
      </w:pPr>
      <w:r>
        <w:t xml:space="preserve">Burke, Paul J., and Sandra Kurniawati. 2018.</w:t>
      </w:r>
      <w:r>
        <w:t xml:space="preserve"> </w:t>
      </w:r>
      <w:r>
        <w:t xml:space="preserve">“Electricity Subsidy Reform in Indonesia: Demand-Side Effects on Electricity Use.”</w:t>
      </w:r>
      <w:r>
        <w:t xml:space="preserve"> </w:t>
      </w:r>
      <w:r>
        <w:rPr>
          <w:iCs/>
          <w:i/>
        </w:rPr>
        <w:t xml:space="preserve">Energy Policy</w:t>
      </w:r>
      <w:r>
        <w:t xml:space="preserve"> </w:t>
      </w:r>
      <w:r>
        <w:t xml:space="preserve">116: 410–21. https://doi.org/</w:t>
      </w:r>
      <w:hyperlink r:id="rId31">
        <w:r>
          <w:rPr>
            <w:rStyle w:val="Hyperlink"/>
          </w:rPr>
          <w:t xml:space="preserve">https://doi.org/10.1016/j.enpol.2018.02.018</w:t>
        </w:r>
      </w:hyperlink>
      <w:r>
        <w:t xml:space="preserve">.</w:t>
      </w:r>
    </w:p>
    <w:bookmarkEnd w:id="32"/>
    <w:bookmarkStart w:id="34" w:name="ref-paul2"/>
    <w:p>
      <w:pPr>
        <w:pStyle w:val="Bibliography"/>
      </w:pPr>
      <w:r>
        <w:t xml:space="preserve">Burke, Paul J., Jinnie Widnyana, Zeba Anjum, Emma Aisbett, Budy Resosudarmo, and Kenneth G. H. Baldwin. 2019.</w:t>
      </w:r>
      <w:r>
        <w:t xml:space="preserve"> </w:t>
      </w:r>
      <w:r>
        <w:t xml:space="preserve">“Overcoming Barriers to Solar and Wind Energy Adoption in Two Asian Giants: India and Indonesia.”</w:t>
      </w:r>
      <w:r>
        <w:t xml:space="preserve"> </w:t>
      </w:r>
      <w:r>
        <w:rPr>
          <w:iCs/>
          <w:i/>
        </w:rPr>
        <w:t xml:space="preserve">Energy Policy</w:t>
      </w:r>
      <w:r>
        <w:t xml:space="preserve"> </w:t>
      </w:r>
      <w:r>
        <w:t xml:space="preserve">132: 1216–28. https://doi.org/</w:t>
      </w:r>
      <w:hyperlink r:id="rId33">
        <w:r>
          <w:rPr>
            <w:rStyle w:val="Hyperlink"/>
          </w:rPr>
          <w:t xml:space="preserve">https://doi.org/10.1016/j.enpol.2019.05.055</w:t>
        </w:r>
      </w:hyperlink>
      <w:r>
        <w:t xml:space="preserve">.</w:t>
      </w:r>
    </w:p>
    <w:bookmarkEnd w:id="34"/>
    <w:bookmarkStart w:id="36"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35">
        <w:r>
          <w:rPr>
            <w:rStyle w:val="Hyperlink"/>
          </w:rPr>
          <w:t xml:space="preserve">https://doi.org/10.29122/jtl.v11i2.1207</w:t>
        </w:r>
      </w:hyperlink>
      <w:r>
        <w:t xml:space="preserve">.</w:t>
      </w:r>
    </w:p>
    <w:bookmarkEnd w:id="36"/>
    <w:bookmarkStart w:id="38" w:name="ref-HDZ17"/>
    <w:p>
      <w:pPr>
        <w:pStyle w:val="Bibliography"/>
      </w:pPr>
      <w:r>
        <w:t xml:space="preserve">He, Ping, Guowei Dou, and Wei Zhang. 2017.</w:t>
      </w:r>
      <w:r>
        <w:t xml:space="preserve"> </w:t>
      </w:r>
      <w:r>
        <w:t xml:space="preserve">“Optimal Production Planning and Cap Setting Under Cap-and-Trade Regulation.”</w:t>
      </w:r>
      <w:r>
        <w:t xml:space="preserve"> </w:t>
      </w:r>
      <w:r>
        <w:rPr>
          <w:iCs/>
          <w:i/>
        </w:rPr>
        <w:t xml:space="preserve">The Journal of the Operational Research Society</w:t>
      </w:r>
      <w:r>
        <w:t xml:space="preserve"> </w:t>
      </w:r>
      <w:r>
        <w:t xml:space="preserve">68 (9): 1094–1105. https://doi.org/</w:t>
      </w:r>
      <w:hyperlink r:id="rId37">
        <w:r>
          <w:rPr>
            <w:rStyle w:val="Hyperlink"/>
          </w:rPr>
          <w:t xml:space="preserve">https://doi.org/10.1057/s41274-016-0123-1</w:t>
        </w:r>
      </w:hyperlink>
      <w:r>
        <w:t xml:space="preserve">.</w:t>
      </w:r>
    </w:p>
    <w:bookmarkEnd w:id="38"/>
    <w:bookmarkStart w:id="39" w:name="ref-ember"/>
    <w:p>
      <w:pPr>
        <w:pStyle w:val="Bibliography"/>
      </w:pPr>
      <w:r>
        <w:t xml:space="preserve">Lolla, Aditya, and Muyi Yang. 2021.</w:t>
      </w:r>
      <w:r>
        <w:t xml:space="preserve"> </w:t>
      </w:r>
      <w:r>
        <w:t xml:space="preserve">“Indonesia: Indonesia Defies Global Trend with More Coal in the Generation-Mix.”</w:t>
      </w:r>
      <w:r>
        <w:t xml:space="preserve"> </w:t>
      </w:r>
      <w:r>
        <w:t xml:space="preserve">ember-climate; Global Electricity Review 2021: G20 profile.</w:t>
      </w:r>
    </w:p>
    <w:bookmarkEnd w:id="39"/>
    <w:bookmarkStart w:id="41" w:name="ref-memr"/>
    <w:p>
      <w:pPr>
        <w:pStyle w:val="Bibliography"/>
      </w:pPr>
      <w:r>
        <w:t xml:space="preserve">MEMR. 2020.</w:t>
      </w:r>
      <w:r>
        <w:t xml:space="preserve"> </w:t>
      </w:r>
      <w:r>
        <w:t xml:space="preserve">“Turunkan Emisi 314 Juta Ton CO2 Tahun 2030,indonesia Perlu Investasi Rp 3.500 Triliun.”</w:t>
      </w:r>
      <w:r>
        <w:t xml:space="preserve"> </w:t>
      </w:r>
      <w:r>
        <w:t xml:space="preserve">Ministry of Energy and Mineral Resources.</w:t>
      </w:r>
      <w:r>
        <w:t xml:space="preserve"> </w:t>
      </w:r>
      <w:hyperlink r:id="rId40">
        <w:r>
          <w:rPr>
            <w:rStyle w:val="Hyperlink"/>
          </w:rPr>
          <w:t xml:space="preserve">https://ebtke.esdm.go.id/post/2020/08/24/2613/turunkan.emisi.314.juta.ton.co2.tahun.2030.indonesia.perlu.investasi.rp.3.500.triliun#:~:text=%22Pemerintah%20telah%20mencanangkan%20target%20penurunan%20emisi%20gas%20rumah,2030%20dengan%20estimasi%20kebutuhan%20investasi%20sebesar%20Rp3.500%20triliun.</w:t>
        </w:r>
      </w:hyperlink>
    </w:p>
    <w:bookmarkEnd w:id="41"/>
    <w:bookmarkStart w:id="43" w:name="ref-moef"/>
    <w:p>
      <w:pPr>
        <w:pStyle w:val="Bibliography"/>
      </w:pPr>
      <w:r>
        <w:t xml:space="preserve">MoEF. 2021.</w:t>
      </w:r>
      <w:r>
        <w:t xml:space="preserve"> </w:t>
      </w:r>
      <w:r>
        <w:t xml:space="preserve">“Indonesia Third Biennial Update Report.”</w:t>
      </w:r>
      <w:r>
        <w:t xml:space="preserve"> </w:t>
      </w:r>
      <w:r>
        <w:t xml:space="preserve">Ministry of Environment and Forestry.</w:t>
      </w:r>
      <w:r>
        <w:t xml:space="preserve"> </w:t>
      </w:r>
      <w:hyperlink r:id="rId42">
        <w:r>
          <w:rPr>
            <w:rStyle w:val="Hyperlink"/>
          </w:rPr>
          <w:t xml:space="preserve">https://unfccc.int/sites/default/files/resource/IndonesiaBUR%203_FINAL%20REPORT_2.pdf</w:t>
        </w:r>
      </w:hyperlink>
      <w:r>
        <w:t xml:space="preserve">.</w:t>
      </w:r>
    </w:p>
    <w:bookmarkEnd w:id="43"/>
    <w:bookmarkStart w:id="44" w:name="ref-pln"/>
    <w:p>
      <w:pPr>
        <w:pStyle w:val="Bibliography"/>
      </w:pPr>
      <w:r>
        <w:t xml:space="preserve">PLN. 2021.</w:t>
      </w:r>
      <w:r>
        <w:t xml:space="preserve"> </w:t>
      </w:r>
      <w:r>
        <w:t xml:space="preserve">“Statistik PLN.”</w:t>
      </w:r>
      <w:r>
        <w:t xml:space="preserve"> </w:t>
      </w:r>
      <w:r>
        <w:t xml:space="preserve">01001-220630. Perusahaan Listrik Negara.</w:t>
      </w:r>
    </w:p>
    <w:bookmarkEnd w:id="44"/>
    <w:bookmarkStart w:id="46" w:name="ref-budy"/>
    <w:p>
      <w:pPr>
        <w:pStyle w:val="Bibliography"/>
      </w:pPr>
      <w:r>
        <w:t xml:space="preserve">Resosudarmo, Budy P., Jahen F. Rezki, and Yuventus Effendi. 2023.</w:t>
      </w:r>
      <w:r>
        <w:t xml:space="preserve"> </w:t>
      </w:r>
      <w:r>
        <w:t xml:space="preserve">“Prospects of Energy Transition in Indonesia.”</w:t>
      </w:r>
      <w:r>
        <w:t xml:space="preserve"> </w:t>
      </w:r>
      <w:r>
        <w:rPr>
          <w:iCs/>
          <w:i/>
        </w:rPr>
        <w:t xml:space="preserve">Bulletin of Indonesian Economic Studies</w:t>
      </w:r>
      <w:r>
        <w:t xml:space="preserve"> </w:t>
      </w:r>
      <w:r>
        <w:t xml:space="preserve">59 (2): 149–77.</w:t>
      </w:r>
      <w:r>
        <w:t xml:space="preserve"> </w:t>
      </w:r>
      <w:hyperlink r:id="rId45">
        <w:r>
          <w:rPr>
            <w:rStyle w:val="Hyperlink"/>
          </w:rPr>
          <w:t xml:space="preserve">https://doi.org/10.1080/00074918.2023.2238336</w:t>
        </w:r>
      </w:hyperlink>
      <w:r>
        <w:t xml:space="preserve">.</w:t>
      </w:r>
    </w:p>
    <w:bookmarkEnd w:id="46"/>
    <w:bookmarkStart w:id="48" w:name="ref-SEBK17"/>
    <w:p>
      <w:pPr>
        <w:pStyle w:val="Bibliography"/>
      </w:pPr>
      <w:r>
        <w:t xml:space="preserve">Sabzevar, Nikoo, S. T. Enns, Joule Bergerson, and Janne Kettunen. 2017.</w:t>
      </w:r>
      <w:r>
        <w:t xml:space="preserve"> </w:t>
      </w:r>
      <w:r>
        <w:t xml:space="preserve">“Modeling Competitive Firms’ Performance Under Price-Sensitive Demand and Cap-and-Trade Emissions Constraints.”</w:t>
      </w:r>
      <w:r>
        <w:t xml:space="preserve"> </w:t>
      </w:r>
      <w:r>
        <w:rPr>
          <w:iCs/>
          <w:i/>
        </w:rPr>
        <w:t xml:space="preserve">International Journal of Production Economics</w:t>
      </w:r>
      <w:r>
        <w:t xml:space="preserve"> </w:t>
      </w:r>
      <w:r>
        <w:t xml:space="preserve">184: 193–209. https://doi.org/</w:t>
      </w:r>
      <w:hyperlink r:id="rId47">
        <w:r>
          <w:rPr>
            <w:rStyle w:val="Hyperlink"/>
          </w:rPr>
          <w:t xml:space="preserve">https://doi.org/10.1016/j.ijpe.2016.10.024</w:t>
        </w:r>
      </w:hyperlink>
      <w:r>
        <w:t xml:space="preserve">.</w:t>
      </w:r>
    </w:p>
    <w:bookmarkEnd w:id="48"/>
    <w:bookmarkStart w:id="49" w:name="ref-quant"/>
    <w:p>
      <w:pPr>
        <w:pStyle w:val="Bibliography"/>
      </w:pPr>
      <w:r>
        <w:t xml:space="preserve">Sargent, Thomas J., and John Stachurski. n.d.</w:t>
      </w:r>
      <w:r>
        <w:t xml:space="preserve"> </w:t>
      </w:r>
      <w:r>
        <w:t xml:space="preserve">“Intermediate Quantitative Economics with Python.”</w:t>
      </w:r>
      <w:r>
        <w:t xml:space="preserve"> </w:t>
      </w:r>
      <w:r>
        <w:t xml:space="preserve">quantecon.org.</w:t>
      </w:r>
    </w:p>
    <w:bookmarkEnd w:id="49"/>
    <w:bookmarkStart w:id="51" w:name="ref-jrc"/>
    <w:p>
      <w:pPr>
        <w:pStyle w:val="Bibliography"/>
      </w:pPr>
      <w:r>
        <w:t xml:space="preserve">Steen, M. 2021.</w:t>
      </w:r>
      <w:r>
        <w:t xml:space="preserve"> </w:t>
      </w:r>
      <w:r>
        <w:t xml:space="preserve">“Greenhouse Gas Emissions from Fossil Fuel Fired Power Generation Systems.”</w:t>
      </w:r>
      <w:r>
        <w:t xml:space="preserve"> </w:t>
      </w:r>
      <w:r>
        <w:t xml:space="preserve">JRC21207. JRC Publications Repository.</w:t>
      </w:r>
      <w:r>
        <w:t xml:space="preserve"> </w:t>
      </w:r>
      <w:hyperlink r:id="rId50">
        <w:r>
          <w:rPr>
            <w:rStyle w:val="Hyperlink"/>
          </w:rPr>
          <w:t xml:space="preserve">https://publications.jrc.ec.europa.eu/repository/handle/JRC21207</w:t>
        </w:r>
      </w:hyperlink>
      <w:r>
        <w:t xml:space="preserve">.</w:t>
      </w:r>
    </w:p>
    <w:bookmarkEnd w:id="51"/>
    <w:bookmarkStart w:id="53" w:name="ref-wahyuni"/>
    <w:p>
      <w:pPr>
        <w:pStyle w:val="Bibliography"/>
      </w:pPr>
      <w:r>
        <w:t xml:space="preserve">Wahyuni, Elisa. 2022.</w:t>
      </w:r>
      <w:r>
        <w:t xml:space="preserve"> </w:t>
      </w:r>
      <w:r>
        <w:t xml:space="preserve">“Challenges in Facing Indonesia’s Energy Commitment.”</w:t>
      </w:r>
      <w:r>
        <w:t xml:space="preserve"> </w:t>
      </w:r>
      <w:r>
        <w:t xml:space="preserve">In</w:t>
      </w:r>
      <w:r>
        <w:t xml:space="preserve"> </w:t>
      </w:r>
      <w:r>
        <w:rPr>
          <w:iCs/>
          <w:i/>
        </w:rPr>
        <w:t xml:space="preserve">Indonesia Post-Pandemic Outlook: Strategy Towards Net-Zero Emissions by 2060 from the Renewables and Carbon-Neutral Energy Perspectives</w:t>
      </w:r>
      <w:r>
        <w:t xml:space="preserve">, edited by H. Ardiansyah and P. Ekadewi, 23–40. BRIN Publishing.</w:t>
      </w:r>
      <w:r>
        <w:t xml:space="preserve"> </w:t>
      </w:r>
      <w:hyperlink r:id="rId52">
        <w:r>
          <w:rPr>
            <w:rStyle w:val="Hyperlink"/>
          </w:rPr>
          <w:t xml:space="preserve">https://doi.org/10.55981/brin.562.c3</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CM1 = Counter Measure 1 (without international support), while CM2 = counter measure 2 (with international support).</w:t>
      </w:r>
    </w:p>
  </w:footnote>
  <w:footnote w:id="25">
    <w:p>
      <w:pPr>
        <w:pStyle w:val="FootnoteText"/>
      </w:pPr>
      <w:r>
        <w:rPr>
          <w:rStyle w:val="FootnoteReference"/>
        </w:rPr>
        <w:footnoteRef/>
      </w:r>
      <w:r>
        <w:t xml:space="preserve"> </w:t>
      </w:r>
      <w:r>
        <w:t xml:space="preserve">The Indonesian electricity generation grows by 271,58% between 1998-2021. The largest growth comes from third-party grows from 2,938.76 GWh in 1998 to 106,496.69 GWh in 2021.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j.enpol.2018.02.018" TargetMode="External" /><Relationship Type="http://schemas.openxmlformats.org/officeDocument/2006/relationships/hyperlink" Id="rId33" Target="https://doi.org/10.1016/j.enpol.2019.05.055" TargetMode="External" /><Relationship Type="http://schemas.openxmlformats.org/officeDocument/2006/relationships/hyperlink" Id="rId47" Target="https://doi.org/10.1016/j.ijpe.2016.10.024" TargetMode="External" /><Relationship Type="http://schemas.openxmlformats.org/officeDocument/2006/relationships/hyperlink" Id="rId37" Target="https://doi.org/10.1057/s41274-016-0123-1" TargetMode="External" /><Relationship Type="http://schemas.openxmlformats.org/officeDocument/2006/relationships/hyperlink" Id="rId45" Target="https://doi.org/10.1080/00074918.2023.2238336" TargetMode="External" /><Relationship Type="http://schemas.openxmlformats.org/officeDocument/2006/relationships/hyperlink" Id="rId35" Target="https://doi.org/10.29122/jtl.v11i2.1207" TargetMode="External" /><Relationship Type="http://schemas.openxmlformats.org/officeDocument/2006/relationships/hyperlink" Id="rId52" Target="https://doi.org/10.55981/brin.562.c3" TargetMode="External" /><Relationship Type="http://schemas.openxmlformats.org/officeDocument/2006/relationships/hyperlink" Id="rId40"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20" Target="https://journal.uii.ac.id/index.php/JEP" TargetMode="External" /><Relationship Type="http://schemas.openxmlformats.org/officeDocument/2006/relationships/hyperlink" Id="rId50" Target="https://publications.jrc.ec.europa.eu/repository/handle/JRC21207" TargetMode="External" /><Relationship Type="http://schemas.openxmlformats.org/officeDocument/2006/relationships/hyperlink" Id="rId42" Target="https://unfccc.int/sites/default/files/resource/IndonesiaBUR%203_FINAL%20REPORT_2.pdf"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enpol.2018.02.018" TargetMode="External" /><Relationship Type="http://schemas.openxmlformats.org/officeDocument/2006/relationships/hyperlink" Id="rId33" Target="https://doi.org/10.1016/j.enpol.2019.05.055" TargetMode="External" /><Relationship Type="http://schemas.openxmlformats.org/officeDocument/2006/relationships/hyperlink" Id="rId47" Target="https://doi.org/10.1016/j.ijpe.2016.10.024" TargetMode="External" /><Relationship Type="http://schemas.openxmlformats.org/officeDocument/2006/relationships/hyperlink" Id="rId37" Target="https://doi.org/10.1057/s41274-016-0123-1" TargetMode="External" /><Relationship Type="http://schemas.openxmlformats.org/officeDocument/2006/relationships/hyperlink" Id="rId45" Target="https://doi.org/10.1080/00074918.2023.2238336" TargetMode="External" /><Relationship Type="http://schemas.openxmlformats.org/officeDocument/2006/relationships/hyperlink" Id="rId35" Target="https://doi.org/10.29122/jtl.v11i2.1207" TargetMode="External" /><Relationship Type="http://schemas.openxmlformats.org/officeDocument/2006/relationships/hyperlink" Id="rId52" Target="https://doi.org/10.55981/brin.562.c3" TargetMode="External" /><Relationship Type="http://schemas.openxmlformats.org/officeDocument/2006/relationships/hyperlink" Id="rId40"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20" Target="https://journal.uii.ac.id/index.php/JEP" TargetMode="External" /><Relationship Type="http://schemas.openxmlformats.org/officeDocument/2006/relationships/hyperlink" Id="rId50" Target="https://publications.jrc.ec.europa.eu/repository/handle/JRC21207" TargetMode="External" /><Relationship Type="http://schemas.openxmlformats.org/officeDocument/2006/relationships/hyperlink" Id="rId42" Target="https://unfccc.int/sites/default/files/resource/IndonesiaBUR%203_FINAL%20REPORT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Greening the grid: The implication of aggressive emission target on Indonesian electricity generation</dc:title>
  <dc:creator>Krisna Gupta</dc:creator>
  <cp:keywords/>
  <dcterms:created xsi:type="dcterms:W3CDTF">2023-11-05T09:56:27Z</dcterms:created>
  <dcterms:modified xsi:type="dcterms:W3CDTF">2023-11-05T09:56:27Z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Motivation, objective, method, results, implications.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5,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